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595959"/>
          <w:sz w:val="18"/>
          <w:szCs w:val="18"/>
        </w:rPr>
        <w:t xml:space="preserve">The Northstar Sprint — Individual Deliverable</w:t>
      </w:r>
    </w:p>
    <w:p>
      <w:pPr>
        <w:pStyle w:val="Title"/>
        <w:spacing w:after="60"/>
      </w:pPr>
      <w:r>
        <w:rPr>
          <w:b/>
          <w:bCs/>
          <w:color w:val="8C1D2C"/>
          <w:sz w:val="36"/>
          <w:szCs w:val="36"/>
        </w:rPr>
        <w:t xml:space="preserve">Chatbot Framework Confirmation</w:t>
      </w:r>
    </w:p>
    <w:p>
      <w:pPr>
        <w:spacing w:after="110" w:line="264"/>
      </w:pPr>
      <w:r>
        <w:rPr>
          <w:color w:val="2B2B2B"/>
          <w:sz w:val="21"/>
          <w:szCs w:val="21"/>
        </w:rPr>
        <w:t xml:space="preserve">Purpose: the brief leaves the tech approach up to the team. This document confirms which approach we're building against, why, and what it means for how the rest of the team should build on top of it — so nobody starts a piece of work assuming a different architecture.</w:t>
      </w:r>
    </w:p>
    <w:p>
      <w:pPr>
        <w:pStyle w:val="Heading1"/>
        <w:spacing w:after="100" w:before="220"/>
      </w:pPr>
      <w:r>
        <w:rPr>
          <w:b/>
          <w:bCs/>
          <w:color w:val="8C1D2C"/>
          <w:sz w:val="30"/>
          <w:szCs w:val="30"/>
        </w:rPr>
        <w:t xml:space="preserve">1. Decision</w:t>
      </w:r>
    </w:p>
    <w:p>
      <w:pPr>
        <w:spacing w:after="110" w:line="264"/>
      </w:pPr>
      <w:r>
        <w:rPr>
          <w:b/>
          <w:bCs/>
          <w:color w:val="2B2B2B"/>
          <w:sz w:val="21"/>
          <w:szCs w:val="21"/>
        </w:rPr>
        <w:t xml:space="preserve">We are building a decision-tree style chat/lookup interface: the customer or support agent selects a ticket category, answers or provides one identifying detail (order ID or email), and receives an immediate, correctly-formatted answer — no human in the loop for the covered categories.</w:t>
      </w:r>
    </w:p>
    <w:p>
      <w:pPr>
        <w:pStyle w:val="Heading1"/>
        <w:spacing w:after="100" w:before="220"/>
      </w:pPr>
      <w:r>
        <w:rPr>
          <w:b/>
          <w:bCs/>
          <w:color w:val="8C1D2C"/>
          <w:sz w:val="30"/>
          <w:szCs w:val="30"/>
        </w:rPr>
        <w:t xml:space="preserve">2. Why This Approach (vs. the brief's other two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c>
          <w:tcPr>
            <w:tcW w:type="dxa" w:w="2000"/>
            <w:shd w:fill="8C1D2C" w:color="auto" w:val="clear"/>
            <w:tcMar>
              <w:top w:type="dxa" w:w="70"/>
              <w:left w:type="dxa" w:w="90"/>
              <w:bottom w:type="dxa" w:w="70"/>
              <w:right w:type="dxa" w:w="90"/>
            </w:tcMar>
          </w:tcPr>
          <w:p>
            <w:r>
              <w:rPr>
                <w:b/>
                <w:bCs/>
                <w:color w:val="FFFFFF"/>
                <w:sz w:val="18"/>
                <w:szCs w:val="18"/>
              </w:rPr>
              <w:t xml:space="preserve"/>
            </w:r>
          </w:p>
        </w:tc>
        <w:tc>
          <w:tcPr>
            <w:tcW w:type="dxa" w:w="2400"/>
            <w:shd w:fill="8C1D2C" w:color="auto" w:val="clear"/>
            <w:tcMar>
              <w:top w:type="dxa" w:w="70"/>
              <w:left w:type="dxa" w:w="90"/>
              <w:bottom w:type="dxa" w:w="70"/>
              <w:right w:type="dxa" w:w="90"/>
            </w:tcMar>
          </w:tcPr>
          <w:p>
            <w:r>
              <w:rPr>
                <w:b/>
                <w:bCs/>
                <w:color w:val="FFFFFF"/>
                <w:sz w:val="18"/>
                <w:szCs w:val="18"/>
              </w:rPr>
              <w:t xml:space="preserve">Decision-tree UI (chosen)</w:t>
            </w:r>
          </w:p>
        </w:tc>
        <w:tc>
          <w:tcPr>
            <w:tcW w:type="dxa" w:w="2400"/>
            <w:shd w:fill="8C1D2C" w:color="auto" w:val="clear"/>
            <w:tcMar>
              <w:top w:type="dxa" w:w="70"/>
              <w:left w:type="dxa" w:w="90"/>
              <w:bottom w:type="dxa" w:w="70"/>
              <w:right w:type="dxa" w:w="90"/>
            </w:tcMar>
          </w:tcPr>
          <w:p>
            <w:r>
              <w:rPr>
                <w:b/>
                <w:bCs/>
                <w:color w:val="FFFFFF"/>
                <w:sz w:val="18"/>
                <w:szCs w:val="18"/>
              </w:rPr>
              <w:t xml:space="preserve">Self-serve dashboard</w:t>
            </w:r>
          </w:p>
        </w:tc>
        <w:tc>
          <w:tcPr>
            <w:tcW w:type="dxa" w:w="2400"/>
            <w:shd w:fill="8C1D2C" w:color="auto" w:val="clear"/>
            <w:tcMar>
              <w:top w:type="dxa" w:w="70"/>
              <w:left w:type="dxa" w:w="90"/>
              <w:bottom w:type="dxa" w:w="70"/>
              <w:right w:type="dxa" w:w="90"/>
            </w:tcMar>
          </w:tcPr>
          <w:p>
            <w:r>
              <w:rPr>
                <w:b/>
                <w:bCs/>
                <w:color w:val="FFFFFF"/>
                <w:sz w:val="18"/>
                <w:szCs w:val="18"/>
              </w:rPr>
              <w:t xml:space="preserve">Backend auto-tag script</w:t>
            </w:r>
          </w:p>
        </w:tc>
      </w:tr>
      <w:tr>
        <w:tc>
          <w:tcPr>
            <w:tcW w:type="dxa" w:w="2000"/>
            <w:tcMar>
              <w:top w:type="dxa" w:w="70"/>
              <w:left w:type="dxa" w:w="90"/>
              <w:bottom w:type="dxa" w:w="70"/>
              <w:right w:type="dxa" w:w="90"/>
            </w:tcMar>
          </w:tcPr>
          <w:p>
            <w:r>
              <w:rPr>
                <w:b/>
                <w:bCs/>
                <w:color w:val="2B2B2B"/>
                <w:sz w:val="18"/>
                <w:szCs w:val="18"/>
              </w:rPr>
              <w:t xml:space="preserve">What it does</w:t>
            </w:r>
          </w:p>
        </w:tc>
        <w:tc>
          <w:tcPr>
            <w:tcW w:type="dxa" w:w="2400"/>
            <w:tcMar>
              <w:top w:type="dxa" w:w="70"/>
              <w:left w:type="dxa" w:w="90"/>
              <w:bottom w:type="dxa" w:w="70"/>
              <w:right w:type="dxa" w:w="90"/>
            </w:tcMar>
          </w:tcPr>
          <w:p>
            <w:r>
              <w:rPr>
                <w:b w:val="false"/>
                <w:bCs w:val="false"/>
                <w:color w:val="2B2B2B"/>
                <w:sz w:val="18"/>
                <w:szCs w:val="18"/>
              </w:rPr>
              <w:t xml:space="preserve">Customer/agent clicks or types a question, gets an immediate answer in a UI</w:t>
            </w:r>
          </w:p>
        </w:tc>
        <w:tc>
          <w:tcPr>
            <w:tcW w:type="dxa" w:w="2400"/>
            <w:tcMar>
              <w:top w:type="dxa" w:w="70"/>
              <w:left w:type="dxa" w:w="90"/>
              <w:bottom w:type="dxa" w:w="70"/>
              <w:right w:type="dxa" w:w="90"/>
            </w:tcMar>
          </w:tcPr>
          <w:p>
            <w:r>
              <w:rPr>
                <w:b w:val="false"/>
                <w:bCs w:val="false"/>
                <w:color w:val="2B2B2B"/>
                <w:sz w:val="18"/>
                <w:szCs w:val="18"/>
              </w:rPr>
              <w:t xml:space="preserve">Customer checks a status page before ever opening a ticket</w:t>
            </w:r>
          </w:p>
        </w:tc>
        <w:tc>
          <w:tcPr>
            <w:tcW w:type="dxa" w:w="2400"/>
            <w:tcMar>
              <w:top w:type="dxa" w:w="70"/>
              <w:left w:type="dxa" w:w="90"/>
              <w:bottom w:type="dxa" w:w="70"/>
              <w:right w:type="dxa" w:w="90"/>
            </w:tcMar>
          </w:tcPr>
          <w:p>
            <w:r>
              <w:rPr>
                <w:b w:val="false"/>
                <w:bCs w:val="false"/>
                <w:color w:val="2B2B2B"/>
                <w:sz w:val="18"/>
                <w:szCs w:val="18"/>
              </w:rPr>
              <w:t xml:space="preserve">Tickets get auto-tagged/auto-resolved before a human sees them</w:t>
            </w:r>
          </w:p>
        </w:tc>
      </w:tr>
      <w:tr>
        <w:tc>
          <w:tcPr>
            <w:tcW w:type="dxa" w:w="2000"/>
            <w:tcMar>
              <w:top w:type="dxa" w:w="70"/>
              <w:left w:type="dxa" w:w="90"/>
              <w:bottom w:type="dxa" w:w="70"/>
              <w:right w:type="dxa" w:w="90"/>
            </w:tcMar>
          </w:tcPr>
          <w:p>
            <w:r>
              <w:rPr>
                <w:b/>
                <w:bCs/>
                <w:color w:val="2B2B2B"/>
                <w:sz w:val="18"/>
                <w:szCs w:val="18"/>
              </w:rPr>
              <w:t xml:space="preserve">Build time (5-day sprint)</w:t>
            </w:r>
          </w:p>
        </w:tc>
        <w:tc>
          <w:tcPr>
            <w:tcW w:type="dxa" w:w="2400"/>
            <w:tcMar>
              <w:top w:type="dxa" w:w="70"/>
              <w:left w:type="dxa" w:w="90"/>
              <w:bottom w:type="dxa" w:w="70"/>
              <w:right w:type="dxa" w:w="90"/>
            </w:tcMar>
          </w:tcPr>
          <w:p>
            <w:r>
              <w:rPr>
                <w:b w:val="false"/>
                <w:bCs w:val="false"/>
                <w:color w:val="2B2B2B"/>
                <w:sz w:val="18"/>
                <w:szCs w:val="18"/>
              </w:rPr>
              <w:t xml:space="preserve">Low — no backend, no auth, deployable as static files</w:t>
            </w:r>
          </w:p>
        </w:tc>
        <w:tc>
          <w:tcPr>
            <w:tcW w:type="dxa" w:w="2400"/>
            <w:tcMar>
              <w:top w:type="dxa" w:w="70"/>
              <w:left w:type="dxa" w:w="90"/>
              <w:bottom w:type="dxa" w:w="70"/>
              <w:right w:type="dxa" w:w="90"/>
            </w:tcMar>
          </w:tcPr>
          <w:p>
            <w:r>
              <w:rPr>
                <w:b w:val="false"/>
                <w:bCs w:val="false"/>
                <w:color w:val="2B2B2B"/>
                <w:sz w:val="18"/>
                <w:szCs w:val="18"/>
              </w:rPr>
              <w:t xml:space="preserve">Medium — needs a data feed and page per order/customer</w:t>
            </w:r>
          </w:p>
        </w:tc>
        <w:tc>
          <w:tcPr>
            <w:tcW w:type="dxa" w:w="2400"/>
            <w:tcMar>
              <w:top w:type="dxa" w:w="70"/>
              <w:left w:type="dxa" w:w="90"/>
              <w:bottom w:type="dxa" w:w="70"/>
              <w:right w:type="dxa" w:w="90"/>
            </w:tcMar>
          </w:tcPr>
          <w:p>
            <w:r>
              <w:rPr>
                <w:b w:val="false"/>
                <w:bCs w:val="false"/>
                <w:color w:val="2B2B2B"/>
                <w:sz w:val="18"/>
                <w:szCs w:val="18"/>
              </w:rPr>
              <w:t xml:space="preserve">High — needs access to Northstar's real ticket queue, which we don't have</w:t>
            </w:r>
          </w:p>
        </w:tc>
      </w:tr>
      <w:tr>
        <w:tc>
          <w:tcPr>
            <w:tcW w:type="dxa" w:w="2000"/>
            <w:tcMar>
              <w:top w:type="dxa" w:w="70"/>
              <w:left w:type="dxa" w:w="90"/>
              <w:bottom w:type="dxa" w:w="70"/>
              <w:right w:type="dxa" w:w="90"/>
            </w:tcMar>
          </w:tcPr>
          <w:p>
            <w:r>
              <w:rPr>
                <w:b/>
                <w:bCs/>
                <w:color w:val="2B2B2B"/>
                <w:sz w:val="18"/>
                <w:szCs w:val="18"/>
              </w:rPr>
              <w:t xml:space="preserve">Demoable end-to-end?</w:t>
            </w:r>
          </w:p>
        </w:tc>
        <w:tc>
          <w:tcPr>
            <w:tcW w:type="dxa" w:w="2400"/>
            <w:tcMar>
              <w:top w:type="dxa" w:w="70"/>
              <w:left w:type="dxa" w:w="90"/>
              <w:bottom w:type="dxa" w:w="70"/>
              <w:right w:type="dxa" w:w="90"/>
            </w:tcMar>
          </w:tcPr>
          <w:p>
            <w:r>
              <w:rPr>
                <w:b w:val="false"/>
                <w:bCs w:val="false"/>
                <w:color w:val="2B2B2B"/>
                <w:sz w:val="18"/>
                <w:szCs w:val="18"/>
              </w:rPr>
              <w:t xml:space="preserve">Yes — open in any browser, no setup</w:t>
            </w:r>
          </w:p>
        </w:tc>
        <w:tc>
          <w:tcPr>
            <w:tcW w:type="dxa" w:w="2400"/>
            <w:tcMar>
              <w:top w:type="dxa" w:w="70"/>
              <w:left w:type="dxa" w:w="90"/>
              <w:bottom w:type="dxa" w:w="70"/>
              <w:right w:type="dxa" w:w="90"/>
            </w:tcMar>
          </w:tcPr>
          <w:p>
            <w:r>
              <w:rPr>
                <w:b w:val="false"/>
                <w:bCs w:val="false"/>
                <w:color w:val="2B2B2B"/>
                <w:sz w:val="18"/>
                <w:szCs w:val="18"/>
              </w:rPr>
              <w:t xml:space="preserve">Yes, but needs a hosted backend or mock API</w:t>
            </w:r>
          </w:p>
        </w:tc>
        <w:tc>
          <w:tcPr>
            <w:tcW w:type="dxa" w:w="2400"/>
            <w:tcMar>
              <w:top w:type="dxa" w:w="70"/>
              <w:left w:type="dxa" w:w="90"/>
              <w:bottom w:type="dxa" w:w="70"/>
              <w:right w:type="dxa" w:w="90"/>
            </w:tcMar>
          </w:tcPr>
          <w:p>
            <w:r>
              <w:rPr>
                <w:b w:val="false"/>
                <w:bCs w:val="false"/>
                <w:color w:val="2B2B2B"/>
                <w:sz w:val="18"/>
                <w:szCs w:val="18"/>
              </w:rPr>
              <w:t xml:space="preserve">Hard to demo without live ticket data</w:t>
            </w:r>
          </w:p>
        </w:tc>
      </w:tr>
      <w:tr>
        <w:tc>
          <w:tcPr>
            <w:tcW w:type="dxa" w:w="2000"/>
            <w:tcMar>
              <w:top w:type="dxa" w:w="70"/>
              <w:left w:type="dxa" w:w="90"/>
              <w:bottom w:type="dxa" w:w="70"/>
              <w:right w:type="dxa" w:w="90"/>
            </w:tcMar>
          </w:tcPr>
          <w:p>
            <w:r>
              <w:rPr>
                <w:b/>
                <w:bCs/>
                <w:color w:val="2B2B2B"/>
                <w:sz w:val="18"/>
                <w:szCs w:val="18"/>
              </w:rPr>
              <w:t xml:space="preserve">Matches brief's examples?</w:t>
            </w:r>
          </w:p>
        </w:tc>
        <w:tc>
          <w:tcPr>
            <w:tcW w:type="dxa" w:w="2400"/>
            <w:tcMar>
              <w:top w:type="dxa" w:w="70"/>
              <w:left w:type="dxa" w:w="90"/>
              <w:bottom w:type="dxa" w:w="70"/>
              <w:right w:type="dxa" w:w="90"/>
            </w:tcMar>
          </w:tcPr>
          <w:p>
            <w:r>
              <w:rPr>
                <w:b w:val="false"/>
                <w:bCs w:val="false"/>
                <w:color w:val="2B2B2B"/>
                <w:sz w:val="18"/>
                <w:szCs w:val="18"/>
              </w:rPr>
              <w:t xml:space="preserve">Yes — explicitly listed as an accepted approach</w:t>
            </w:r>
          </w:p>
        </w:tc>
        <w:tc>
          <w:tcPr>
            <w:tcW w:type="dxa" w:w="2400"/>
            <w:tcMar>
              <w:top w:type="dxa" w:w="70"/>
              <w:left w:type="dxa" w:w="90"/>
              <w:bottom w:type="dxa" w:w="70"/>
              <w:right w:type="dxa" w:w="90"/>
            </w:tcMar>
          </w:tcPr>
          <w:p>
            <w:r>
              <w:rPr>
                <w:b w:val="false"/>
                <w:bCs w:val="false"/>
                <w:color w:val="2B2B2B"/>
                <w:sz w:val="18"/>
                <w:szCs w:val="18"/>
              </w:rPr>
              <w:t xml:space="preserve">Yes — also listed</w:t>
            </w:r>
          </w:p>
        </w:tc>
        <w:tc>
          <w:tcPr>
            <w:tcW w:type="dxa" w:w="2400"/>
            <w:tcMar>
              <w:top w:type="dxa" w:w="70"/>
              <w:left w:type="dxa" w:w="90"/>
              <w:bottom w:type="dxa" w:w="70"/>
              <w:right w:type="dxa" w:w="90"/>
            </w:tcMar>
          </w:tcPr>
          <w:p>
            <w:r>
              <w:rPr>
                <w:b w:val="false"/>
                <w:bCs w:val="false"/>
                <w:color w:val="2B2B2B"/>
                <w:sz w:val="18"/>
                <w:szCs w:val="18"/>
              </w:rPr>
              <w:t xml:space="preserve">Yes, but needs infra we can't access this sprint</w:t>
            </w:r>
          </w:p>
        </w:tc>
      </w:tr>
    </w:tbl>
    <w:p>
      <w:pPr>
        <w:spacing w:after="110" w:line="264"/>
      </w:pPr>
      <w:r>
        <w:rPr>
          <w:color w:val="2B2B2B"/>
          <w:sz w:val="21"/>
          <w:szCs w:val="21"/>
        </w:rPr>
        <w:t xml:space="preserve">Bottom line: given a 5-day sprint with no access to Northstar's real systems, the decision-tree UI is the only option that's fully demoable end-to-end without external dependencies — which is exactly what the brief's “working prototype, demoable end-to-end” requirement asks for.</w:t>
      </w:r>
    </w:p>
    <w:p>
      <w:pPr>
        <w:pStyle w:val="Heading1"/>
        <w:spacing w:after="100" w:before="220"/>
      </w:pPr>
      <w:r>
        <w:rPr>
          <w:b/>
          <w:bCs/>
          <w:color w:val="8C1D2C"/>
          <w:sz w:val="30"/>
          <w:szCs w:val="30"/>
        </w:rPr>
        <w:t xml:space="preserve">3. Technical Specification (for the rest of the team to build against)</w:t>
      </w:r>
    </w:p>
    <w:p>
      <w:pPr>
        <w:pStyle w:val="ListParagraph"/>
        <w:numPr>
          <w:ilvl w:val="0"/>
          <w:numId w:val="2"/>
        </w:numPr>
        <w:spacing w:after="60"/>
      </w:pPr>
      <w:r>
        <w:rPr>
          <w:color w:val="2B2B2B"/>
          <w:sz w:val="21"/>
          <w:szCs w:val="21"/>
        </w:rPr>
        <w:t xml:space="preserve">Stack: plain HTML, CSS, and vanilla JavaScript. No framework, no build step, no backend server — keeps the whole team able to open and edit any file without a local dev environment.</w:t>
      </w:r>
    </w:p>
    <w:p>
      <w:pPr>
        <w:pStyle w:val="ListParagraph"/>
        <w:numPr>
          <w:ilvl w:val="0"/>
          <w:numId w:val="2"/>
        </w:numPr>
        <w:spacing w:after="60"/>
      </w:pPr>
      <w:r>
        <w:rPr>
          <w:color w:val="2B2B2B"/>
          <w:sz w:val="21"/>
          <w:szCs w:val="21"/>
        </w:rPr>
        <w:t xml:space="preserve">Structure: one shared data file (mock orders + stock), one shared lookup helper, one file per ticket category (so category work can be built and committed independently), one navigation/dispatch file tying them together.</w:t>
      </w:r>
    </w:p>
    <w:p>
      <w:pPr>
        <w:pStyle w:val="ListParagraph"/>
        <w:numPr>
          <w:ilvl w:val="0"/>
          <w:numId w:val="2"/>
        </w:numPr>
        <w:spacing w:after="60"/>
      </w:pPr>
      <w:r>
        <w:rPr>
          <w:color w:val="2B2B2B"/>
          <w:sz w:val="21"/>
          <w:szCs w:val="21"/>
        </w:rPr>
        <w:t xml:space="preserve">State: everything runs in-memory in the browser. No login, no database, no persistence between page loads — acceptable for an MVP demo, called out as a known limitation in the go-live note.</w:t>
      </w:r>
    </w:p>
    <w:p>
      <w:pPr>
        <w:pStyle w:val="ListParagraph"/>
        <w:numPr>
          <w:ilvl w:val="0"/>
          <w:numId w:val="2"/>
        </w:numPr>
        <w:spacing w:after="60"/>
      </w:pPr>
      <w:r>
        <w:rPr>
          <w:color w:val="2B2B2B"/>
          <w:sz w:val="21"/>
          <w:szCs w:val="21"/>
        </w:rPr>
        <w:t xml:space="preserve">Why this structure specifically: it lets 2+ teammates build different ticket categories in parallel without merge conflicts, since each category's logic lives in its own file.</w:t>
      </w:r>
    </w:p>
    <w:p>
      <w:pPr>
        <w:pStyle w:val="Heading1"/>
        <w:spacing w:after="100" w:before="220"/>
      </w:pPr>
      <w:r>
        <w:rPr>
          <w:b/>
          <w:bCs/>
          <w:color w:val="8C1D2C"/>
          <w:sz w:val="30"/>
          <w:szCs w:val="30"/>
        </w:rPr>
        <w:t xml:space="preserve">4. What This Confirms for Teammates Building Ticket Logic</w:t>
      </w:r>
    </w:p>
    <w:p>
      <w:pPr>
        <w:pStyle w:val="ListParagraph"/>
        <w:numPr>
          <w:ilvl w:val="0"/>
          <w:numId w:val="2"/>
        </w:numPr>
        <w:spacing w:after="60"/>
      </w:pPr>
      <w:r>
        <w:rPr>
          <w:color w:val="2B2B2B"/>
          <w:sz w:val="21"/>
          <w:szCs w:val="21"/>
        </w:rPr>
        <w:t xml:space="preserve">Each ticket category is a self-contained render function taking one input (order ID/email, or item+variant) and returning a formatted answer block — follow the pattern in whichever category file is built first.</w:t>
      </w:r>
    </w:p>
    <w:p>
      <w:pPr>
        <w:pStyle w:val="ListParagraph"/>
        <w:numPr>
          <w:ilvl w:val="0"/>
          <w:numId w:val="2"/>
        </w:numPr>
        <w:spacing w:after="60"/>
      </w:pPr>
      <w:r>
        <w:rPr>
          <w:color w:val="2B2B2B"/>
          <w:sz w:val="21"/>
          <w:szCs w:val="21"/>
        </w:rPr>
        <w:t xml:space="preserve">Don't introduce a second UI pattern (e.g. a multi-step wizard) for a new category without raising it with the team first — consistency here is part of what makes this demoable as one coherent product, not three separate ones.</w:t>
      </w:r>
    </w:p>
    <w:p>
      <w:pPr>
        <w:pStyle w:val="Heading1"/>
        <w:spacing w:after="100" w:before="220"/>
      </w:pPr>
      <w:r>
        <w:rPr>
          <w:b/>
          <w:bCs/>
          <w:color w:val="8C1D2C"/>
          <w:sz w:val="30"/>
          <w:szCs w:val="30"/>
        </w:rPr>
        <w:t xml:space="preserve">5. Sign-Off</w:t>
      </w:r>
    </w:p>
    <w:p>
      <w:pPr>
        <w:spacing w:after="110" w:line="264"/>
      </w:pPr>
      <w:r>
        <w:rPr>
          <w:color w:val="2B2B2B"/>
          <w:sz w:val="21"/>
          <w:szCs w:val="21"/>
        </w:rPr>
        <w:t xml:space="preserve">Confirmed by: [Your name], on behalf of the team, Day 1.</w:t>
      </w:r>
    </w:p>
    <w:p>
      <w:pPr>
        <w:spacing w:after="140"/>
      </w:pPr>
      <w:r>
        <w:rPr>
          <w:b/>
          <w:bCs/>
          <w:color w:val="2B2B2B"/>
          <w:sz w:val="21"/>
          <w:szCs w:val="21"/>
        </w:rPr>
        <w:t xml:space="preserve">Reviewed/agreed by team on: </w:t>
      </w:r>
      <w:r>
        <w:rPr>
          <w:color w:val="595959"/>
          <w:sz w:val="21"/>
          <w:szCs w:val="21"/>
        </w:rPr>
        <w:t xml:space="preserve">_______________________________________________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2026-08-13T02:31:28.037Z</dcterms:created>
  <dcterms:modified xsi:type="dcterms:W3CDTF">2026-08-13T02:31:28.050Z</dcterms:modified>
</cp:coreProperties>
</file>

<file path=docProps/custom.xml><?xml version="1.0" encoding="utf-8"?>
<Properties xmlns="http://schemas.openxmlformats.org/officeDocument/2006/custom-properties" xmlns:vt="http://schemas.openxmlformats.org/officeDocument/2006/docPropsVTypes"/>
</file>