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4F46E5"/>
          <w:sz w:val="20"/>
        </w:rPr>
        <w:t>ACADEMIC PROJECT ABSTRACT</w:t>
      </w:r>
    </w:p>
    <w:p>
      <w:pPr>
        <w:spacing w:before="0" w:after="240" w:line="276" w:lineRule="auto"/>
      </w:pPr>
      <w:r>
        <w:rPr>
          <w:rFonts w:ascii="Calibri" w:hAnsi="Calibri"/>
          <w:b/>
          <w:color w:val="0F172A"/>
          <w:sz w:val="36"/>
        </w:rPr>
        <w:t>UniCraft: An Intelligent College Event Management &amp; Automated Digital Certificate Platform with QR Verification</w:t>
      </w:r>
    </w:p>
    <w:tbl>
      <w:tblPr>
        <w:tblW w:type="auto" w:w="0"/>
        <w:jc w:val="center"/>
        <w:tblLayout w:type="fixed"/>
        <w:tblLook w:firstColumn="1" w:firstRow="1" w:lastColumn="0" w:lastRow="0" w:noHBand="0" w:noVBand="1" w:val="04A0"/>
      </w:tblPr>
      <w:tblGrid>
        <w:gridCol w:w="4680"/>
        <w:gridCol w:w="4680"/>
      </w:tblGrid>
      <w:tr>
        <w:tc>
          <w:tcPr>
            <w:tcW w:type="dxa" w:w="4680"/>
            <w:shd w:fill="F8FAFC"/>
            <w:tcMar>
              <w:top w:w="80" w:type="dxa"/>
              <w:bottom w:w="80" w:type="dxa"/>
              <w:left w:w="120" w:type="dxa"/>
              <w:right w:w="120" w:type="dxa"/>
            </w:tcMar>
          </w:tcPr>
          <w:p>
            <w:pPr>
              <w:spacing w:before="40" w:after="40"/>
            </w:pPr>
            <w:r>
              <w:rPr>
                <w:b/>
                <w:color w:val="475569"/>
                <w:sz w:val="19"/>
              </w:rPr>
              <w:t>Project Name:</w:t>
            </w:r>
            <w:r>
              <w:rPr>
                <w:color w:val="1E293B"/>
                <w:sz w:val="19"/>
              </w:rPr>
              <w:t xml:space="preserve"> UniCraft</w:t>
            </w:r>
          </w:p>
        </w:tc>
        <w:tc>
          <w:tcPr>
            <w:tcW w:type="dxa" w:w="4680"/>
            <w:shd w:fill="F8FAFC"/>
            <w:tcMar>
              <w:top w:w="80" w:type="dxa"/>
              <w:bottom w:w="80" w:type="dxa"/>
              <w:left w:w="120" w:type="dxa"/>
              <w:right w:w="120" w:type="dxa"/>
            </w:tcMar>
          </w:tcPr>
          <w:p>
            <w:pPr>
              <w:spacing w:before="40" w:after="40"/>
            </w:pPr>
            <w:r>
              <w:rPr>
                <w:b/>
                <w:color w:val="475569"/>
                <w:sz w:val="19"/>
              </w:rPr>
              <w:t>Domain:</w:t>
            </w:r>
            <w:r>
              <w:rPr>
                <w:color w:val="1E293B"/>
                <w:sz w:val="19"/>
              </w:rPr>
              <w:t xml:space="preserve"> Full-Stack Web App (MERN/Node)</w:t>
            </w:r>
          </w:p>
        </w:tc>
      </w:tr>
      <w:tr>
        <w:tc>
          <w:tcPr>
            <w:tcW w:type="dxa" w:w="4680"/>
            <w:shd w:fill="F8FAFC"/>
            <w:tcMar>
              <w:top w:w="80" w:type="dxa"/>
              <w:bottom w:w="80" w:type="dxa"/>
              <w:left w:w="120" w:type="dxa"/>
              <w:right w:w="120" w:type="dxa"/>
            </w:tcMar>
          </w:tcPr>
          <w:p>
            <w:pPr>
              <w:spacing w:before="40" w:after="40"/>
            </w:pPr>
            <w:r>
              <w:rPr>
                <w:b/>
                <w:color w:val="475569"/>
                <w:sz w:val="19"/>
              </w:rPr>
              <w:t>Target Audience:</w:t>
            </w:r>
            <w:r>
              <w:rPr>
                <w:color w:val="1E293B"/>
                <w:sz w:val="19"/>
              </w:rPr>
              <w:t xml:space="preserve"> Academic Institutions / Colleges</w:t>
            </w:r>
          </w:p>
        </w:tc>
        <w:tc>
          <w:tcPr>
            <w:tcW w:type="dxa" w:w="4680"/>
            <w:shd w:fill="F8FAFC"/>
            <w:tcMar>
              <w:top w:w="80" w:type="dxa"/>
              <w:bottom w:w="80" w:type="dxa"/>
              <w:left w:w="120" w:type="dxa"/>
              <w:right w:w="120" w:type="dxa"/>
            </w:tcMar>
          </w:tcPr>
          <w:p>
            <w:pPr>
              <w:spacing w:before="40" w:after="40"/>
            </w:pPr>
            <w:r>
              <w:rPr>
                <w:b/>
                <w:color w:val="475569"/>
                <w:sz w:val="19"/>
              </w:rPr>
              <w:t>Key Modules:</w:t>
            </w:r>
            <w:r>
              <w:rPr>
                <w:color w:val="1E293B"/>
                <w:sz w:val="19"/>
              </w:rPr>
              <w:t xml:space="preserve"> Event Management, QR Certificate Engine</w:t>
            </w:r>
          </w:p>
        </w:tc>
      </w:tr>
    </w:tbl>
    <w:p>
      <w:pPr>
        <w:spacing w:after="120"/>
      </w:pPr>
    </w:p>
    <w:p>
      <w:pPr>
        <w:spacing w:before="240" w:after="120"/>
      </w:pPr>
      <w:r>
        <w:rPr>
          <w:b/>
          <w:color w:val="1E3A8A"/>
          <w:sz w:val="26"/>
        </w:rPr>
        <w:t>1. Executive Abstract</w:t>
      </w:r>
    </w:p>
    <w:p>
      <w:pPr>
        <w:spacing w:before="0" w:after="160" w:line="288" w:lineRule="auto"/>
        <w:jc w:val="both"/>
      </w:pPr>
      <w:r>
        <w:t>In modern higher educational institutions, organizing campus events, tracking student participation, issuing physical paper certificates, and manually verifying credential authenticity is labor-intensive, costly, error-prone, and highly vulnerable to document forgery. Traditional certificate distribution workflows lack digital authorization standards, making it difficult for employers and academic verifiers to confirm document legitimacy quickly.</w:t>
      </w:r>
    </w:p>
    <w:p>
      <w:pPr>
        <w:spacing w:before="0" w:after="160" w:line="288" w:lineRule="auto"/>
        <w:jc w:val="both"/>
      </w:pPr>
      <w:r>
        <w:rPr>
          <w:b/>
          <w:color w:val="0F172A"/>
        </w:rPr>
        <w:t xml:space="preserve">UniCraft </w:t>
      </w:r>
      <w:r>
        <w:t>is a full-stack, enterprise-grade web application engineered to centralize and automate the complete lifecycle of college events and academic certifications. The platform introduces an interactive, WYSIWYG Drag-and-Drop Visual Certificate Designer. Administrators can visually layout dynamic student attributes (name, department, achievement title), customize font styling and color palettes, upload institutional background templates, place official college seals, and position multi-signatory signature blocks (Principal, HOD, Event Coordinators) directly within the browser.</w:t>
      </w:r>
    </w:p>
    <w:p>
      <w:pPr>
        <w:spacing w:before="0" w:after="240" w:line="288" w:lineRule="auto"/>
        <w:jc w:val="both"/>
      </w:pPr>
      <w:r>
        <w:t>Upon event completion and attendance validation, UniCraft automatically allocates sequential serial numbers (e.g., CERT-2026-0001) and generates high-resolution vector PDF certificates embedded with Tamper-Proof Verification QR Codes. Scanning the QR code from any smartphone instantly opens a mobile-optimized public verification portal over local network IP protocols, displaying real-time credential status and direct official PDF downloads.</w:t>
      </w:r>
    </w:p>
    <w:p>
      <w:pPr>
        <w:spacing w:before="240" w:after="120"/>
      </w:pPr>
      <w:r>
        <w:rPr>
          <w:b/>
          <w:color w:val="1E3A8A"/>
          <w:sz w:val="26"/>
        </w:rPr>
        <w:t>2. Key Platform Features &amp; Technical Innovations</w:t>
      </w:r>
    </w:p>
    <w:p>
      <w:pPr>
        <w:pStyle w:val="ListBullet"/>
        <w:spacing w:before="0" w:after="80" w:line="276" w:lineRule="auto"/>
      </w:pPr>
      <w:r>
        <w:rPr>
          <w:b/>
          <w:color w:val="0F172A"/>
        </w:rPr>
        <w:t xml:space="preserve">End-to-End Event Lifecycle Management: </w:t>
      </w:r>
      <w:r>
        <w:rPr>
          <w:color w:val="334155"/>
        </w:rPr>
        <w:t>Role-Based Access Control (RBAC) separating Admin event creation, venue allocation, and registration tracking from Student event discovery and participation portals.</w:t>
      </w:r>
    </w:p>
    <w:p>
      <w:pPr>
        <w:pStyle w:val="ListBullet"/>
        <w:spacing w:before="0" w:after="80" w:line="276" w:lineRule="auto"/>
      </w:pPr>
      <w:r>
        <w:rPr>
          <w:b/>
          <w:color w:val="0F172A"/>
        </w:rPr>
        <w:t xml:space="preserve">Visual WYSIWYG Certificate Designer: </w:t>
      </w:r>
      <w:r>
        <w:rPr>
          <w:color w:val="334155"/>
        </w:rPr>
        <w:t>Browser-based drag-and-drop canvas editor supporting pixel-accurate element positioning, font scaling, background image uploads, dynamic multi-signature blocks, and official stamps.</w:t>
      </w:r>
    </w:p>
    <w:p>
      <w:pPr>
        <w:pStyle w:val="ListBullet"/>
        <w:spacing w:before="0" w:after="80" w:line="276" w:lineRule="auto"/>
      </w:pPr>
      <w:r>
        <w:rPr>
          <w:b/>
          <w:color w:val="0F172A"/>
        </w:rPr>
        <w:t xml:space="preserve">Automated Bulk PDF Generation &amp; Sequential Allotment: </w:t>
      </w:r>
      <w:r>
        <w:rPr>
          <w:color w:val="334155"/>
        </w:rPr>
        <w:t>One-click bulk certificate generation engine that calculates serial numbers sequentially and renders high-density vector PDFs using PDFKit.</w:t>
      </w:r>
    </w:p>
    <w:p>
      <w:pPr>
        <w:pStyle w:val="ListBullet"/>
        <w:spacing w:before="0" w:after="80" w:line="276" w:lineRule="auto"/>
      </w:pPr>
      <w:r>
        <w:rPr>
          <w:b/>
          <w:color w:val="0F172A"/>
        </w:rPr>
        <w:t xml:space="preserve">Instant Mobile QR Code Verification: </w:t>
      </w:r>
      <w:r>
        <w:rPr>
          <w:color w:val="334155"/>
        </w:rPr>
        <w:t>Dynamic Local Area Network (LAN) IP resolution generating embedded scannable QR codes that resolve instantly on mobile browser verification pages without hardcoded endpoints.</w:t>
      </w:r>
    </w:p>
    <w:p>
      <w:pPr>
        <w:pStyle w:val="ListBullet"/>
        <w:spacing w:before="0" w:after="80" w:line="276" w:lineRule="auto"/>
      </w:pPr>
      <w:r>
        <w:rPr>
          <w:b/>
          <w:color w:val="0F172A"/>
        </w:rPr>
        <w:t xml:space="preserve">Centralized Credential Audit &amp; CSV Export: </w:t>
      </w:r>
      <w:r>
        <w:rPr>
          <w:color w:val="334155"/>
        </w:rPr>
        <w:t>Administrative audit registry enabling search, filter, and CSV data export of issued credentials for institutional compliance and record keeping.</w:t>
      </w:r>
    </w:p>
    <w:p>
      <w:pPr>
        <w:spacing w:before="280" w:after="120"/>
      </w:pPr>
      <w:r>
        <w:rPr>
          <w:b/>
          <w:color w:val="1E3A8A"/>
          <w:sz w:val="26"/>
        </w:rPr>
        <w:t>3. Technology Stack &amp; Architecture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3A8A"/>
            <w:tcMar>
              <w:top w:w="100" w:type="dxa"/>
              <w:bottom w:w="100" w:type="dxa"/>
              <w:left w:w="120" w:type="dxa"/>
              <w:right w:w="120" w:type="dxa"/>
            </w:tcMar>
          </w:tcPr>
          <w:p>
            <w:pPr>
              <w:jc w:val="left"/>
            </w:pPr>
            <w:r>
              <w:rPr>
                <w:b/>
                <w:color w:val="FFFFFF"/>
                <w:sz w:val="19"/>
              </w:rPr>
              <w:t>Layer / Module</w:t>
            </w:r>
          </w:p>
        </w:tc>
        <w:tc>
          <w:tcPr>
            <w:tcW w:type="dxa" w:w="3168"/>
            <w:shd w:fill="1E3A8A"/>
            <w:tcMar>
              <w:top w:w="100" w:type="dxa"/>
              <w:bottom w:w="100" w:type="dxa"/>
              <w:left w:w="120" w:type="dxa"/>
              <w:right w:w="120" w:type="dxa"/>
            </w:tcMar>
          </w:tcPr>
          <w:p>
            <w:pPr>
              <w:jc w:val="left"/>
            </w:pPr>
            <w:r>
              <w:rPr>
                <w:b/>
                <w:color w:val="FFFFFF"/>
                <w:sz w:val="19"/>
              </w:rPr>
              <w:t>Technologies Used</w:t>
            </w:r>
          </w:p>
        </w:tc>
        <w:tc>
          <w:tcPr>
            <w:tcW w:type="dxa" w:w="3600"/>
            <w:shd w:fill="1E3A8A"/>
            <w:tcMar>
              <w:top w:w="100" w:type="dxa"/>
              <w:bottom w:w="100" w:type="dxa"/>
              <w:left w:w="120" w:type="dxa"/>
              <w:right w:w="120" w:type="dxa"/>
            </w:tcMar>
          </w:tcPr>
          <w:p>
            <w:pPr>
              <w:jc w:val="left"/>
            </w:pPr>
            <w:r>
              <w:rPr>
                <w:b/>
                <w:color w:val="FFFFFF"/>
                <w:sz w:val="19"/>
              </w:rPr>
              <w:t>Functionality &amp; Purpose</w:t>
            </w:r>
          </w:p>
        </w:tc>
      </w:tr>
      <w:tr>
        <w:tc>
          <w:tcPr>
            <w:tcW w:type="dxa" w:w="2592"/>
            <w:shd w:fill="F8FAFC"/>
            <w:tcMar>
              <w:top w:w="80" w:type="dxa"/>
              <w:bottom w:w="80" w:type="dxa"/>
              <w:left w:w="120" w:type="dxa"/>
              <w:right w:w="120" w:type="dxa"/>
            </w:tcMar>
          </w:tcPr>
          <w:p>
            <w:pPr>
              <w:spacing w:before="20" w:after="20"/>
            </w:pPr>
            <w:r>
              <w:rPr>
                <w:b/>
                <w:color w:val="0F172A"/>
                <w:sz w:val="18"/>
              </w:rPr>
              <w:t>Frontend Client</w:t>
            </w:r>
          </w:p>
        </w:tc>
        <w:tc>
          <w:tcPr>
            <w:tcW w:type="dxa" w:w="3168"/>
            <w:shd w:fill="F8FAFC"/>
            <w:tcMar>
              <w:top w:w="80" w:type="dxa"/>
              <w:bottom w:w="80" w:type="dxa"/>
              <w:left w:w="120" w:type="dxa"/>
              <w:right w:w="120" w:type="dxa"/>
            </w:tcMar>
          </w:tcPr>
          <w:p>
            <w:pPr>
              <w:spacing w:before="20" w:after="20"/>
            </w:pPr>
            <w:r>
              <w:rPr>
                <w:color w:val="334155"/>
                <w:sz w:val="18"/>
              </w:rPr>
              <w:t>React 18, Vite, TailwindCSS, Lucide Icons</w:t>
            </w:r>
          </w:p>
        </w:tc>
        <w:tc>
          <w:tcPr>
            <w:tcW w:type="dxa" w:w="3600"/>
            <w:shd w:fill="F8FAFC"/>
            <w:tcMar>
              <w:top w:w="80" w:type="dxa"/>
              <w:bottom w:w="80" w:type="dxa"/>
              <w:left w:w="120" w:type="dxa"/>
              <w:right w:w="120" w:type="dxa"/>
            </w:tcMar>
          </w:tcPr>
          <w:p>
            <w:pPr>
              <w:spacing w:before="20" w:after="20"/>
            </w:pPr>
            <w:r>
              <w:rPr>
                <w:color w:val="334155"/>
                <w:sz w:val="18"/>
              </w:rPr>
              <w:t>Responsive SPA interface, interactive visual canvas designer, state management.</w:t>
            </w:r>
          </w:p>
        </w:tc>
      </w:tr>
      <w:tr>
        <w:tc>
          <w:tcPr>
            <w:tcW w:type="dxa" w:w="2592"/>
            <w:shd w:fill="FFFFFF"/>
            <w:tcMar>
              <w:top w:w="80" w:type="dxa"/>
              <w:bottom w:w="80" w:type="dxa"/>
              <w:left w:w="120" w:type="dxa"/>
              <w:right w:w="120" w:type="dxa"/>
            </w:tcMar>
          </w:tcPr>
          <w:p>
            <w:pPr>
              <w:spacing w:before="20" w:after="20"/>
            </w:pPr>
            <w:r>
              <w:rPr>
                <w:b/>
                <w:color w:val="0F172A"/>
                <w:sz w:val="18"/>
              </w:rPr>
              <w:t>Backend REST API</w:t>
            </w:r>
          </w:p>
        </w:tc>
        <w:tc>
          <w:tcPr>
            <w:tcW w:type="dxa" w:w="3168"/>
            <w:shd w:fill="FFFFFF"/>
            <w:tcMar>
              <w:top w:w="80" w:type="dxa"/>
              <w:bottom w:w="80" w:type="dxa"/>
              <w:left w:w="120" w:type="dxa"/>
              <w:right w:w="120" w:type="dxa"/>
            </w:tcMar>
          </w:tcPr>
          <w:p>
            <w:pPr>
              <w:spacing w:before="20" w:after="20"/>
            </w:pPr>
            <w:r>
              <w:rPr>
                <w:color w:val="334155"/>
                <w:sz w:val="18"/>
              </w:rPr>
              <w:t>Node.js, Express.js, JWT Middleware</w:t>
            </w:r>
          </w:p>
        </w:tc>
        <w:tc>
          <w:tcPr>
            <w:tcW w:type="dxa" w:w="3600"/>
            <w:shd w:fill="FFFFFF"/>
            <w:tcMar>
              <w:top w:w="80" w:type="dxa"/>
              <w:bottom w:w="80" w:type="dxa"/>
              <w:left w:w="120" w:type="dxa"/>
              <w:right w:w="120" w:type="dxa"/>
            </w:tcMar>
          </w:tcPr>
          <w:p>
            <w:pPr>
              <w:spacing w:before="20" w:after="20"/>
            </w:pPr>
            <w:r>
              <w:rPr>
                <w:color w:val="334155"/>
                <w:sz w:val="18"/>
              </w:rPr>
              <w:t>RESTful API routes, user authentication, role authorization, business logic.</w:t>
            </w:r>
          </w:p>
        </w:tc>
      </w:tr>
      <w:tr>
        <w:tc>
          <w:tcPr>
            <w:tcW w:type="dxa" w:w="2592"/>
            <w:shd w:fill="F8FAFC"/>
            <w:tcMar>
              <w:top w:w="80" w:type="dxa"/>
              <w:bottom w:w="80" w:type="dxa"/>
              <w:left w:w="120" w:type="dxa"/>
              <w:right w:w="120" w:type="dxa"/>
            </w:tcMar>
          </w:tcPr>
          <w:p>
            <w:pPr>
              <w:spacing w:before="20" w:after="20"/>
            </w:pPr>
            <w:r>
              <w:rPr>
                <w:b/>
                <w:color w:val="0F172A"/>
                <w:sz w:val="18"/>
              </w:rPr>
              <w:t>PDF &amp; QR Engine</w:t>
            </w:r>
          </w:p>
        </w:tc>
        <w:tc>
          <w:tcPr>
            <w:tcW w:type="dxa" w:w="3168"/>
            <w:shd w:fill="F8FAFC"/>
            <w:tcMar>
              <w:top w:w="80" w:type="dxa"/>
              <w:bottom w:w="80" w:type="dxa"/>
              <w:left w:w="120" w:type="dxa"/>
              <w:right w:w="120" w:type="dxa"/>
            </w:tcMar>
          </w:tcPr>
          <w:p>
            <w:pPr>
              <w:spacing w:before="20" w:after="20"/>
            </w:pPr>
            <w:r>
              <w:rPr>
                <w:color w:val="334155"/>
                <w:sz w:val="18"/>
              </w:rPr>
              <w:t>PDFKit, QRCode Matrix Generator</w:t>
            </w:r>
          </w:p>
        </w:tc>
        <w:tc>
          <w:tcPr>
            <w:tcW w:type="dxa" w:w="3600"/>
            <w:shd w:fill="F8FAFC"/>
            <w:tcMar>
              <w:top w:w="80" w:type="dxa"/>
              <w:bottom w:w="80" w:type="dxa"/>
              <w:left w:w="120" w:type="dxa"/>
              <w:right w:w="120" w:type="dxa"/>
            </w:tcMar>
          </w:tcPr>
          <w:p>
            <w:pPr>
              <w:spacing w:before="20" w:after="20"/>
            </w:pPr>
            <w:r>
              <w:rPr>
                <w:color w:val="334155"/>
                <w:sz w:val="18"/>
              </w:rPr>
              <w:t>Vector PDF rendering, coordinate scaling algorithms, scannable QR code generation.</w:t>
            </w:r>
          </w:p>
        </w:tc>
      </w:tr>
      <w:tr>
        <w:tc>
          <w:tcPr>
            <w:tcW w:type="dxa" w:w="2592"/>
            <w:shd w:fill="FFFFFF"/>
            <w:tcMar>
              <w:top w:w="80" w:type="dxa"/>
              <w:bottom w:w="80" w:type="dxa"/>
              <w:left w:w="120" w:type="dxa"/>
              <w:right w:w="120" w:type="dxa"/>
            </w:tcMar>
          </w:tcPr>
          <w:p>
            <w:pPr>
              <w:spacing w:before="20" w:after="20"/>
            </w:pPr>
            <w:r>
              <w:rPr>
                <w:b/>
                <w:color w:val="0F172A"/>
                <w:sz w:val="18"/>
              </w:rPr>
              <w:t>Database Layer</w:t>
            </w:r>
          </w:p>
        </w:tc>
        <w:tc>
          <w:tcPr>
            <w:tcW w:type="dxa" w:w="3168"/>
            <w:shd w:fill="FFFFFF"/>
            <w:tcMar>
              <w:top w:w="80" w:type="dxa"/>
              <w:bottom w:w="80" w:type="dxa"/>
              <w:left w:w="120" w:type="dxa"/>
              <w:right w:w="120" w:type="dxa"/>
            </w:tcMar>
          </w:tcPr>
          <w:p>
            <w:pPr>
              <w:spacing w:before="20" w:after="20"/>
            </w:pPr>
            <w:r>
              <w:rPr>
                <w:color w:val="334155"/>
                <w:sz w:val="18"/>
              </w:rPr>
              <w:t>MongoDB (Mongoose) / Local JSON Adapter</w:t>
            </w:r>
          </w:p>
        </w:tc>
        <w:tc>
          <w:tcPr>
            <w:tcW w:type="dxa" w:w="3600"/>
            <w:shd w:fill="FFFFFF"/>
            <w:tcMar>
              <w:top w:w="80" w:type="dxa"/>
              <w:bottom w:w="80" w:type="dxa"/>
              <w:left w:w="120" w:type="dxa"/>
              <w:right w:w="120" w:type="dxa"/>
            </w:tcMar>
          </w:tcPr>
          <w:p>
            <w:pPr>
              <w:spacing w:before="20" w:after="20"/>
            </w:pPr>
            <w:r>
              <w:rPr>
                <w:color w:val="334155"/>
                <w:sz w:val="18"/>
              </w:rPr>
              <w:t>Persistent storage for users, events, registrations, certificates, with offline fallback.</w:t>
            </w:r>
          </w:p>
        </w:tc>
      </w:tr>
    </w:tbl>
    <w:p>
      <w:pPr>
        <w:spacing w:after="120"/>
      </w:pPr>
    </w:p>
    <w:p>
      <w:pPr>
        <w:spacing w:before="240" w:after="120"/>
      </w:pPr>
      <w:r>
        <w:rPr>
          <w:b/>
          <w:color w:val="1E3A8A"/>
          <w:sz w:val="26"/>
        </w:rPr>
        <w:t>4. Conclusion &amp; Real-World Impact</w:t>
      </w:r>
    </w:p>
    <w:p>
      <w:pPr>
        <w:spacing w:before="0" w:after="240" w:line="288" w:lineRule="auto"/>
        <w:jc w:val="both"/>
      </w:pPr>
      <w:r>
        <w:t>UniCraft modernizes institutional event workflows by replacing fragmented paper-based processes with an integrated digital ecosystem. By combining visual template design, automated serial allotment, instant PDF rendering, and smartphone-scannable QR verification, UniCraft eliminates manual administrative bottlenecks, drastically reduces printing overhead, and guarantees uncompromised certificate authenticity.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Page 1 of 1  •  Confidential - For Academic Review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UniCraft Academic Project Abstract  |  Session 2025–2026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