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Adding two numbers using user input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 three variables n1,n2 and sum.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the values n1 and n2.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n1 and n2 and assign the result into sum.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386013" cy="43544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4525" y="210425"/>
                          <a:ext cx="2386013" cy="4354473"/>
                          <a:chOff x="2024525" y="210425"/>
                          <a:chExt cx="2653125" cy="4861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94388" y="1930800"/>
                            <a:ext cx="1913400" cy="598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n1 and n2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29288" y="1077988"/>
                            <a:ext cx="2643600" cy="49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 n1,n2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99888" y="2885000"/>
                            <a:ext cx="15024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= n1+n2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99388" y="3808825"/>
                            <a:ext cx="1703400" cy="497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92012" y="4630775"/>
                            <a:ext cx="1318140" cy="43637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92050" y="215200"/>
                            <a:ext cx="1318086" cy="43637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1093" y="651574"/>
                            <a:ext cx="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1088" y="1575388"/>
                            <a:ext cx="0" cy="35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1088" y="2529600"/>
                            <a:ext cx="0" cy="35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1088" y="3412400"/>
                            <a:ext cx="0" cy="39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1088" y="4306225"/>
                            <a:ext cx="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6013" cy="43544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013" cy="4354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AddTwoNumbers {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"\tAdding Two numbers"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the First number: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the Second number: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"The Addition of two numbers is: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