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Feb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Suresh Kumar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CD0143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2023-12-01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9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