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Suresh kumar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2023-11-30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30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1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CD0143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Axis Bank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3674328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12345678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101673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21880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10940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1882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21880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54701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3632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51069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(Fifty One Thousand Sixty Nine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