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color w:val="666666"/>
          <w:sz w:val="20"/>
          <w:szCs w:val="20"/>
        </w:rPr>
        <w:t xml:space="preserve">WHITE PAPER</w:t>
      </w:r>
    </w:p>
    <w:p>
      <w:pPr>
        <w:spacing w:after="120"/>
      </w:pPr>
      <w:r>
        <w:rPr>
          <w:rFonts w:ascii="Calibri" w:cs="Calibri" w:eastAsia="Calibri" w:hAnsi="Calibri"/>
          <w:b/>
          <w:bCs/>
          <w:color w:val="1F4E79"/>
          <w:sz w:val="44"/>
          <w:szCs w:val="44"/>
        </w:rPr>
        <w:t xml:space="preserve">Do Disclosed Institutional Trades Predict Returns?</w:t>
      </w:r>
    </w:p>
    <w:p>
      <w:pPr>
        <w:spacing w:after="200"/>
      </w:pPr>
      <w:r>
        <w:rPr>
          <w:rFonts w:ascii="Calibri" w:cs="Calibri" w:eastAsia="Calibri" w:hAnsi="Calibri"/>
          <w:color w:val="666666"/>
          <w:sz w:val="26"/>
          <w:szCs w:val="26"/>
        </w:rPr>
        <w:t xml:space="preserve">Evidence from 48,879 NSE bulk and block deals in Indian large caps</w:t>
      </w:r>
    </w:p>
    <w:p>
      <w:pPr>
        <w:spacing w:after="60" w:before="0"/>
      </w:pPr>
      <w:r>
        <w:rPr>
          <w:rFonts w:ascii="Calibri" w:cs="Calibri" w:eastAsia="Calibri" w:hAnsi="Calibri"/>
          <w:color w:val="666666"/>
          <w:sz w:val="22"/>
          <w:szCs w:val="22"/>
        </w:rPr>
        <w:t xml:space="preserve">Praveen Kumar  .  nse-smartmoney project  .  July 2026</w:t>
      </w:r>
    </w:p>
    <w:p>
      <w:pPr>
        <w:spacing w:after="400" w:before="0"/>
      </w:pPr>
      <w:r>
        <w:rPr>
          <w:rFonts w:ascii="Calibri" w:cs="Calibri" w:eastAsia="Calibri" w:hAnsi="Calibri"/>
          <w:color w:val="666666"/>
          <w:sz w:val="22"/>
          <w:szCs w:val="22"/>
        </w:rPr>
        <w:t xml:space="preserve">Data: NSE bulk/block-deal disclosures 2024 to 2026, delivery statistics, daily OHLCV</w:t>
      </w:r>
    </w:p>
    <w:p>
      <w:pPr>
        <w:pStyle w:val="Heading1"/>
        <w:spacing w:after="160" w:before="320"/>
      </w:pPr>
      <w:r>
        <w:rPr>
          <w:rFonts w:ascii="Calibri" w:cs="Calibri" w:eastAsia="Calibri" w:hAnsi="Calibri"/>
          <w:b/>
          <w:bCs/>
          <w:color w:val="1F4E79"/>
          <w:sz w:val="30"/>
          <w:szCs w:val="30"/>
        </w:rPr>
        <w:t xml:space="preserve">Abstract</w:t>
      </w:r>
    </w:p>
    <w:p>
      <w:pPr>
        <w:spacing w:after="160" w:before="0"/>
      </w:pPr>
      <w:r>
        <w:rPr>
          <w:rFonts w:ascii="Calibri" w:cs="Calibri" w:eastAsia="Calibri" w:hAnsi="Calibri"/>
          <w:sz w:val="22"/>
          <w:szCs w:val="22"/>
        </w:rPr>
        <w:t xml:space="preserve">A popular idea among retail investors is that you can profit by following institutional “smart money.” In India this is unusually testable, because exchanges publish every large trade under the name of the client behind it. I checked the idea against 48,879 disclosed deals from January 2024 to July 2026, matched to two years of daily prices for the NIFTY 50.</w:t>
      </w:r>
    </w:p>
    <w:p>
      <w:pPr>
        <w:spacing w:after="160" w:before="0"/>
      </w:pPr>
      <w:r>
        <w:rPr>
          <w:rFonts w:ascii="Calibri" w:cs="Calibri" w:eastAsia="Calibri" w:hAnsi="Calibri"/>
          <w:sz w:val="22"/>
          <w:szCs w:val="22"/>
        </w:rPr>
        <w:t xml:space="preserve">At first the folklore looked right. One foreign desk’s repeated purchases of a large-cap stock were followed by a 1.98% average 10-day return, a 92% win rate, and a one-sided p-value of 0.0003. That is exactly the kind of result that gets screenshotted and shared.</w:t>
      </w:r>
    </w:p>
    <w:p>
      <w:pPr>
        <w:spacing w:after="160" w:before="0"/>
      </w:pPr>
      <w:r>
        <w:rPr>
          <w:rFonts w:ascii="Calibri" w:cs="Calibri" w:eastAsia="Calibri" w:hAnsi="Calibri"/>
          <w:sz w:val="22"/>
          <w:szCs w:val="22"/>
        </w:rPr>
        <w:t xml:space="preserve">It did not survive scrutiny. Once I adjusted for the market’s own move over the same days, the excess return fell to roughly zero. The twelve “independent” events turned out to be a single three-week buying campaign, run at the same time across several index names, so they carried no stock-specific information. After a false-discovery-rate correction, nothing was left. Pooled machine-learning models trained on delivery, volume and deal-flow features scored below a coin flip out of sample, with a ROC-AUC of 0.46 to 0.48. My conclusion is that in Indian large caps, the simple version of smart-money tracking is mostly an illusion. I also set out where a fairer test should look next: mid-cap stocks, campaign-level event definitions, and longer flow histories.</w:t>
      </w:r>
    </w:p>
    <w:p>
      <w:pPr>
        <w:pStyle w:val="Heading1"/>
        <w:spacing w:after="160" w:before="320"/>
      </w:pPr>
      <w:r>
        <w:rPr>
          <w:rFonts w:ascii="Calibri" w:cs="Calibri" w:eastAsia="Calibri" w:hAnsi="Calibri"/>
          <w:b/>
          <w:bCs/>
          <w:color w:val="1F4E79"/>
          <w:sz w:val="30"/>
          <w:szCs w:val="30"/>
        </w:rPr>
        <w:t xml:space="preserve">1. Introduction</w:t>
      </w:r>
    </w:p>
    <w:p>
      <w:pPr>
        <w:spacing w:after="160" w:before="0"/>
      </w:pPr>
      <w:r>
        <w:rPr>
          <w:rFonts w:ascii="Calibri" w:cs="Calibri" w:eastAsia="Calibri" w:hAnsi="Calibri"/>
          <w:sz w:val="22"/>
          <w:szCs w:val="22"/>
        </w:rPr>
        <w:t xml:space="preserve">Indonesian traders call it bandarmology, the art of reading large operators from broker-level flow. India gives you a sharper lens. SEBI rules require exchanges to disclose, every day and by name, two kinds of trade. A bulk deal is any single client trading more than 0.5% of a company’s equity. A block deal is a large negotiated window trade. Where an Indonesian analyst has to guess who sits behind broker code “BK,” the Indian analyst is simply told. The name might be Goldman Sachs Bank Europe SE, or SBI Funds Management, or a private individual.</w:t>
      </w:r>
    </w:p>
    <w:p>
      <w:pPr>
        <w:spacing w:after="160" w:before="0"/>
      </w:pPr>
      <w:r>
        <w:rPr>
          <w:rFonts w:ascii="Calibri" w:cs="Calibri" w:eastAsia="Calibri" w:hAnsi="Calibri"/>
          <w:sz w:val="22"/>
          <w:szCs w:val="22"/>
        </w:rPr>
        <w:t xml:space="preserve">That transparency invites a specific question. When a named institution buys the same stock again and again, does the stock then go up? This paper reports what I found when I put that question through a disciplined statistical pipeline. The headline is a negative result, and I think it is more useful to a practitioner than another success story would have been.</w:t>
      </w:r>
    </w:p>
    <w:p>
      <w:pPr>
        <w:pStyle w:val="Heading1"/>
        <w:spacing w:after="160" w:before="320"/>
      </w:pPr>
      <w:r>
        <w:rPr>
          <w:rFonts w:ascii="Calibri" w:cs="Calibri" w:eastAsia="Calibri" w:hAnsi="Calibri"/>
          <w:b/>
          <w:bCs/>
          <w:color w:val="1F4E79"/>
          <w:sz w:val="30"/>
          <w:szCs w:val="30"/>
        </w:rPr>
        <w:t xml:space="preserve">2. Data</w:t>
      </w:r>
    </w:p>
    <w:p>
      <w:pPr>
        <w:spacing w:after="160" w:before="0"/>
      </w:pPr>
      <w:r>
        <w:rPr>
          <w:rFonts w:ascii="Calibri" w:cs="Calibri" w:eastAsia="Calibri" w:hAnsi="Calibri"/>
          <w:sz w:val="22"/>
          <w:szCs w:val="22"/>
        </w:rPr>
        <w:t xml:space="preserve">All of the data come from public NSE sources. I loaded them into a SQLite warehouse using an open-source pipeline I wrote, called nse-smartmoney, which handles the ETL, feature engineering, event studies and dashboard.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1900"/>
        <w:gridCol w:w="2800"/>
      </w:tblGrid>
      <w:tr>
        <w:tc>
          <w:tcPr>
            <w:tcW w:type="dxa" w:w="2600"/>
            <w:shd w:fill="E8EEF7" w:val="clear"/>
            <w:tcMar>
              <w:top w:type="dxa" w:w="60"/>
              <w:left w:type="dxa" w:w="100"/>
              <w:bottom w:type="dxa" w:w="60"/>
              <w:right w:type="dxa" w:w="100"/>
            </w:tcMar>
          </w:tcPr>
          <w:p>
            <w:r>
              <w:rPr>
                <w:rFonts w:ascii="Calibri" w:cs="Calibri" w:eastAsia="Calibri" w:hAnsi="Calibri"/>
                <w:b/>
                <w:bCs/>
                <w:sz w:val="19"/>
                <w:szCs w:val="19"/>
              </w:rPr>
              <w:t xml:space="preserve">Dataset</w:t>
            </w:r>
          </w:p>
        </w:tc>
        <w:tc>
          <w:tcPr>
            <w:tcW w:type="dxa" w:w="2300"/>
            <w:shd w:fill="E8EEF7" w:val="clear"/>
            <w:tcMar>
              <w:top w:type="dxa" w:w="60"/>
              <w:left w:type="dxa" w:w="100"/>
              <w:bottom w:type="dxa" w:w="60"/>
              <w:right w:type="dxa" w:w="100"/>
            </w:tcMar>
          </w:tcPr>
          <w:p>
            <w:r>
              <w:rPr>
                <w:rFonts w:ascii="Calibri" w:cs="Calibri" w:eastAsia="Calibri" w:hAnsi="Calibri"/>
                <w:b/>
                <w:bCs/>
                <w:sz w:val="19"/>
                <w:szCs w:val="19"/>
              </w:rPr>
              <w:t xml:space="preserve">Coverage</w:t>
            </w:r>
          </w:p>
        </w:tc>
        <w:tc>
          <w:tcPr>
            <w:tcW w:type="dxa" w:w="1900"/>
            <w:shd w:fill="E8EEF7" w:val="clear"/>
            <w:tcMar>
              <w:top w:type="dxa" w:w="60"/>
              <w:left w:type="dxa" w:w="100"/>
              <w:bottom w:type="dxa" w:w="60"/>
              <w:right w:type="dxa" w:w="100"/>
            </w:tcMar>
          </w:tcPr>
          <w:p>
            <w:r>
              <w:rPr>
                <w:rFonts w:ascii="Calibri" w:cs="Calibri" w:eastAsia="Calibri" w:hAnsi="Calibri"/>
                <w:b/>
                <w:bCs/>
                <w:sz w:val="19"/>
                <w:szCs w:val="19"/>
              </w:rPr>
              <w:t xml:space="preserve">Size</w:t>
            </w:r>
          </w:p>
        </w:tc>
        <w:tc>
          <w:tcPr>
            <w:tcW w:type="dxa" w:w="2800"/>
            <w:shd w:fill="E8EEF7" w:val="clear"/>
            <w:tcMar>
              <w:top w:type="dxa" w:w="60"/>
              <w:left w:type="dxa" w:w="100"/>
              <w:bottom w:type="dxa" w:w="60"/>
              <w:right w:type="dxa" w:w="100"/>
            </w:tcMar>
          </w:tcPr>
          <w:p>
            <w:r>
              <w:rPr>
                <w:rFonts w:ascii="Calibri" w:cs="Calibri" w:eastAsia="Calibri" w:hAnsi="Calibri"/>
                <w:b/>
                <w:bCs/>
                <w:sz w:val="19"/>
                <w:szCs w:val="19"/>
              </w:rPr>
              <w:t xml:space="preserve">Source</w:t>
            </w:r>
          </w:p>
        </w:tc>
      </w:tr>
      <w:tr>
        <w:tc>
          <w:tcPr>
            <w:tcW w:type="dxa" w:w="2600"/>
            <w:tcMar>
              <w:top w:type="dxa" w:w="60"/>
              <w:left w:type="dxa" w:w="100"/>
              <w:bottom w:type="dxa" w:w="60"/>
              <w:right w:type="dxa" w:w="100"/>
            </w:tcMar>
          </w:tcPr>
          <w:p>
            <w:r>
              <w:rPr>
                <w:rFonts w:ascii="Calibri" w:cs="Calibri" w:eastAsia="Calibri" w:hAnsi="Calibri"/>
                <w:b w:val="false"/>
                <w:bCs w:val="false"/>
                <w:sz w:val="19"/>
                <w:szCs w:val="19"/>
              </w:rPr>
              <w:t xml:space="preserve">Bulk-deal disclosures</w:t>
            </w:r>
          </w:p>
        </w:tc>
        <w:tc>
          <w:tcPr>
            <w:tcW w:type="dxa" w:w="2300"/>
            <w:tcMar>
              <w:top w:type="dxa" w:w="60"/>
              <w:left w:type="dxa" w:w="100"/>
              <w:bottom w:type="dxa" w:w="60"/>
              <w:right w:type="dxa" w:w="100"/>
            </w:tcMar>
          </w:tcPr>
          <w:p>
            <w:r>
              <w:rPr>
                <w:rFonts w:ascii="Calibri" w:cs="Calibri" w:eastAsia="Calibri" w:hAnsi="Calibri"/>
                <w:b w:val="false"/>
                <w:bCs w:val="false"/>
                <w:sz w:val="19"/>
                <w:szCs w:val="19"/>
              </w:rPr>
              <w:t xml:space="preserve">Jan 2024 to Jul 2026</w:t>
            </w:r>
          </w:p>
        </w:tc>
        <w:tc>
          <w:tcPr>
            <w:tcW w:type="dxa" w:w="1900"/>
            <w:tcMar>
              <w:top w:type="dxa" w:w="60"/>
              <w:left w:type="dxa" w:w="100"/>
              <w:bottom w:type="dxa" w:w="60"/>
              <w:right w:type="dxa" w:w="100"/>
            </w:tcMar>
          </w:tcPr>
          <w:p>
            <w:r>
              <w:rPr>
                <w:rFonts w:ascii="Calibri" w:cs="Calibri" w:eastAsia="Calibri" w:hAnsi="Calibri"/>
                <w:b w:val="false"/>
                <w:bCs w:val="false"/>
                <w:sz w:val="19"/>
                <w:szCs w:val="19"/>
              </w:rPr>
              <w:t xml:space="preserve">46,177 deals</w:t>
            </w:r>
          </w:p>
        </w:tc>
        <w:tc>
          <w:tcPr>
            <w:tcW w:type="dxa" w:w="2800"/>
            <w:tcMar>
              <w:top w:type="dxa" w:w="60"/>
              <w:left w:type="dxa" w:w="100"/>
              <w:bottom w:type="dxa" w:w="60"/>
              <w:right w:type="dxa" w:w="100"/>
            </w:tcMar>
          </w:tcPr>
          <w:p>
            <w:r>
              <w:rPr>
                <w:rFonts w:ascii="Calibri" w:cs="Calibri" w:eastAsia="Calibri" w:hAnsi="Calibri"/>
                <w:b w:val="false"/>
                <w:bCs w:val="false"/>
                <w:sz w:val="19"/>
                <w:szCs w:val="19"/>
              </w:rPr>
              <w:t xml:space="preserve">NSE report archive (manual CSV export)</w:t>
            </w:r>
          </w:p>
        </w:tc>
      </w:tr>
      <w:tr>
        <w:tc>
          <w:tcPr>
            <w:tcW w:type="dxa" w:w="2600"/>
            <w:tcMar>
              <w:top w:type="dxa" w:w="60"/>
              <w:left w:type="dxa" w:w="100"/>
              <w:bottom w:type="dxa" w:w="60"/>
              <w:right w:type="dxa" w:w="100"/>
            </w:tcMar>
          </w:tcPr>
          <w:p>
            <w:r>
              <w:rPr>
                <w:rFonts w:ascii="Calibri" w:cs="Calibri" w:eastAsia="Calibri" w:hAnsi="Calibri"/>
                <w:b w:val="false"/>
                <w:bCs w:val="false"/>
                <w:sz w:val="19"/>
                <w:szCs w:val="19"/>
              </w:rPr>
              <w:t xml:space="preserve">Block-deal disclosures</w:t>
            </w:r>
          </w:p>
        </w:tc>
        <w:tc>
          <w:tcPr>
            <w:tcW w:type="dxa" w:w="2300"/>
            <w:tcMar>
              <w:top w:type="dxa" w:w="60"/>
              <w:left w:type="dxa" w:w="100"/>
              <w:bottom w:type="dxa" w:w="60"/>
              <w:right w:type="dxa" w:w="100"/>
            </w:tcMar>
          </w:tcPr>
          <w:p>
            <w:r>
              <w:rPr>
                <w:rFonts w:ascii="Calibri" w:cs="Calibri" w:eastAsia="Calibri" w:hAnsi="Calibri"/>
                <w:b w:val="false"/>
                <w:bCs w:val="false"/>
                <w:sz w:val="19"/>
                <w:szCs w:val="19"/>
              </w:rPr>
              <w:t xml:space="preserve">Jan 2025 to Jun 2026</w:t>
            </w:r>
          </w:p>
        </w:tc>
        <w:tc>
          <w:tcPr>
            <w:tcW w:type="dxa" w:w="1900"/>
            <w:tcMar>
              <w:top w:type="dxa" w:w="60"/>
              <w:left w:type="dxa" w:w="100"/>
              <w:bottom w:type="dxa" w:w="60"/>
              <w:right w:type="dxa" w:w="100"/>
            </w:tcMar>
          </w:tcPr>
          <w:p>
            <w:r>
              <w:rPr>
                <w:rFonts w:ascii="Calibri" w:cs="Calibri" w:eastAsia="Calibri" w:hAnsi="Calibri"/>
                <w:b w:val="false"/>
                <w:bCs w:val="false"/>
                <w:sz w:val="19"/>
                <w:szCs w:val="19"/>
              </w:rPr>
              <w:t xml:space="preserve">2,702 deals</w:t>
            </w:r>
          </w:p>
        </w:tc>
        <w:tc>
          <w:tcPr>
            <w:tcW w:type="dxa" w:w="2800"/>
            <w:tcMar>
              <w:top w:type="dxa" w:w="60"/>
              <w:left w:type="dxa" w:w="100"/>
              <w:bottom w:type="dxa" w:w="60"/>
              <w:right w:type="dxa" w:w="100"/>
            </w:tcMar>
          </w:tcPr>
          <w:p>
            <w:r>
              <w:rPr>
                <w:rFonts w:ascii="Calibri" w:cs="Calibri" w:eastAsia="Calibri" w:hAnsi="Calibri"/>
                <w:b w:val="false"/>
                <w:bCs w:val="false"/>
                <w:sz w:val="19"/>
                <w:szCs w:val="19"/>
              </w:rPr>
              <w:t xml:space="preserve">NSE report archive (manual CSV export)</w:t>
            </w:r>
          </w:p>
        </w:tc>
      </w:tr>
      <w:tr>
        <w:tc>
          <w:tcPr>
            <w:tcW w:type="dxa" w:w="2600"/>
            <w:tcMar>
              <w:top w:type="dxa" w:w="60"/>
              <w:left w:type="dxa" w:w="100"/>
              <w:bottom w:type="dxa" w:w="60"/>
              <w:right w:type="dxa" w:w="100"/>
            </w:tcMar>
          </w:tcPr>
          <w:p>
            <w:r>
              <w:rPr>
                <w:rFonts w:ascii="Calibri" w:cs="Calibri" w:eastAsia="Calibri" w:hAnsi="Calibri"/>
                <w:b w:val="false"/>
                <w:bCs w:val="false"/>
                <w:sz w:val="19"/>
                <w:szCs w:val="19"/>
              </w:rPr>
              <w:t xml:space="preserve">Daily OHLCV, NIFTY 50</w:t>
            </w:r>
          </w:p>
        </w:tc>
        <w:tc>
          <w:tcPr>
            <w:tcW w:type="dxa" w:w="2300"/>
            <w:tcMar>
              <w:top w:type="dxa" w:w="60"/>
              <w:left w:type="dxa" w:w="100"/>
              <w:bottom w:type="dxa" w:w="60"/>
              <w:right w:type="dxa" w:w="100"/>
            </w:tcMar>
          </w:tcPr>
          <w:p>
            <w:r>
              <w:rPr>
                <w:rFonts w:ascii="Calibri" w:cs="Calibri" w:eastAsia="Calibri" w:hAnsi="Calibri"/>
                <w:b w:val="false"/>
                <w:bCs w:val="false"/>
                <w:sz w:val="19"/>
                <w:szCs w:val="19"/>
              </w:rPr>
              <w:t xml:space="preserve">Jul 2024 to Jul 2026</w:t>
            </w:r>
          </w:p>
        </w:tc>
        <w:tc>
          <w:tcPr>
            <w:tcW w:type="dxa" w:w="1900"/>
            <w:tcMar>
              <w:top w:type="dxa" w:w="60"/>
              <w:left w:type="dxa" w:w="100"/>
              <w:bottom w:type="dxa" w:w="60"/>
              <w:right w:type="dxa" w:w="100"/>
            </w:tcMar>
          </w:tcPr>
          <w:p>
            <w:r>
              <w:rPr>
                <w:rFonts w:ascii="Calibri" w:cs="Calibri" w:eastAsia="Calibri" w:hAnsi="Calibri"/>
                <w:b w:val="false"/>
                <w:bCs w:val="false"/>
                <w:sz w:val="19"/>
                <w:szCs w:val="19"/>
              </w:rPr>
              <w:t xml:space="preserve">25,000 sym-days</w:t>
            </w:r>
          </w:p>
        </w:tc>
        <w:tc>
          <w:tcPr>
            <w:tcW w:type="dxa" w:w="2800"/>
            <w:tcMar>
              <w:top w:type="dxa" w:w="60"/>
              <w:left w:type="dxa" w:w="100"/>
              <w:bottom w:type="dxa" w:w="60"/>
              <w:right w:type="dxa" w:w="100"/>
            </w:tcMar>
          </w:tcPr>
          <w:p>
            <w:r>
              <w:rPr>
                <w:rFonts w:ascii="Calibri" w:cs="Calibri" w:eastAsia="Calibri" w:hAnsi="Calibri"/>
                <w:b w:val="false"/>
                <w:bCs w:val="false"/>
                <w:sz w:val="19"/>
                <w:szCs w:val="19"/>
              </w:rPr>
              <w:t xml:space="preserve">Yahoo Finance</w:t>
            </w:r>
          </w:p>
        </w:tc>
      </w:tr>
      <w:tr>
        <w:tc>
          <w:tcPr>
            <w:tcW w:type="dxa" w:w="2600"/>
            <w:tcMar>
              <w:top w:type="dxa" w:w="60"/>
              <w:left w:type="dxa" w:w="100"/>
              <w:bottom w:type="dxa" w:w="60"/>
              <w:right w:type="dxa" w:w="100"/>
            </w:tcMar>
          </w:tcPr>
          <w:p>
            <w:r>
              <w:rPr>
                <w:rFonts w:ascii="Calibri" w:cs="Calibri" w:eastAsia="Calibri" w:hAnsi="Calibri"/>
                <w:b w:val="false"/>
                <w:bCs w:val="false"/>
                <w:sz w:val="19"/>
                <w:szCs w:val="19"/>
              </w:rPr>
              <w:t xml:space="preserve">Security-wise delivery %</w:t>
            </w:r>
          </w:p>
        </w:tc>
        <w:tc>
          <w:tcPr>
            <w:tcW w:type="dxa" w:w="2300"/>
            <w:tcMar>
              <w:top w:type="dxa" w:w="60"/>
              <w:left w:type="dxa" w:w="100"/>
              <w:bottom w:type="dxa" w:w="60"/>
              <w:right w:type="dxa" w:w="100"/>
            </w:tcMar>
          </w:tcPr>
          <w:p>
            <w:r>
              <w:rPr>
                <w:rFonts w:ascii="Calibri" w:cs="Calibri" w:eastAsia="Calibri" w:hAnsi="Calibri"/>
                <w:b w:val="false"/>
                <w:bCs w:val="false"/>
                <w:sz w:val="19"/>
                <w:szCs w:val="19"/>
              </w:rPr>
              <w:t xml:space="preserve">Jan 2026 to Jul 2026</w:t>
            </w:r>
          </w:p>
        </w:tc>
        <w:tc>
          <w:tcPr>
            <w:tcW w:type="dxa" w:w="1900"/>
            <w:tcMar>
              <w:top w:type="dxa" w:w="60"/>
              <w:left w:type="dxa" w:w="100"/>
              <w:bottom w:type="dxa" w:w="60"/>
              <w:right w:type="dxa" w:w="100"/>
            </w:tcMar>
          </w:tcPr>
          <w:p>
            <w:r>
              <w:rPr>
                <w:rFonts w:ascii="Calibri" w:cs="Calibri" w:eastAsia="Calibri" w:hAnsi="Calibri"/>
                <w:b w:val="false"/>
                <w:bCs w:val="false"/>
                <w:sz w:val="19"/>
                <w:szCs w:val="19"/>
              </w:rPr>
              <w:t xml:space="preserve">272,440 sym-days</w:t>
            </w:r>
          </w:p>
        </w:tc>
        <w:tc>
          <w:tcPr>
            <w:tcW w:type="dxa" w:w="2800"/>
            <w:tcMar>
              <w:top w:type="dxa" w:w="60"/>
              <w:left w:type="dxa" w:w="100"/>
              <w:bottom w:type="dxa" w:w="60"/>
              <w:right w:type="dxa" w:w="100"/>
            </w:tcMar>
          </w:tcPr>
          <w:p>
            <w:r>
              <w:rPr>
                <w:rFonts w:ascii="Calibri" w:cs="Calibri" w:eastAsia="Calibri" w:hAnsi="Calibri"/>
                <w:b w:val="false"/>
                <w:bCs w:val="false"/>
                <w:sz w:val="19"/>
                <w:szCs w:val="19"/>
              </w:rPr>
              <w:t xml:space="preserve">NSE bhavcopy</w:t>
            </w:r>
          </w:p>
        </w:tc>
      </w:tr>
      <w:tr>
        <w:tc>
          <w:tcPr>
            <w:tcW w:type="dxa" w:w="2600"/>
            <w:tcMar>
              <w:top w:type="dxa" w:w="60"/>
              <w:left w:type="dxa" w:w="100"/>
              <w:bottom w:type="dxa" w:w="60"/>
              <w:right w:type="dxa" w:w="100"/>
            </w:tcMar>
          </w:tcPr>
          <w:p>
            <w:r>
              <w:rPr>
                <w:rFonts w:ascii="Calibri" w:cs="Calibri" w:eastAsia="Calibri" w:hAnsi="Calibri"/>
                <w:b w:val="false"/>
                <w:bCs w:val="false"/>
                <w:sz w:val="19"/>
                <w:szCs w:val="19"/>
              </w:rPr>
              <w:t xml:space="preserve">FII/DII aggregate flows</w:t>
            </w:r>
          </w:p>
        </w:tc>
        <w:tc>
          <w:tcPr>
            <w:tcW w:type="dxa" w:w="2300"/>
            <w:tcMar>
              <w:top w:type="dxa" w:w="60"/>
              <w:left w:type="dxa" w:w="100"/>
              <w:bottom w:type="dxa" w:w="60"/>
              <w:right w:type="dxa" w:w="100"/>
            </w:tcMar>
          </w:tcPr>
          <w:p>
            <w:r>
              <w:rPr>
                <w:rFonts w:ascii="Calibri" w:cs="Calibri" w:eastAsia="Calibri" w:hAnsi="Calibri"/>
                <w:b w:val="false"/>
                <w:bCs w:val="false"/>
                <w:sz w:val="19"/>
                <w:szCs w:val="19"/>
              </w:rPr>
              <w:t xml:space="preserve">Jul 2026 (2 days)</w:t>
            </w:r>
          </w:p>
        </w:tc>
        <w:tc>
          <w:tcPr>
            <w:tcW w:type="dxa" w:w="1900"/>
            <w:tcMar>
              <w:top w:type="dxa" w:w="60"/>
              <w:left w:type="dxa" w:w="100"/>
              <w:bottom w:type="dxa" w:w="60"/>
              <w:right w:type="dxa" w:w="100"/>
            </w:tcMar>
          </w:tcPr>
          <w:p>
            <w:r>
              <w:rPr>
                <w:rFonts w:ascii="Calibri" w:cs="Calibri" w:eastAsia="Calibri" w:hAnsi="Calibri"/>
                <w:b w:val="false"/>
                <w:bCs w:val="false"/>
                <w:sz w:val="19"/>
                <w:szCs w:val="19"/>
              </w:rPr>
              <w:t xml:space="preserve">4 rows</w:t>
            </w:r>
          </w:p>
        </w:tc>
        <w:tc>
          <w:tcPr>
            <w:tcW w:type="dxa" w:w="2800"/>
            <w:tcMar>
              <w:top w:type="dxa" w:w="60"/>
              <w:left w:type="dxa" w:w="100"/>
              <w:bottom w:type="dxa" w:w="60"/>
              <w:right w:type="dxa" w:w="100"/>
            </w:tcMar>
          </w:tcPr>
          <w:p>
            <w:r>
              <w:rPr>
                <w:rFonts w:ascii="Calibri" w:cs="Calibri" w:eastAsia="Calibri" w:hAnsi="Calibri"/>
                <w:b w:val="false"/>
                <w:bCs w:val="false"/>
                <w:sz w:val="19"/>
                <w:szCs w:val="19"/>
              </w:rPr>
              <w:t xml:space="preserve">NSE (accumulating daily)</w:t>
            </w:r>
          </w:p>
        </w:tc>
      </w:tr>
    </w:tbl>
    <w:p>
      <w:pPr>
        <w:spacing w:after="120" w:before="0"/>
      </w:pPr>
      <w:r>
        <w:rPr>
          <w:rFonts w:ascii="Calibri" w:cs="Calibri" w:eastAsia="Calibri" w:hAnsi="Calibri"/>
          <w:sz w:val="22"/>
          <w:szCs w:val="22"/>
        </w:rPr>
        <w:t xml:space="preserve"/>
      </w:r>
    </w:p>
    <w:p>
      <w:pPr>
        <w:spacing w:after="160" w:before="0"/>
      </w:pPr>
      <w:r>
        <w:rPr>
          <w:rFonts w:ascii="Calibri" w:cs="Calibri" w:eastAsia="Calibri" w:hAnsi="Calibri"/>
          <w:sz w:val="22"/>
          <w:szCs w:val="22"/>
        </w:rPr>
        <w:t xml:space="preserve">The 48,879 deals span 2,443 different symbols. Only 844 of them, or 1.7%, touch a NIFTY 50 constituent. That is itself a finding. The 0.5% ownership threshold makes bulk deals rare in mega-caps, so most disclosed smart-money activity actually happens in mid- and small-cap names that sit outside this study’s price universe.</w:t>
      </w:r>
    </w:p>
    <w:p>
      <w:pPr>
        <w:spacing w:after="160" w:before="0"/>
      </w:pPr>
      <w:r>
        <w:rPr>
          <w:rFonts w:ascii="Calibri" w:cs="Calibri" w:eastAsia="Calibri" w:hAnsi="Calibri"/>
          <w:sz w:val="22"/>
          <w:szCs w:val="22"/>
        </w:rPr>
        <w:t xml:space="preserve">I classify each deal participant into a behavioural profile using keyword rules over the disclosed name.</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2600"/>
      </w:tblGrid>
      <w:tr>
        <w:tc>
          <w:tcPr>
            <w:tcW w:type="dxa" w:w="3400"/>
            <w:shd w:fill="E8EEF7" w:val="clear"/>
            <w:tcMar>
              <w:top w:type="dxa" w:w="60"/>
              <w:left w:type="dxa" w:w="100"/>
              <w:bottom w:type="dxa" w:w="60"/>
              <w:right w:type="dxa" w:w="100"/>
            </w:tcMar>
          </w:tcPr>
          <w:p>
            <w:r>
              <w:rPr>
                <w:rFonts w:ascii="Calibri" w:cs="Calibri" w:eastAsia="Calibri" w:hAnsi="Calibri"/>
                <w:b/>
                <w:bCs/>
                <w:sz w:val="19"/>
                <w:szCs w:val="19"/>
              </w:rPr>
              <w:t xml:space="preserve">Profile</w:t>
            </w:r>
          </w:p>
        </w:tc>
        <w:tc>
          <w:tcPr>
            <w:tcW w:type="dxa" w:w="1600"/>
            <w:shd w:fill="E8EEF7" w:val="clear"/>
            <w:tcMar>
              <w:top w:type="dxa" w:w="60"/>
              <w:left w:type="dxa" w:w="100"/>
              <w:bottom w:type="dxa" w:w="60"/>
              <w:right w:type="dxa" w:w="100"/>
            </w:tcMar>
          </w:tcPr>
          <w:p>
            <w:r>
              <w:rPr>
                <w:rFonts w:ascii="Calibri" w:cs="Calibri" w:eastAsia="Calibri" w:hAnsi="Calibri"/>
                <w:b/>
                <w:bCs/>
                <w:sz w:val="19"/>
                <w:szCs w:val="19"/>
              </w:rPr>
              <w:t xml:space="preserve">Deals</w:t>
            </w:r>
          </w:p>
        </w:tc>
        <w:tc>
          <w:tcPr>
            <w:tcW w:type="dxa" w:w="2600"/>
            <w:shd w:fill="E8EEF7" w:val="clear"/>
            <w:tcMar>
              <w:top w:type="dxa" w:w="60"/>
              <w:left w:type="dxa" w:w="100"/>
              <w:bottom w:type="dxa" w:w="60"/>
              <w:right w:type="dxa" w:w="100"/>
            </w:tcMar>
          </w:tcPr>
          <w:p>
            <w:r>
              <w:rPr>
                <w:rFonts w:ascii="Calibri" w:cs="Calibri" w:eastAsia="Calibri" w:hAnsi="Calibri"/>
                <w:b/>
                <w:bCs/>
                <w:sz w:val="19"/>
                <w:szCs w:val="19"/>
              </w:rPr>
              <w:t xml:space="preserve">Gross value (Rs crore)</w:t>
            </w:r>
          </w:p>
        </w:tc>
      </w:tr>
      <w:tr>
        <w:tc>
          <w:tcPr>
            <w:tcW w:type="dxa" w:w="3400"/>
            <w:tcMar>
              <w:top w:type="dxa" w:w="60"/>
              <w:left w:type="dxa" w:w="100"/>
              <w:bottom w:type="dxa" w:w="60"/>
              <w:right w:type="dxa" w:w="100"/>
            </w:tcMar>
          </w:tcPr>
          <w:p>
            <w:r>
              <w:rPr>
                <w:rFonts w:ascii="Calibri" w:cs="Calibri" w:eastAsia="Calibri" w:hAnsi="Calibri"/>
                <w:b w:val="false"/>
                <w:bCs w:val="false"/>
                <w:sz w:val="19"/>
                <w:szCs w:val="19"/>
              </w:rPr>
              <w:t xml:space="preserve">Other / Retail-HNI</w:t>
            </w:r>
          </w:p>
        </w:tc>
        <w:tc>
          <w:tcPr>
            <w:tcW w:type="dxa" w:w="1600"/>
            <w:tcMar>
              <w:top w:type="dxa" w:w="60"/>
              <w:left w:type="dxa" w:w="100"/>
              <w:bottom w:type="dxa" w:w="60"/>
              <w:right w:type="dxa" w:w="100"/>
            </w:tcMar>
          </w:tcPr>
          <w:p>
            <w:r>
              <w:rPr>
                <w:rFonts w:ascii="Calibri" w:cs="Calibri" w:eastAsia="Calibri" w:hAnsi="Calibri"/>
                <w:b w:val="false"/>
                <w:bCs w:val="false"/>
                <w:sz w:val="19"/>
                <w:szCs w:val="19"/>
              </w:rPr>
              <w:t xml:space="preserve">27,401</w:t>
            </w:r>
          </w:p>
        </w:tc>
        <w:tc>
          <w:tcPr>
            <w:tcW w:type="dxa" w:w="2600"/>
            <w:tcMar>
              <w:top w:type="dxa" w:w="60"/>
              <w:left w:type="dxa" w:w="100"/>
              <w:bottom w:type="dxa" w:w="60"/>
              <w:right w:type="dxa" w:w="100"/>
            </w:tcMar>
          </w:tcPr>
          <w:p>
            <w:r>
              <w:rPr>
                <w:rFonts w:ascii="Calibri" w:cs="Calibri" w:eastAsia="Calibri" w:hAnsi="Calibri"/>
                <w:b w:val="false"/>
                <w:bCs w:val="false"/>
                <w:sz w:val="19"/>
                <w:szCs w:val="19"/>
              </w:rPr>
              <w:t xml:space="preserve">767,178</w:t>
            </w:r>
          </w:p>
        </w:tc>
      </w:tr>
      <w:tr>
        <w:tc>
          <w:tcPr>
            <w:tcW w:type="dxa" w:w="3400"/>
            <w:tcMar>
              <w:top w:type="dxa" w:w="60"/>
              <w:left w:type="dxa" w:w="100"/>
              <w:bottom w:type="dxa" w:w="60"/>
              <w:right w:type="dxa" w:w="100"/>
            </w:tcMar>
          </w:tcPr>
          <w:p>
            <w:r>
              <w:rPr>
                <w:rFonts w:ascii="Calibri" w:cs="Calibri" w:eastAsia="Calibri" w:hAnsi="Calibri"/>
                <w:b w:val="false"/>
                <w:bCs w:val="false"/>
                <w:sz w:val="19"/>
                <w:szCs w:val="19"/>
              </w:rPr>
              <w:t xml:space="preserve">Proprietary / HFT desk</w:t>
            </w:r>
          </w:p>
        </w:tc>
        <w:tc>
          <w:tcPr>
            <w:tcW w:type="dxa" w:w="1600"/>
            <w:tcMar>
              <w:top w:type="dxa" w:w="60"/>
              <w:left w:type="dxa" w:w="100"/>
              <w:bottom w:type="dxa" w:w="60"/>
              <w:right w:type="dxa" w:w="100"/>
            </w:tcMar>
          </w:tcPr>
          <w:p>
            <w:r>
              <w:rPr>
                <w:rFonts w:ascii="Calibri" w:cs="Calibri" w:eastAsia="Calibri" w:hAnsi="Calibri"/>
                <w:b w:val="false"/>
                <w:bCs w:val="false"/>
                <w:sz w:val="19"/>
                <w:szCs w:val="19"/>
              </w:rPr>
              <w:t xml:space="preserve">9,820</w:t>
            </w:r>
          </w:p>
        </w:tc>
        <w:tc>
          <w:tcPr>
            <w:tcW w:type="dxa" w:w="2600"/>
            <w:tcMar>
              <w:top w:type="dxa" w:w="60"/>
              <w:left w:type="dxa" w:w="100"/>
              <w:bottom w:type="dxa" w:w="60"/>
              <w:right w:type="dxa" w:w="100"/>
            </w:tcMar>
          </w:tcPr>
          <w:p>
            <w:r>
              <w:rPr>
                <w:rFonts w:ascii="Calibri" w:cs="Calibri" w:eastAsia="Calibri" w:hAnsi="Calibri"/>
                <w:b w:val="false"/>
                <w:bCs w:val="false"/>
                <w:sz w:val="19"/>
                <w:szCs w:val="19"/>
              </w:rPr>
              <w:t xml:space="preserve">291,296</w:t>
            </w:r>
          </w:p>
        </w:tc>
      </w:tr>
      <w:tr>
        <w:tc>
          <w:tcPr>
            <w:tcW w:type="dxa" w:w="3400"/>
            <w:tcMar>
              <w:top w:type="dxa" w:w="60"/>
              <w:left w:type="dxa" w:w="100"/>
              <w:bottom w:type="dxa" w:w="60"/>
              <w:right w:type="dxa" w:w="100"/>
            </w:tcMar>
          </w:tcPr>
          <w:p>
            <w:r>
              <w:rPr>
                <w:rFonts w:ascii="Calibri" w:cs="Calibri" w:eastAsia="Calibri" w:hAnsi="Calibri"/>
                <w:b w:val="false"/>
                <w:bCs w:val="false"/>
                <w:sz w:val="19"/>
                <w:szCs w:val="19"/>
              </w:rPr>
              <w:t xml:space="preserve">FII / FPI</w:t>
            </w:r>
          </w:p>
        </w:tc>
        <w:tc>
          <w:tcPr>
            <w:tcW w:type="dxa" w:w="1600"/>
            <w:tcMar>
              <w:top w:type="dxa" w:w="60"/>
              <w:left w:type="dxa" w:w="100"/>
              <w:bottom w:type="dxa" w:w="60"/>
              <w:right w:type="dxa" w:w="100"/>
            </w:tcMar>
          </w:tcPr>
          <w:p>
            <w:r>
              <w:rPr>
                <w:rFonts w:ascii="Calibri" w:cs="Calibri" w:eastAsia="Calibri" w:hAnsi="Calibri"/>
                <w:b w:val="false"/>
                <w:bCs w:val="false"/>
                <w:sz w:val="19"/>
                <w:szCs w:val="19"/>
              </w:rPr>
              <w:t xml:space="preserve">8,195</w:t>
            </w:r>
          </w:p>
        </w:tc>
        <w:tc>
          <w:tcPr>
            <w:tcW w:type="dxa" w:w="2600"/>
            <w:tcMar>
              <w:top w:type="dxa" w:w="60"/>
              <w:left w:type="dxa" w:w="100"/>
              <w:bottom w:type="dxa" w:w="60"/>
              <w:right w:type="dxa" w:w="100"/>
            </w:tcMar>
          </w:tcPr>
          <w:p>
            <w:r>
              <w:rPr>
                <w:rFonts w:ascii="Calibri" w:cs="Calibri" w:eastAsia="Calibri" w:hAnsi="Calibri"/>
                <w:b w:val="false"/>
                <w:bCs w:val="false"/>
                <w:sz w:val="19"/>
                <w:szCs w:val="19"/>
              </w:rPr>
              <w:t xml:space="preserve">519,449</w:t>
            </w:r>
          </w:p>
        </w:tc>
      </w:tr>
      <w:tr>
        <w:tc>
          <w:tcPr>
            <w:tcW w:type="dxa" w:w="3400"/>
            <w:tcMar>
              <w:top w:type="dxa" w:w="60"/>
              <w:left w:type="dxa" w:w="100"/>
              <w:bottom w:type="dxa" w:w="60"/>
              <w:right w:type="dxa" w:w="100"/>
            </w:tcMar>
          </w:tcPr>
          <w:p>
            <w:r>
              <w:rPr>
                <w:rFonts w:ascii="Calibri" w:cs="Calibri" w:eastAsia="Calibri" w:hAnsi="Calibri"/>
                <w:b w:val="false"/>
                <w:bCs w:val="false"/>
                <w:sz w:val="19"/>
                <w:szCs w:val="19"/>
              </w:rPr>
              <w:t xml:space="preserve">DII - AIF / PMS / NBFC</w:t>
            </w:r>
          </w:p>
        </w:tc>
        <w:tc>
          <w:tcPr>
            <w:tcW w:type="dxa" w:w="1600"/>
            <w:tcMar>
              <w:top w:type="dxa" w:w="60"/>
              <w:left w:type="dxa" w:w="100"/>
              <w:bottom w:type="dxa" w:w="60"/>
              <w:right w:type="dxa" w:w="100"/>
            </w:tcMar>
          </w:tcPr>
          <w:p>
            <w:r>
              <w:rPr>
                <w:rFonts w:ascii="Calibri" w:cs="Calibri" w:eastAsia="Calibri" w:hAnsi="Calibri"/>
                <w:b w:val="false"/>
                <w:bCs w:val="false"/>
                <w:sz w:val="19"/>
                <w:szCs w:val="19"/>
              </w:rPr>
              <w:t xml:space="preserve">1,837</w:t>
            </w:r>
          </w:p>
        </w:tc>
        <w:tc>
          <w:tcPr>
            <w:tcW w:type="dxa" w:w="2600"/>
            <w:tcMar>
              <w:top w:type="dxa" w:w="60"/>
              <w:left w:type="dxa" w:w="100"/>
              <w:bottom w:type="dxa" w:w="60"/>
              <w:right w:type="dxa" w:w="100"/>
            </w:tcMar>
          </w:tcPr>
          <w:p>
            <w:r>
              <w:rPr>
                <w:rFonts w:ascii="Calibri" w:cs="Calibri" w:eastAsia="Calibri" w:hAnsi="Calibri"/>
                <w:b w:val="false"/>
                <w:bCs w:val="false"/>
                <w:sz w:val="19"/>
                <w:szCs w:val="19"/>
              </w:rPr>
              <w:t xml:space="preserve">51,760</w:t>
            </w:r>
          </w:p>
        </w:tc>
      </w:tr>
      <w:tr>
        <w:tc>
          <w:tcPr>
            <w:tcW w:type="dxa" w:w="3400"/>
            <w:tcMar>
              <w:top w:type="dxa" w:w="60"/>
              <w:left w:type="dxa" w:w="100"/>
              <w:bottom w:type="dxa" w:w="60"/>
              <w:right w:type="dxa" w:w="100"/>
            </w:tcMar>
          </w:tcPr>
          <w:p>
            <w:r>
              <w:rPr>
                <w:rFonts w:ascii="Calibri" w:cs="Calibri" w:eastAsia="Calibri" w:hAnsi="Calibri"/>
                <w:b w:val="false"/>
                <w:bCs w:val="false"/>
                <w:sz w:val="19"/>
                <w:szCs w:val="19"/>
              </w:rPr>
              <w:t xml:space="preserve">DII - Mutual Fund</w:t>
            </w:r>
          </w:p>
        </w:tc>
        <w:tc>
          <w:tcPr>
            <w:tcW w:type="dxa" w:w="1600"/>
            <w:tcMar>
              <w:top w:type="dxa" w:w="60"/>
              <w:left w:type="dxa" w:w="100"/>
              <w:bottom w:type="dxa" w:w="60"/>
              <w:right w:type="dxa" w:w="100"/>
            </w:tcMar>
          </w:tcPr>
          <w:p>
            <w:r>
              <w:rPr>
                <w:rFonts w:ascii="Calibri" w:cs="Calibri" w:eastAsia="Calibri" w:hAnsi="Calibri"/>
                <w:b w:val="false"/>
                <w:bCs w:val="false"/>
                <w:sz w:val="19"/>
                <w:szCs w:val="19"/>
              </w:rPr>
              <w:t xml:space="preserve">738</w:t>
            </w:r>
          </w:p>
        </w:tc>
        <w:tc>
          <w:tcPr>
            <w:tcW w:type="dxa" w:w="2600"/>
            <w:tcMar>
              <w:top w:type="dxa" w:w="60"/>
              <w:left w:type="dxa" w:w="100"/>
              <w:bottom w:type="dxa" w:w="60"/>
              <w:right w:type="dxa" w:w="100"/>
            </w:tcMar>
          </w:tcPr>
          <w:p>
            <w:r>
              <w:rPr>
                <w:rFonts w:ascii="Calibri" w:cs="Calibri" w:eastAsia="Calibri" w:hAnsi="Calibri"/>
                <w:b w:val="false"/>
                <w:bCs w:val="false"/>
                <w:sz w:val="19"/>
                <w:szCs w:val="19"/>
              </w:rPr>
              <w:t xml:space="preserve">112,975</w:t>
            </w:r>
          </w:p>
        </w:tc>
      </w:tr>
      <w:tr>
        <w:tc>
          <w:tcPr>
            <w:tcW w:type="dxa" w:w="3400"/>
            <w:tcMar>
              <w:top w:type="dxa" w:w="60"/>
              <w:left w:type="dxa" w:w="100"/>
              <w:bottom w:type="dxa" w:w="60"/>
              <w:right w:type="dxa" w:w="100"/>
            </w:tcMar>
          </w:tcPr>
          <w:p>
            <w:r>
              <w:rPr>
                <w:rFonts w:ascii="Calibri" w:cs="Calibri" w:eastAsia="Calibri" w:hAnsi="Calibri"/>
                <w:b w:val="false"/>
                <w:bCs w:val="false"/>
                <w:sz w:val="19"/>
                <w:szCs w:val="19"/>
              </w:rPr>
              <w:t xml:space="preserve">HNI / Family Office</w:t>
            </w:r>
          </w:p>
        </w:tc>
        <w:tc>
          <w:tcPr>
            <w:tcW w:type="dxa" w:w="1600"/>
            <w:tcMar>
              <w:top w:type="dxa" w:w="60"/>
              <w:left w:type="dxa" w:w="100"/>
              <w:bottom w:type="dxa" w:w="60"/>
              <w:right w:type="dxa" w:w="100"/>
            </w:tcMar>
          </w:tcPr>
          <w:p>
            <w:r>
              <w:rPr>
                <w:rFonts w:ascii="Calibri" w:cs="Calibri" w:eastAsia="Calibri" w:hAnsi="Calibri"/>
                <w:b w:val="false"/>
                <w:bCs w:val="false"/>
                <w:sz w:val="19"/>
                <w:szCs w:val="19"/>
              </w:rPr>
              <w:t xml:space="preserve">732</w:t>
            </w:r>
          </w:p>
        </w:tc>
        <w:tc>
          <w:tcPr>
            <w:tcW w:type="dxa" w:w="2600"/>
            <w:tcMar>
              <w:top w:type="dxa" w:w="60"/>
              <w:left w:type="dxa" w:w="100"/>
              <w:bottom w:type="dxa" w:w="60"/>
              <w:right w:type="dxa" w:w="100"/>
            </w:tcMar>
          </w:tcPr>
          <w:p>
            <w:r>
              <w:rPr>
                <w:rFonts w:ascii="Calibri" w:cs="Calibri" w:eastAsia="Calibri" w:hAnsi="Calibri"/>
                <w:b w:val="false"/>
                <w:bCs w:val="false"/>
                <w:sz w:val="19"/>
                <w:szCs w:val="19"/>
              </w:rPr>
              <w:t xml:space="preserve">14,096</w:t>
            </w:r>
          </w:p>
        </w:tc>
      </w:tr>
      <w:tr>
        <w:tc>
          <w:tcPr>
            <w:tcW w:type="dxa" w:w="3400"/>
            <w:tcMar>
              <w:top w:type="dxa" w:w="60"/>
              <w:left w:type="dxa" w:w="100"/>
              <w:bottom w:type="dxa" w:w="60"/>
              <w:right w:type="dxa" w:w="100"/>
            </w:tcMar>
          </w:tcPr>
          <w:p>
            <w:r>
              <w:rPr>
                <w:rFonts w:ascii="Calibri" w:cs="Calibri" w:eastAsia="Calibri" w:hAnsi="Calibri"/>
                <w:b w:val="false"/>
                <w:bCs w:val="false"/>
                <w:sz w:val="19"/>
                <w:szCs w:val="19"/>
              </w:rPr>
              <w:t xml:space="preserve">DII - Insurance</w:t>
            </w:r>
          </w:p>
        </w:tc>
        <w:tc>
          <w:tcPr>
            <w:tcW w:type="dxa" w:w="1600"/>
            <w:tcMar>
              <w:top w:type="dxa" w:w="60"/>
              <w:left w:type="dxa" w:w="100"/>
              <w:bottom w:type="dxa" w:w="60"/>
              <w:right w:type="dxa" w:w="100"/>
            </w:tcMar>
          </w:tcPr>
          <w:p>
            <w:r>
              <w:rPr>
                <w:rFonts w:ascii="Calibri" w:cs="Calibri" w:eastAsia="Calibri" w:hAnsi="Calibri"/>
                <w:b w:val="false"/>
                <w:bCs w:val="false"/>
                <w:sz w:val="19"/>
                <w:szCs w:val="19"/>
              </w:rPr>
              <w:t xml:space="preserve">156</w:t>
            </w:r>
          </w:p>
        </w:tc>
        <w:tc>
          <w:tcPr>
            <w:tcW w:type="dxa" w:w="2600"/>
            <w:tcMar>
              <w:top w:type="dxa" w:w="60"/>
              <w:left w:type="dxa" w:w="100"/>
              <w:bottom w:type="dxa" w:w="60"/>
              <w:right w:type="dxa" w:w="100"/>
            </w:tcMar>
          </w:tcPr>
          <w:p>
            <w:r>
              <w:rPr>
                <w:rFonts w:ascii="Calibri" w:cs="Calibri" w:eastAsia="Calibri" w:hAnsi="Calibri"/>
                <w:b w:val="false"/>
                <w:bCs w:val="false"/>
                <w:sz w:val="19"/>
                <w:szCs w:val="19"/>
              </w:rPr>
              <w:t xml:space="preserve">9,395</w:t>
            </w:r>
          </w:p>
        </w:tc>
      </w:tr>
    </w:tbl>
    <w:p>
      <w:pPr>
        <w:pStyle w:val="Heading1"/>
        <w:spacing w:after="160" w:before="320"/>
      </w:pPr>
      <w:r>
        <w:rPr>
          <w:rFonts w:ascii="Calibri" w:cs="Calibri" w:eastAsia="Calibri" w:hAnsi="Calibri"/>
          <w:b/>
          <w:bCs/>
          <w:color w:val="1F4E79"/>
          <w:sz w:val="30"/>
          <w:szCs w:val="30"/>
        </w:rPr>
        <w:t xml:space="preserve">3. Methodology</w:t>
      </w:r>
    </w:p>
    <w:p>
      <w:pPr>
        <w:pStyle w:val="ListParagraph"/>
        <w:numPr>
          <w:ilvl w:val="0"/>
          <w:numId w:val="2"/>
        </w:numPr>
        <w:spacing w:after="100"/>
      </w:pPr>
      <w:r>
        <w:rPr>
          <w:rFonts w:ascii="Calibri" w:cs="Calibri" w:eastAsia="Calibri" w:hAnsi="Calibri"/>
          <w:sz w:val="22"/>
          <w:szCs w:val="22"/>
        </w:rPr>
        <w:t xml:space="preserve">Participant event study. For every stock-and-participant pair with at least five distinct net-buy days, I compute forward 5- and 10-day returns from each event close, then test whether the mean is greater than zero with a one-sided t-test at the 5% level.</w:t>
      </w:r>
    </w:p>
    <w:p>
      <w:pPr>
        <w:pStyle w:val="ListParagraph"/>
        <w:numPr>
          <w:ilvl w:val="0"/>
          <w:numId w:val="2"/>
        </w:numPr>
        <w:spacing w:after="100"/>
      </w:pPr>
      <w:r>
        <w:rPr>
          <w:rFonts w:ascii="Calibri" w:cs="Calibri" w:eastAsia="Calibri" w:hAnsi="Calibri"/>
          <w:sz w:val="22"/>
          <w:szCs w:val="22"/>
        </w:rPr>
        <w:t xml:space="preserve">Robustness cascade. Three follow-up checks. First, market adjustment: subtract the equal-weight universe forward return over the same windows. Second, a clustering control: look at how the event dates are spaced, and collapse consecutive-day events into a single campaign when the gap is under seven calendar days. Third, multiple testing: a Benjamini-Hochberg adjustment across every pair tested.</w:t>
      </w:r>
    </w:p>
    <w:p>
      <w:pPr>
        <w:pStyle w:val="ListParagraph"/>
        <w:numPr>
          <w:ilvl w:val="0"/>
          <w:numId w:val="2"/>
        </w:numPr>
        <w:spacing w:after="100"/>
      </w:pPr>
      <w:r>
        <w:rPr>
          <w:rFonts w:ascii="Calibri" w:cs="Calibri" w:eastAsia="Calibri" w:hAnsi="Calibri"/>
          <w:sz w:val="22"/>
          <w:szCs w:val="22"/>
        </w:rPr>
        <w:t xml:space="preserve">Delivery-conviction study. A delivery-percentage z-score over a 60-day window, confirmed by volume, defines an accumulation day. I then run a Welch t-test of forward returns on spike days versus ordinary days.</w:t>
      </w:r>
    </w:p>
    <w:p>
      <w:pPr>
        <w:pStyle w:val="ListParagraph"/>
        <w:numPr>
          <w:ilvl w:val="0"/>
          <w:numId w:val="2"/>
        </w:numPr>
        <w:spacing w:after="100"/>
      </w:pPr>
      <w:r>
        <w:rPr>
          <w:rFonts w:ascii="Calibri" w:cs="Calibri" w:eastAsia="Calibri" w:hAnsi="Calibri"/>
          <w:sz w:val="22"/>
          <w:szCs w:val="22"/>
        </w:rPr>
        <w:t xml:space="preserve">Pooled predictability. An OLS regression of 5-day forward returns on delivery, volume, momentum and deal-flow features, with Newey-West errors. On top of that, a logistic regression and a random forest with a chronological 70/30 split, scored by out-of-sample ROC-AUC.</w:t>
      </w:r>
    </w:p>
    <w:p>
      <w:pPr>
        <w:spacing w:after="160" w:before="0"/>
      </w:pPr>
      <w:r>
        <w:rPr>
          <w:rFonts w:ascii="Calibri" w:cs="Calibri" w:eastAsia="Calibri" w:hAnsi="Calibri"/>
          <w:i/>
          <w:iCs/>
          <w:sz w:val="22"/>
          <w:szCs w:val="22"/>
        </w:rPr>
        <w:t xml:space="preserve">Every feature is knowable at the close of the signal day. Forward returns are used only as labels. No look-ahead is allowed anywhere in the pipeline.</w:t>
      </w:r>
    </w:p>
    <w:p>
      <w:pPr>
        <w:pStyle w:val="Heading1"/>
        <w:spacing w:after="160" w:before="320"/>
      </w:pPr>
      <w:r>
        <w:rPr>
          <w:rFonts w:ascii="Calibri" w:cs="Calibri" w:eastAsia="Calibri" w:hAnsi="Calibri"/>
          <w:b/>
          <w:bCs/>
          <w:color w:val="1F4E79"/>
          <w:sz w:val="30"/>
          <w:szCs w:val="30"/>
        </w:rPr>
        <w:t xml:space="preserve">4. Results</w:t>
      </w:r>
    </w:p>
    <w:p>
      <w:pPr>
        <w:pStyle w:val="Heading2"/>
        <w:spacing w:after="120" w:before="240"/>
      </w:pPr>
      <w:r>
        <w:rPr>
          <w:rFonts w:ascii="Calibri" w:cs="Calibri" w:eastAsia="Calibri" w:hAnsi="Calibri"/>
          <w:b/>
          <w:bCs/>
          <w:color w:val="1F4E79"/>
          <w:sz w:val="25"/>
          <w:szCs w:val="25"/>
        </w:rPr>
        <w:t xml:space="preserve">4.1 The naive result looks strong</w:t>
      </w:r>
    </w:p>
    <w:p>
      <w:pPr>
        <w:spacing w:after="160" w:before="0"/>
      </w:pPr>
      <w:r>
        <w:rPr>
          <w:rFonts w:ascii="Calibri" w:cs="Calibri" w:eastAsia="Calibri" w:hAnsi="Calibri"/>
          <w:sz w:val="22"/>
          <w:szCs w:val="22"/>
        </w:rPr>
        <w:t xml:space="preserve">Five stock-and-participant pairs cleared the minimum-event threshold in the NIFTY 50 universe. Three of them passed the naive significance test. All three involved the same participant, the offshore-derivative (ODI) desk of Goldman Sachs Bank Europe SE.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900"/>
        <w:gridCol w:w="1700"/>
        <w:gridCol w:w="1100"/>
        <w:gridCol w:w="1400"/>
      </w:tblGrid>
      <w:tr>
        <w:tc>
          <w:tcPr>
            <w:tcW w:type="dxa" w:w="1700"/>
            <w:shd w:fill="E8EEF7" w:val="clear"/>
            <w:tcMar>
              <w:top w:type="dxa" w:w="60"/>
              <w:left w:type="dxa" w:w="100"/>
              <w:bottom w:type="dxa" w:w="60"/>
              <w:right w:type="dxa" w:w="100"/>
            </w:tcMar>
          </w:tcPr>
          <w:p>
            <w:r>
              <w:rPr>
                <w:rFonts w:ascii="Calibri" w:cs="Calibri" w:eastAsia="Calibri" w:hAnsi="Calibri"/>
                <w:b/>
                <w:bCs/>
                <w:sz w:val="19"/>
                <w:szCs w:val="19"/>
              </w:rPr>
              <w:t xml:space="preserve">Stock</w:t>
            </w:r>
          </w:p>
        </w:tc>
        <w:tc>
          <w:tcPr>
            <w:tcW w:type="dxa" w:w="3500"/>
            <w:shd w:fill="E8EEF7" w:val="clear"/>
            <w:tcMar>
              <w:top w:type="dxa" w:w="60"/>
              <w:left w:type="dxa" w:w="100"/>
              <w:bottom w:type="dxa" w:w="60"/>
              <w:right w:type="dxa" w:w="100"/>
            </w:tcMar>
          </w:tcPr>
          <w:p>
            <w:r>
              <w:rPr>
                <w:rFonts w:ascii="Calibri" w:cs="Calibri" w:eastAsia="Calibri" w:hAnsi="Calibri"/>
                <w:b/>
                <w:bCs/>
                <w:sz w:val="19"/>
                <w:szCs w:val="19"/>
              </w:rPr>
              <w:t xml:space="preserve">Participant</w:t>
            </w:r>
          </w:p>
        </w:tc>
        <w:tc>
          <w:tcPr>
            <w:tcW w:type="dxa" w:w="900"/>
            <w:shd w:fill="E8EEF7" w:val="clear"/>
            <w:tcMar>
              <w:top w:type="dxa" w:w="60"/>
              <w:left w:type="dxa" w:w="100"/>
              <w:bottom w:type="dxa" w:w="60"/>
              <w:right w:type="dxa" w:w="100"/>
            </w:tcMar>
          </w:tcPr>
          <w:p>
            <w:r>
              <w:rPr>
                <w:rFonts w:ascii="Calibri" w:cs="Calibri" w:eastAsia="Calibri" w:hAnsi="Calibri"/>
                <w:b/>
                <w:bCs/>
                <w:sz w:val="19"/>
                <w:szCs w:val="19"/>
              </w:rPr>
              <w:t xml:space="preserve">Events</w:t>
            </w:r>
          </w:p>
        </w:tc>
        <w:tc>
          <w:tcPr>
            <w:tcW w:type="dxa" w:w="1700"/>
            <w:shd w:fill="E8EEF7" w:val="clear"/>
            <w:tcMar>
              <w:top w:type="dxa" w:w="60"/>
              <w:left w:type="dxa" w:w="100"/>
              <w:bottom w:type="dxa" w:w="60"/>
              <w:right w:type="dxa" w:w="100"/>
            </w:tcMar>
          </w:tcPr>
          <w:p>
            <w:r>
              <w:rPr>
                <w:rFonts w:ascii="Calibri" w:cs="Calibri" w:eastAsia="Calibri" w:hAnsi="Calibri"/>
                <w:b/>
                <w:bCs/>
                <w:sz w:val="19"/>
                <w:szCs w:val="19"/>
              </w:rPr>
              <w:t xml:space="preserve">Mean 10-day fwd</w:t>
            </w:r>
          </w:p>
        </w:tc>
        <w:tc>
          <w:tcPr>
            <w:tcW w:type="dxa" w:w="1100"/>
            <w:shd w:fill="E8EEF7" w:val="clear"/>
            <w:tcMar>
              <w:top w:type="dxa" w:w="60"/>
              <w:left w:type="dxa" w:w="100"/>
              <w:bottom w:type="dxa" w:w="60"/>
              <w:right w:type="dxa" w:w="100"/>
            </w:tcMar>
          </w:tcPr>
          <w:p>
            <w:r>
              <w:rPr>
                <w:rFonts w:ascii="Calibri" w:cs="Calibri" w:eastAsia="Calibri" w:hAnsi="Calibri"/>
                <w:b/>
                <w:bCs/>
                <w:sz w:val="19"/>
                <w:szCs w:val="19"/>
              </w:rPr>
              <w:t xml:space="preserve">Win rate</w:t>
            </w:r>
          </w:p>
        </w:tc>
        <w:tc>
          <w:tcPr>
            <w:tcW w:type="dxa" w:w="1400"/>
            <w:shd w:fill="E8EEF7" w:val="clear"/>
            <w:tcMar>
              <w:top w:type="dxa" w:w="60"/>
              <w:left w:type="dxa" w:w="100"/>
              <w:bottom w:type="dxa" w:w="60"/>
              <w:right w:type="dxa" w:w="100"/>
            </w:tcMar>
          </w:tcPr>
          <w:p>
            <w:r>
              <w:rPr>
                <w:rFonts w:ascii="Calibri" w:cs="Calibri" w:eastAsia="Calibri" w:hAnsi="Calibri"/>
                <w:b/>
                <w:bCs/>
                <w:sz w:val="19"/>
                <w:szCs w:val="19"/>
              </w:rPr>
              <w:t xml:space="preserve">p (one-sided)</w:t>
            </w:r>
          </w:p>
        </w:tc>
      </w:tr>
      <w:tr>
        <w:tc>
          <w:tcPr>
            <w:tcW w:type="dxa" w:w="1700"/>
            <w:tcMar>
              <w:top w:type="dxa" w:w="60"/>
              <w:left w:type="dxa" w:w="100"/>
              <w:bottom w:type="dxa" w:w="60"/>
              <w:right w:type="dxa" w:w="100"/>
            </w:tcMar>
          </w:tcPr>
          <w:p>
            <w:r>
              <w:rPr>
                <w:rFonts w:ascii="Calibri" w:cs="Calibri" w:eastAsia="Calibri" w:hAnsi="Calibri"/>
                <w:b w:val="false"/>
                <w:bCs w:val="false"/>
                <w:sz w:val="19"/>
                <w:szCs w:val="19"/>
              </w:rPr>
              <w:t xml:space="preserve">ETERNAL</w:t>
            </w:r>
          </w:p>
        </w:tc>
        <w:tc>
          <w:tcPr>
            <w:tcW w:type="dxa" w:w="3500"/>
            <w:tcMar>
              <w:top w:type="dxa" w:w="60"/>
              <w:left w:type="dxa" w:w="100"/>
              <w:bottom w:type="dxa" w:w="60"/>
              <w:right w:type="dxa" w:w="100"/>
            </w:tcMar>
          </w:tcPr>
          <w:p>
            <w:r>
              <w:rPr>
                <w:rFonts w:ascii="Calibri" w:cs="Calibri" w:eastAsia="Calibri" w:hAnsi="Calibri"/>
                <w:b w:val="false"/>
                <w:bCs w:val="false"/>
                <w:sz w:val="19"/>
                <w:szCs w:val="19"/>
              </w:rPr>
              <w:t xml:space="preserve">Goldman Sachs Bank Europe SE - ODI</w:t>
            </w:r>
          </w:p>
        </w:tc>
        <w:tc>
          <w:tcPr>
            <w:tcW w:type="dxa" w:w="900"/>
            <w:tcMar>
              <w:top w:type="dxa" w:w="60"/>
              <w:left w:type="dxa" w:w="100"/>
              <w:bottom w:type="dxa" w:w="60"/>
              <w:right w:type="dxa" w:w="100"/>
            </w:tcMar>
          </w:tcPr>
          <w:p>
            <w:r>
              <w:rPr>
                <w:rFonts w:ascii="Calibri" w:cs="Calibri" w:eastAsia="Calibri" w:hAnsi="Calibri"/>
                <w:b w:val="false"/>
                <w:bCs w:val="false"/>
                <w:sz w:val="19"/>
                <w:szCs w:val="19"/>
              </w:rPr>
              <w:t xml:space="preserve">12</w:t>
            </w:r>
          </w:p>
        </w:tc>
        <w:tc>
          <w:tcPr>
            <w:tcW w:type="dxa" w:w="1700"/>
            <w:tcMar>
              <w:top w:type="dxa" w:w="60"/>
              <w:left w:type="dxa" w:w="100"/>
              <w:bottom w:type="dxa" w:w="60"/>
              <w:right w:type="dxa" w:w="100"/>
            </w:tcMar>
          </w:tcPr>
          <w:p>
            <w:r>
              <w:rPr>
                <w:rFonts w:ascii="Calibri" w:cs="Calibri" w:eastAsia="Calibri" w:hAnsi="Calibri"/>
                <w:b w:val="false"/>
                <w:bCs w:val="false"/>
                <w:sz w:val="19"/>
                <w:szCs w:val="19"/>
              </w:rPr>
              <w:t xml:space="preserve">+1.98%</w:t>
            </w:r>
          </w:p>
        </w:tc>
        <w:tc>
          <w:tcPr>
            <w:tcW w:type="dxa" w:w="1100"/>
            <w:tcMar>
              <w:top w:type="dxa" w:w="60"/>
              <w:left w:type="dxa" w:w="100"/>
              <w:bottom w:type="dxa" w:w="60"/>
              <w:right w:type="dxa" w:w="100"/>
            </w:tcMar>
          </w:tcPr>
          <w:p>
            <w:r>
              <w:rPr>
                <w:rFonts w:ascii="Calibri" w:cs="Calibri" w:eastAsia="Calibri" w:hAnsi="Calibri"/>
                <w:b w:val="false"/>
                <w:bCs w:val="false"/>
                <w:sz w:val="19"/>
                <w:szCs w:val="19"/>
              </w:rPr>
              <w:t xml:space="preserve">92%</w:t>
            </w:r>
          </w:p>
        </w:tc>
        <w:tc>
          <w:tcPr>
            <w:tcW w:type="dxa" w:w="1400"/>
            <w:tcMar>
              <w:top w:type="dxa" w:w="60"/>
              <w:left w:type="dxa" w:w="100"/>
              <w:bottom w:type="dxa" w:w="60"/>
              <w:right w:type="dxa" w:w="100"/>
            </w:tcMar>
          </w:tcPr>
          <w:p>
            <w:r>
              <w:rPr>
                <w:rFonts w:ascii="Calibri" w:cs="Calibri" w:eastAsia="Calibri" w:hAnsi="Calibri"/>
                <w:b w:val="false"/>
                <w:bCs w:val="false"/>
                <w:sz w:val="19"/>
                <w:szCs w:val="19"/>
              </w:rPr>
              <w:t xml:space="preserve">0.0003</w:t>
            </w:r>
          </w:p>
        </w:tc>
      </w:tr>
      <w:tr>
        <w:tc>
          <w:tcPr>
            <w:tcW w:type="dxa" w:w="1700"/>
            <w:tcMar>
              <w:top w:type="dxa" w:w="60"/>
              <w:left w:type="dxa" w:w="100"/>
              <w:bottom w:type="dxa" w:w="60"/>
              <w:right w:type="dxa" w:w="100"/>
            </w:tcMar>
          </w:tcPr>
          <w:p>
            <w:r>
              <w:rPr>
                <w:rFonts w:ascii="Calibri" w:cs="Calibri" w:eastAsia="Calibri" w:hAnsi="Calibri"/>
                <w:b w:val="false"/>
                <w:bCs w:val="false"/>
                <w:sz w:val="19"/>
                <w:szCs w:val="19"/>
              </w:rPr>
              <w:t xml:space="preserve">KOTAKBANK</w:t>
            </w:r>
          </w:p>
        </w:tc>
        <w:tc>
          <w:tcPr>
            <w:tcW w:type="dxa" w:w="3500"/>
            <w:tcMar>
              <w:top w:type="dxa" w:w="60"/>
              <w:left w:type="dxa" w:w="100"/>
              <w:bottom w:type="dxa" w:w="60"/>
              <w:right w:type="dxa" w:w="100"/>
            </w:tcMar>
          </w:tcPr>
          <w:p>
            <w:r>
              <w:rPr>
                <w:rFonts w:ascii="Calibri" w:cs="Calibri" w:eastAsia="Calibri" w:hAnsi="Calibri"/>
                <w:b w:val="false"/>
                <w:bCs w:val="false"/>
                <w:sz w:val="19"/>
                <w:szCs w:val="19"/>
              </w:rPr>
              <w:t xml:space="preserve">Goldman Sachs Bank Europe SE - ODI</w:t>
            </w:r>
          </w:p>
        </w:tc>
        <w:tc>
          <w:tcPr>
            <w:tcW w:type="dxa" w:w="900"/>
            <w:tcMar>
              <w:top w:type="dxa" w:w="60"/>
              <w:left w:type="dxa" w:w="100"/>
              <w:bottom w:type="dxa" w:w="60"/>
              <w:right w:type="dxa" w:w="100"/>
            </w:tcMar>
          </w:tcPr>
          <w:p>
            <w:r>
              <w:rPr>
                <w:rFonts w:ascii="Calibri" w:cs="Calibri" w:eastAsia="Calibri" w:hAnsi="Calibri"/>
                <w:b w:val="false"/>
                <w:bCs w:val="false"/>
                <w:sz w:val="19"/>
                <w:szCs w:val="19"/>
              </w:rPr>
              <w:t xml:space="preserve">6</w:t>
            </w:r>
          </w:p>
        </w:tc>
        <w:tc>
          <w:tcPr>
            <w:tcW w:type="dxa" w:w="1700"/>
            <w:tcMar>
              <w:top w:type="dxa" w:w="60"/>
              <w:left w:type="dxa" w:w="100"/>
              <w:bottom w:type="dxa" w:w="60"/>
              <w:right w:type="dxa" w:w="100"/>
            </w:tcMar>
          </w:tcPr>
          <w:p>
            <w:r>
              <w:rPr>
                <w:rFonts w:ascii="Calibri" w:cs="Calibri" w:eastAsia="Calibri" w:hAnsi="Calibri"/>
                <w:b w:val="false"/>
                <w:bCs w:val="false"/>
                <w:sz w:val="19"/>
                <w:szCs w:val="19"/>
              </w:rPr>
              <w:t xml:space="preserve">+2.32%</w:t>
            </w:r>
          </w:p>
        </w:tc>
        <w:tc>
          <w:tcPr>
            <w:tcW w:type="dxa" w:w="1100"/>
            <w:tcMar>
              <w:top w:type="dxa" w:w="60"/>
              <w:left w:type="dxa" w:w="100"/>
              <w:bottom w:type="dxa" w:w="60"/>
              <w:right w:type="dxa" w:w="100"/>
            </w:tcMar>
          </w:tcPr>
          <w:p>
            <w:r>
              <w:rPr>
                <w:rFonts w:ascii="Calibri" w:cs="Calibri" w:eastAsia="Calibri" w:hAnsi="Calibri"/>
                <w:b w:val="false"/>
                <w:bCs w:val="false"/>
                <w:sz w:val="19"/>
                <w:szCs w:val="19"/>
              </w:rPr>
              <w:t xml:space="preserve">100%</w:t>
            </w:r>
          </w:p>
        </w:tc>
        <w:tc>
          <w:tcPr>
            <w:tcW w:type="dxa" w:w="1400"/>
            <w:tcMar>
              <w:top w:type="dxa" w:w="60"/>
              <w:left w:type="dxa" w:w="100"/>
              <w:bottom w:type="dxa" w:w="60"/>
              <w:right w:type="dxa" w:w="100"/>
            </w:tcMar>
          </w:tcPr>
          <w:p>
            <w:r>
              <w:rPr>
                <w:rFonts w:ascii="Calibri" w:cs="Calibri" w:eastAsia="Calibri" w:hAnsi="Calibri"/>
                <w:b w:val="false"/>
                <w:bCs w:val="false"/>
                <w:sz w:val="19"/>
                <w:szCs w:val="19"/>
              </w:rPr>
              <w:t xml:space="preserve">0.0239</w:t>
            </w:r>
          </w:p>
        </w:tc>
      </w:tr>
      <w:tr>
        <w:tc>
          <w:tcPr>
            <w:tcW w:type="dxa" w:w="1700"/>
            <w:tcMar>
              <w:top w:type="dxa" w:w="60"/>
              <w:left w:type="dxa" w:w="100"/>
              <w:bottom w:type="dxa" w:w="60"/>
              <w:right w:type="dxa" w:w="100"/>
            </w:tcMar>
          </w:tcPr>
          <w:p>
            <w:r>
              <w:rPr>
                <w:rFonts w:ascii="Calibri" w:cs="Calibri" w:eastAsia="Calibri" w:hAnsi="Calibri"/>
                <w:b w:val="false"/>
                <w:bCs w:val="false"/>
                <w:sz w:val="19"/>
                <w:szCs w:val="19"/>
              </w:rPr>
              <w:t xml:space="preserve">SHRIRAMFIN</w:t>
            </w:r>
          </w:p>
        </w:tc>
        <w:tc>
          <w:tcPr>
            <w:tcW w:type="dxa" w:w="3500"/>
            <w:tcMar>
              <w:top w:type="dxa" w:w="60"/>
              <w:left w:type="dxa" w:w="100"/>
              <w:bottom w:type="dxa" w:w="60"/>
              <w:right w:type="dxa" w:w="100"/>
            </w:tcMar>
          </w:tcPr>
          <w:p>
            <w:r>
              <w:rPr>
                <w:rFonts w:ascii="Calibri" w:cs="Calibri" w:eastAsia="Calibri" w:hAnsi="Calibri"/>
                <w:b w:val="false"/>
                <w:bCs w:val="false"/>
                <w:sz w:val="19"/>
                <w:szCs w:val="19"/>
              </w:rPr>
              <w:t xml:space="preserve">Goldman Sachs Bank Europe SE - ODI</w:t>
            </w:r>
          </w:p>
        </w:tc>
        <w:tc>
          <w:tcPr>
            <w:tcW w:type="dxa" w:w="900"/>
            <w:tcMar>
              <w:top w:type="dxa" w:w="60"/>
              <w:left w:type="dxa" w:w="100"/>
              <w:bottom w:type="dxa" w:w="60"/>
              <w:right w:type="dxa" w:w="100"/>
            </w:tcMar>
          </w:tcPr>
          <w:p>
            <w:r>
              <w:rPr>
                <w:rFonts w:ascii="Calibri" w:cs="Calibri" w:eastAsia="Calibri" w:hAnsi="Calibri"/>
                <w:b w:val="false"/>
                <w:bCs w:val="false"/>
                <w:sz w:val="19"/>
                <w:szCs w:val="19"/>
              </w:rPr>
              <w:t xml:space="preserve">7</w:t>
            </w:r>
          </w:p>
        </w:tc>
        <w:tc>
          <w:tcPr>
            <w:tcW w:type="dxa" w:w="1700"/>
            <w:tcMar>
              <w:top w:type="dxa" w:w="60"/>
              <w:left w:type="dxa" w:w="100"/>
              <w:bottom w:type="dxa" w:w="60"/>
              <w:right w:type="dxa" w:w="100"/>
            </w:tcMar>
          </w:tcPr>
          <w:p>
            <w:r>
              <w:rPr>
                <w:rFonts w:ascii="Calibri" w:cs="Calibri" w:eastAsia="Calibri" w:hAnsi="Calibri"/>
                <w:b w:val="false"/>
                <w:bCs w:val="false"/>
                <w:sz w:val="19"/>
                <w:szCs w:val="19"/>
              </w:rPr>
              <w:t xml:space="preserve">+3.75%</w:t>
            </w:r>
          </w:p>
        </w:tc>
        <w:tc>
          <w:tcPr>
            <w:tcW w:type="dxa" w:w="1100"/>
            <w:tcMar>
              <w:top w:type="dxa" w:w="60"/>
              <w:left w:type="dxa" w:w="100"/>
              <w:bottom w:type="dxa" w:w="60"/>
              <w:right w:type="dxa" w:w="100"/>
            </w:tcMar>
          </w:tcPr>
          <w:p>
            <w:r>
              <w:rPr>
                <w:rFonts w:ascii="Calibri" w:cs="Calibri" w:eastAsia="Calibri" w:hAnsi="Calibri"/>
                <w:b w:val="false"/>
                <w:bCs w:val="false"/>
                <w:sz w:val="19"/>
                <w:szCs w:val="19"/>
              </w:rPr>
              <w:t xml:space="preserve">71%</w:t>
            </w:r>
          </w:p>
        </w:tc>
        <w:tc>
          <w:tcPr>
            <w:tcW w:type="dxa" w:w="1400"/>
            <w:tcMar>
              <w:top w:type="dxa" w:w="60"/>
              <w:left w:type="dxa" w:w="100"/>
              <w:bottom w:type="dxa" w:w="60"/>
              <w:right w:type="dxa" w:w="100"/>
            </w:tcMar>
          </w:tcPr>
          <w:p>
            <w:r>
              <w:rPr>
                <w:rFonts w:ascii="Calibri" w:cs="Calibri" w:eastAsia="Calibri" w:hAnsi="Calibri"/>
                <w:b w:val="false"/>
                <w:bCs w:val="false"/>
                <w:sz w:val="19"/>
                <w:szCs w:val="19"/>
              </w:rPr>
              <w:t xml:space="preserve">0.0421</w:t>
            </w:r>
          </w:p>
        </w:tc>
      </w:tr>
      <w:tr>
        <w:tc>
          <w:tcPr>
            <w:tcW w:type="dxa" w:w="1700"/>
            <w:tcMar>
              <w:top w:type="dxa" w:w="60"/>
              <w:left w:type="dxa" w:w="100"/>
              <w:bottom w:type="dxa" w:w="60"/>
              <w:right w:type="dxa" w:w="100"/>
            </w:tcMar>
          </w:tcPr>
          <w:p>
            <w:r>
              <w:rPr>
                <w:rFonts w:ascii="Calibri" w:cs="Calibri" w:eastAsia="Calibri" w:hAnsi="Calibri"/>
                <w:b w:val="false"/>
                <w:bCs w:val="false"/>
                <w:sz w:val="19"/>
                <w:szCs w:val="19"/>
              </w:rPr>
              <w:t xml:space="preserve">BHARTIARTL</w:t>
            </w:r>
          </w:p>
        </w:tc>
        <w:tc>
          <w:tcPr>
            <w:tcW w:type="dxa" w:w="3500"/>
            <w:tcMar>
              <w:top w:type="dxa" w:w="60"/>
              <w:left w:type="dxa" w:w="100"/>
              <w:bottom w:type="dxa" w:w="60"/>
              <w:right w:type="dxa" w:w="100"/>
            </w:tcMar>
          </w:tcPr>
          <w:p>
            <w:r>
              <w:rPr>
                <w:rFonts w:ascii="Calibri" w:cs="Calibri" w:eastAsia="Calibri" w:hAnsi="Calibri"/>
                <w:b w:val="false"/>
                <w:bCs w:val="false"/>
                <w:sz w:val="19"/>
                <w:szCs w:val="19"/>
              </w:rPr>
              <w:t xml:space="preserve">Goldman Sachs Bank Europe SE - ODI</w:t>
            </w:r>
          </w:p>
        </w:tc>
        <w:tc>
          <w:tcPr>
            <w:tcW w:type="dxa" w:w="900"/>
            <w:tcMar>
              <w:top w:type="dxa" w:w="60"/>
              <w:left w:type="dxa" w:w="100"/>
              <w:bottom w:type="dxa" w:w="60"/>
              <w:right w:type="dxa" w:w="100"/>
            </w:tcMar>
          </w:tcPr>
          <w:p>
            <w:r>
              <w:rPr>
                <w:rFonts w:ascii="Calibri" w:cs="Calibri" w:eastAsia="Calibri" w:hAnsi="Calibri"/>
                <w:b w:val="false"/>
                <w:bCs w:val="false"/>
                <w:sz w:val="19"/>
                <w:szCs w:val="19"/>
              </w:rPr>
              <w:t xml:space="preserve">6</w:t>
            </w:r>
          </w:p>
        </w:tc>
        <w:tc>
          <w:tcPr>
            <w:tcW w:type="dxa" w:w="1700"/>
            <w:tcMar>
              <w:top w:type="dxa" w:w="60"/>
              <w:left w:type="dxa" w:w="100"/>
              <w:bottom w:type="dxa" w:w="60"/>
              <w:right w:type="dxa" w:w="100"/>
            </w:tcMar>
          </w:tcPr>
          <w:p>
            <w:r>
              <w:rPr>
                <w:rFonts w:ascii="Calibri" w:cs="Calibri" w:eastAsia="Calibri" w:hAnsi="Calibri"/>
                <w:b w:val="false"/>
                <w:bCs w:val="false"/>
                <w:sz w:val="19"/>
                <w:szCs w:val="19"/>
              </w:rPr>
              <w:t xml:space="preserve">-0.25%</w:t>
            </w:r>
          </w:p>
        </w:tc>
        <w:tc>
          <w:tcPr>
            <w:tcW w:type="dxa" w:w="1100"/>
            <w:tcMar>
              <w:top w:type="dxa" w:w="60"/>
              <w:left w:type="dxa" w:w="100"/>
              <w:bottom w:type="dxa" w:w="60"/>
              <w:right w:type="dxa" w:w="100"/>
            </w:tcMar>
          </w:tcPr>
          <w:p>
            <w:r>
              <w:rPr>
                <w:rFonts w:ascii="Calibri" w:cs="Calibri" w:eastAsia="Calibri" w:hAnsi="Calibri"/>
                <w:b w:val="false"/>
                <w:bCs w:val="false"/>
                <w:sz w:val="19"/>
                <w:szCs w:val="19"/>
              </w:rPr>
              <w:t xml:space="preserve">50%</w:t>
            </w:r>
          </w:p>
        </w:tc>
        <w:tc>
          <w:tcPr>
            <w:tcW w:type="dxa" w:w="1400"/>
            <w:tcMar>
              <w:top w:type="dxa" w:w="60"/>
              <w:left w:type="dxa" w:w="100"/>
              <w:bottom w:type="dxa" w:w="60"/>
              <w:right w:type="dxa" w:w="100"/>
            </w:tcMar>
          </w:tcPr>
          <w:p>
            <w:r>
              <w:rPr>
                <w:rFonts w:ascii="Calibri" w:cs="Calibri" w:eastAsia="Calibri" w:hAnsi="Calibri"/>
                <w:b w:val="false"/>
                <w:bCs w:val="false"/>
                <w:sz w:val="19"/>
                <w:szCs w:val="19"/>
              </w:rPr>
              <w:t xml:space="preserve">0.5835</w:t>
            </w:r>
          </w:p>
        </w:tc>
      </w:tr>
      <w:tr>
        <w:tc>
          <w:tcPr>
            <w:tcW w:type="dxa" w:w="1700"/>
            <w:tcMar>
              <w:top w:type="dxa" w:w="60"/>
              <w:left w:type="dxa" w:w="100"/>
              <w:bottom w:type="dxa" w:w="60"/>
              <w:right w:type="dxa" w:w="100"/>
            </w:tcMar>
          </w:tcPr>
          <w:p>
            <w:r>
              <w:rPr>
                <w:rFonts w:ascii="Calibri" w:cs="Calibri" w:eastAsia="Calibri" w:hAnsi="Calibri"/>
                <w:b w:val="false"/>
                <w:bCs w:val="false"/>
                <w:sz w:val="19"/>
                <w:szCs w:val="19"/>
              </w:rPr>
              <w:t xml:space="preserve">M&amp;M</w:t>
            </w:r>
          </w:p>
        </w:tc>
        <w:tc>
          <w:tcPr>
            <w:tcW w:type="dxa" w:w="3500"/>
            <w:tcMar>
              <w:top w:type="dxa" w:w="60"/>
              <w:left w:type="dxa" w:w="100"/>
              <w:bottom w:type="dxa" w:w="60"/>
              <w:right w:type="dxa" w:w="100"/>
            </w:tcMar>
          </w:tcPr>
          <w:p>
            <w:r>
              <w:rPr>
                <w:rFonts w:ascii="Calibri" w:cs="Calibri" w:eastAsia="Calibri" w:hAnsi="Calibri"/>
                <w:b w:val="false"/>
                <w:bCs w:val="false"/>
                <w:sz w:val="19"/>
                <w:szCs w:val="19"/>
              </w:rPr>
              <w:t xml:space="preserve">PI Opportunities AIF V LLP</w:t>
            </w:r>
          </w:p>
        </w:tc>
        <w:tc>
          <w:tcPr>
            <w:tcW w:type="dxa" w:w="900"/>
            <w:tcMar>
              <w:top w:type="dxa" w:w="60"/>
              <w:left w:type="dxa" w:w="100"/>
              <w:bottom w:type="dxa" w:w="60"/>
              <w:right w:type="dxa" w:w="100"/>
            </w:tcMar>
          </w:tcPr>
          <w:p>
            <w:r>
              <w:rPr>
                <w:rFonts w:ascii="Calibri" w:cs="Calibri" w:eastAsia="Calibri" w:hAnsi="Calibri"/>
                <w:b w:val="false"/>
                <w:bCs w:val="false"/>
                <w:sz w:val="19"/>
                <w:szCs w:val="19"/>
              </w:rPr>
              <w:t xml:space="preserve">6</w:t>
            </w:r>
          </w:p>
        </w:tc>
        <w:tc>
          <w:tcPr>
            <w:tcW w:type="dxa" w:w="1700"/>
            <w:tcMar>
              <w:top w:type="dxa" w:w="60"/>
              <w:left w:type="dxa" w:w="100"/>
              <w:bottom w:type="dxa" w:w="60"/>
              <w:right w:type="dxa" w:w="100"/>
            </w:tcMar>
          </w:tcPr>
          <w:p>
            <w:r>
              <w:rPr>
                <w:rFonts w:ascii="Calibri" w:cs="Calibri" w:eastAsia="Calibri" w:hAnsi="Calibri"/>
                <w:b w:val="false"/>
                <w:bCs w:val="false"/>
                <w:sz w:val="19"/>
                <w:szCs w:val="19"/>
              </w:rPr>
              <w:t xml:space="preserve">-0.66%</w:t>
            </w:r>
          </w:p>
        </w:tc>
        <w:tc>
          <w:tcPr>
            <w:tcW w:type="dxa" w:w="1100"/>
            <w:tcMar>
              <w:top w:type="dxa" w:w="60"/>
              <w:left w:type="dxa" w:w="100"/>
              <w:bottom w:type="dxa" w:w="60"/>
              <w:right w:type="dxa" w:w="100"/>
            </w:tcMar>
          </w:tcPr>
          <w:p>
            <w:r>
              <w:rPr>
                <w:rFonts w:ascii="Calibri" w:cs="Calibri" w:eastAsia="Calibri" w:hAnsi="Calibri"/>
                <w:b w:val="false"/>
                <w:bCs w:val="false"/>
                <w:sz w:val="19"/>
                <w:szCs w:val="19"/>
              </w:rPr>
              <w:t xml:space="preserve">33%</w:t>
            </w:r>
          </w:p>
        </w:tc>
        <w:tc>
          <w:tcPr>
            <w:tcW w:type="dxa" w:w="1400"/>
            <w:tcMar>
              <w:top w:type="dxa" w:w="60"/>
              <w:left w:type="dxa" w:w="100"/>
              <w:bottom w:type="dxa" w:w="60"/>
              <w:right w:type="dxa" w:w="100"/>
            </w:tcMar>
          </w:tcPr>
          <w:p>
            <w:r>
              <w:rPr>
                <w:rFonts w:ascii="Calibri" w:cs="Calibri" w:eastAsia="Calibri" w:hAnsi="Calibri"/>
                <w:b w:val="false"/>
                <w:bCs w:val="false"/>
                <w:sz w:val="19"/>
                <w:szCs w:val="19"/>
              </w:rPr>
              <w:t xml:space="preserve">0.6213</w:t>
            </w:r>
          </w:p>
        </w:tc>
      </w:tr>
    </w:tbl>
    <w:p>
      <w:pPr>
        <w:spacing w:after="120" w:before="0"/>
      </w:pPr>
      <w:r>
        <w:rPr>
          <w:rFonts w:ascii="Calibri" w:cs="Calibri" w:eastAsia="Calibri" w:hAnsi="Calibri"/>
          <w:sz w:val="22"/>
          <w:szCs w:val="22"/>
        </w:rPr>
        <w:t xml:space="preserve"/>
      </w:r>
    </w:p>
    <w:p>
      <w:pPr>
        <w:spacing w:after="160" w:before="0"/>
      </w:pPr>
      <w:r>
        <w:rPr>
          <w:rFonts w:ascii="Calibri" w:cs="Calibri" w:eastAsia="Calibri" w:hAnsi="Calibri"/>
          <w:sz w:val="22"/>
          <w:szCs w:val="22"/>
        </w:rPr>
        <w:t xml:space="preserve">Read at face value, this is the story that retail smart-money content is made of. A 92% win rate, a p-value of 0.0003, and a famous institution attached to it. It is also, as the next section shows, almost entirely an illusion.</w:t>
      </w:r>
    </w:p>
    <w:p>
      <w:pPr>
        <w:pStyle w:val="Heading2"/>
        <w:spacing w:after="120" w:before="240"/>
      </w:pPr>
      <w:r>
        <w:rPr>
          <w:rFonts w:ascii="Calibri" w:cs="Calibri" w:eastAsia="Calibri" w:hAnsi="Calibri"/>
          <w:b/>
          <w:bCs/>
          <w:color w:val="1F4E79"/>
          <w:sz w:val="25"/>
          <w:szCs w:val="25"/>
        </w:rPr>
        <w:t xml:space="preserve">4.2 The audit</w:t>
      </w:r>
    </w:p>
    <w:p>
      <w:pPr>
        <w:spacing w:after="160" w:before="0"/>
      </w:pPr>
      <w:r>
        <w:rPr>
          <w:rFonts w:ascii="Calibri" w:cs="Calibri" w:eastAsia="Calibri" w:hAnsi="Calibri"/>
          <w:sz w:val="22"/>
          <w:szCs w:val="22"/>
        </w:rPr>
        <w:t xml:space="preserve">The first problem is event clustering. The twelve ETERNAL “events” fall on thirteen trading days between 29 August and 15 September 2025. That is one continuous buying streak plus a single later purchase. Because the 10-day forward windows overlap, the observations are not independent, and the effective sample is closer to two campaigns than twelve events. KOTAKBANK and SHRIRAMFIN are worse still. Their event dates are identical to each other, running from 29 August to 12 September 2025. All three “signals” are the same basket-buying program printed across index names at once. That is the fingerprint of an index or ODI flow, not of stock selection. Across the whole sample this one desk traded 274 disclosed deals in 121 different symbols.</w:t>
      </w:r>
    </w:p>
    <w:p>
      <w:pPr>
        <w:spacing w:after="160" w:before="0"/>
      </w:pPr>
      <w:r>
        <w:rPr>
          <w:rFonts w:ascii="Calibri" w:cs="Calibri" w:eastAsia="Calibri" w:hAnsi="Calibri"/>
          <w:sz w:val="22"/>
          <w:szCs w:val="22"/>
        </w:rPr>
        <w:t xml:space="preserve">The second problem is the market. Once I subtract the equal-weight universe return over the same windows, the picture changes.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2400"/>
        <w:gridCol w:w="2100"/>
        <w:gridCol w:w="1400"/>
      </w:tblGrid>
      <w:tr>
        <w:tc>
          <w:tcPr>
            <w:tcW w:type="dxa" w:w="1900"/>
            <w:shd w:fill="E8EEF7" w:val="clear"/>
            <w:tcMar>
              <w:top w:type="dxa" w:w="60"/>
              <w:left w:type="dxa" w:w="100"/>
              <w:bottom w:type="dxa" w:w="60"/>
              <w:right w:type="dxa" w:w="100"/>
            </w:tcMar>
          </w:tcPr>
          <w:p>
            <w:r>
              <w:rPr>
                <w:rFonts w:ascii="Calibri" w:cs="Calibri" w:eastAsia="Calibri" w:hAnsi="Calibri"/>
                <w:b/>
                <w:bCs/>
                <w:sz w:val="19"/>
                <w:szCs w:val="19"/>
              </w:rPr>
              <w:t xml:space="preserve">Stock</w:t>
            </w:r>
          </w:p>
        </w:tc>
        <w:tc>
          <w:tcPr>
            <w:tcW w:type="dxa" w:w="2100"/>
            <w:shd w:fill="E8EEF7" w:val="clear"/>
            <w:tcMar>
              <w:top w:type="dxa" w:w="60"/>
              <w:left w:type="dxa" w:w="100"/>
              <w:bottom w:type="dxa" w:w="60"/>
              <w:right w:type="dxa" w:w="100"/>
            </w:tcMar>
          </w:tcPr>
          <w:p>
            <w:r>
              <w:rPr>
                <w:rFonts w:ascii="Calibri" w:cs="Calibri" w:eastAsia="Calibri" w:hAnsi="Calibri"/>
                <w:b/>
                <w:bCs/>
                <w:sz w:val="19"/>
                <w:szCs w:val="19"/>
              </w:rPr>
              <w:t xml:space="preserve">Raw 10-day mean</w:t>
            </w:r>
          </w:p>
        </w:tc>
        <w:tc>
          <w:tcPr>
            <w:tcW w:type="dxa" w:w="2400"/>
            <w:shd w:fill="E8EEF7" w:val="clear"/>
            <w:tcMar>
              <w:top w:type="dxa" w:w="60"/>
              <w:left w:type="dxa" w:w="100"/>
              <w:bottom w:type="dxa" w:w="60"/>
              <w:right w:type="dxa" w:w="100"/>
            </w:tcMar>
          </w:tcPr>
          <w:p>
            <w:r>
              <w:rPr>
                <w:rFonts w:ascii="Calibri" w:cs="Calibri" w:eastAsia="Calibri" w:hAnsi="Calibri"/>
                <w:b/>
                <w:bCs/>
                <w:sz w:val="19"/>
                <w:szCs w:val="19"/>
              </w:rPr>
              <w:t xml:space="preserve">Market-adjusted mean</w:t>
            </w:r>
          </w:p>
        </w:tc>
        <w:tc>
          <w:tcPr>
            <w:tcW w:type="dxa" w:w="2100"/>
            <w:shd w:fill="E8EEF7" w:val="clear"/>
            <w:tcMar>
              <w:top w:type="dxa" w:w="60"/>
              <w:left w:type="dxa" w:w="100"/>
              <w:bottom w:type="dxa" w:w="60"/>
              <w:right w:type="dxa" w:w="100"/>
            </w:tcMar>
          </w:tcPr>
          <w:p>
            <w:r>
              <w:rPr>
                <w:rFonts w:ascii="Calibri" w:cs="Calibri" w:eastAsia="Calibri" w:hAnsi="Calibri"/>
                <w:b/>
                <w:bCs/>
                <w:sz w:val="19"/>
                <w:szCs w:val="19"/>
              </w:rPr>
              <w:t xml:space="preserve">Adjusted win rate</w:t>
            </w:r>
          </w:p>
        </w:tc>
        <w:tc>
          <w:tcPr>
            <w:tcW w:type="dxa" w:w="1400"/>
            <w:shd w:fill="E8EEF7" w:val="clear"/>
            <w:tcMar>
              <w:top w:type="dxa" w:w="60"/>
              <w:left w:type="dxa" w:w="100"/>
              <w:bottom w:type="dxa" w:w="60"/>
              <w:right w:type="dxa" w:w="100"/>
            </w:tcMar>
          </w:tcPr>
          <w:p>
            <w:r>
              <w:rPr>
                <w:rFonts w:ascii="Calibri" w:cs="Calibri" w:eastAsia="Calibri" w:hAnsi="Calibri"/>
                <w:b/>
                <w:bCs/>
                <w:sz w:val="19"/>
                <w:szCs w:val="19"/>
              </w:rPr>
              <w:t xml:space="preserve">Adjusted p</w:t>
            </w:r>
          </w:p>
        </w:tc>
      </w:tr>
      <w:tr>
        <w:tc>
          <w:tcPr>
            <w:tcW w:type="dxa" w:w="1900"/>
            <w:tcMar>
              <w:top w:type="dxa" w:w="60"/>
              <w:left w:type="dxa" w:w="100"/>
              <w:bottom w:type="dxa" w:w="60"/>
              <w:right w:type="dxa" w:w="100"/>
            </w:tcMar>
          </w:tcPr>
          <w:p>
            <w:r>
              <w:rPr>
                <w:rFonts w:ascii="Calibri" w:cs="Calibri" w:eastAsia="Calibri" w:hAnsi="Calibri"/>
                <w:b w:val="false"/>
                <w:bCs w:val="false"/>
                <w:sz w:val="19"/>
                <w:szCs w:val="19"/>
              </w:rPr>
              <w:t xml:space="preserve">ETERNAL</w:t>
            </w:r>
          </w:p>
        </w:tc>
        <w:tc>
          <w:tcPr>
            <w:tcW w:type="dxa" w:w="2100"/>
            <w:tcMar>
              <w:top w:type="dxa" w:w="60"/>
              <w:left w:type="dxa" w:w="100"/>
              <w:bottom w:type="dxa" w:w="60"/>
              <w:right w:type="dxa" w:w="100"/>
            </w:tcMar>
          </w:tcPr>
          <w:p>
            <w:r>
              <w:rPr>
                <w:rFonts w:ascii="Calibri" w:cs="Calibri" w:eastAsia="Calibri" w:hAnsi="Calibri"/>
                <w:b w:val="false"/>
                <w:bCs w:val="false"/>
                <w:sz w:val="19"/>
                <w:szCs w:val="19"/>
              </w:rPr>
              <w:t xml:space="preserve">+1.16%</w:t>
            </w:r>
          </w:p>
        </w:tc>
        <w:tc>
          <w:tcPr>
            <w:tcW w:type="dxa" w:w="2400"/>
            <w:tcMar>
              <w:top w:type="dxa" w:w="60"/>
              <w:left w:type="dxa" w:w="100"/>
              <w:bottom w:type="dxa" w:w="60"/>
              <w:right w:type="dxa" w:w="100"/>
            </w:tcMar>
          </w:tcPr>
          <w:p>
            <w:r>
              <w:rPr>
                <w:rFonts w:ascii="Calibri" w:cs="Calibri" w:eastAsia="Calibri" w:hAnsi="Calibri"/>
                <w:b w:val="false"/>
                <w:bCs w:val="false"/>
                <w:sz w:val="19"/>
                <w:szCs w:val="19"/>
              </w:rPr>
              <w:t xml:space="preserve">-0.10%</w:t>
            </w:r>
          </w:p>
        </w:tc>
        <w:tc>
          <w:tcPr>
            <w:tcW w:type="dxa" w:w="2100"/>
            <w:tcMar>
              <w:top w:type="dxa" w:w="60"/>
              <w:left w:type="dxa" w:w="100"/>
              <w:bottom w:type="dxa" w:w="60"/>
              <w:right w:type="dxa" w:w="100"/>
            </w:tcMar>
          </w:tcPr>
          <w:p>
            <w:r>
              <w:rPr>
                <w:rFonts w:ascii="Calibri" w:cs="Calibri" w:eastAsia="Calibri" w:hAnsi="Calibri"/>
                <w:b w:val="false"/>
                <w:bCs w:val="false"/>
                <w:sz w:val="19"/>
                <w:szCs w:val="19"/>
              </w:rPr>
              <w:t xml:space="preserve">54%</w:t>
            </w:r>
          </w:p>
        </w:tc>
        <w:tc>
          <w:tcPr>
            <w:tcW w:type="dxa" w:w="1400"/>
            <w:tcMar>
              <w:top w:type="dxa" w:w="60"/>
              <w:left w:type="dxa" w:w="100"/>
              <w:bottom w:type="dxa" w:w="60"/>
              <w:right w:type="dxa" w:w="100"/>
            </w:tcMar>
          </w:tcPr>
          <w:p>
            <w:r>
              <w:rPr>
                <w:rFonts w:ascii="Calibri" w:cs="Calibri" w:eastAsia="Calibri" w:hAnsi="Calibri"/>
                <w:b w:val="false"/>
                <w:bCs w:val="false"/>
                <w:sz w:val="19"/>
                <w:szCs w:val="19"/>
              </w:rPr>
              <w:t xml:space="preserve">0.542</w:t>
            </w:r>
          </w:p>
        </w:tc>
      </w:tr>
      <w:tr>
        <w:tc>
          <w:tcPr>
            <w:tcW w:type="dxa" w:w="1900"/>
            <w:tcMar>
              <w:top w:type="dxa" w:w="60"/>
              <w:left w:type="dxa" w:w="100"/>
              <w:bottom w:type="dxa" w:w="60"/>
              <w:right w:type="dxa" w:w="100"/>
            </w:tcMar>
          </w:tcPr>
          <w:p>
            <w:r>
              <w:rPr>
                <w:rFonts w:ascii="Calibri" w:cs="Calibri" w:eastAsia="Calibri" w:hAnsi="Calibri"/>
                <w:b w:val="false"/>
                <w:bCs w:val="false"/>
                <w:sz w:val="19"/>
                <w:szCs w:val="19"/>
              </w:rPr>
              <w:t xml:space="preserve">KOTAKBANK</w:t>
            </w:r>
          </w:p>
        </w:tc>
        <w:tc>
          <w:tcPr>
            <w:tcW w:type="dxa" w:w="2100"/>
            <w:tcMar>
              <w:top w:type="dxa" w:w="60"/>
              <w:left w:type="dxa" w:w="100"/>
              <w:bottom w:type="dxa" w:w="60"/>
              <w:right w:type="dxa" w:w="100"/>
            </w:tcMar>
          </w:tcPr>
          <w:p>
            <w:r>
              <w:rPr>
                <w:rFonts w:ascii="Calibri" w:cs="Calibri" w:eastAsia="Calibri" w:hAnsi="Calibri"/>
                <w:b w:val="false"/>
                <w:bCs w:val="false"/>
                <w:sz w:val="19"/>
                <w:szCs w:val="19"/>
              </w:rPr>
              <w:t xml:space="preserve">+2.41%</w:t>
            </w:r>
          </w:p>
        </w:tc>
        <w:tc>
          <w:tcPr>
            <w:tcW w:type="dxa" w:w="2400"/>
            <w:tcMar>
              <w:top w:type="dxa" w:w="60"/>
              <w:left w:type="dxa" w:w="100"/>
              <w:bottom w:type="dxa" w:w="60"/>
              <w:right w:type="dxa" w:w="100"/>
            </w:tcMar>
          </w:tcPr>
          <w:p>
            <w:r>
              <w:rPr>
                <w:rFonts w:ascii="Calibri" w:cs="Calibri" w:eastAsia="Calibri" w:hAnsi="Calibri"/>
                <w:b w:val="false"/>
                <w:bCs w:val="false"/>
                <w:sz w:val="19"/>
                <w:szCs w:val="19"/>
              </w:rPr>
              <w:t xml:space="preserve">+1.19%</w:t>
            </w:r>
          </w:p>
        </w:tc>
        <w:tc>
          <w:tcPr>
            <w:tcW w:type="dxa" w:w="2100"/>
            <w:tcMar>
              <w:top w:type="dxa" w:w="60"/>
              <w:left w:type="dxa" w:w="100"/>
              <w:bottom w:type="dxa" w:w="60"/>
              <w:right w:type="dxa" w:w="100"/>
            </w:tcMar>
          </w:tcPr>
          <w:p>
            <w:r>
              <w:rPr>
                <w:rFonts w:ascii="Calibri" w:cs="Calibri" w:eastAsia="Calibri" w:hAnsi="Calibri"/>
                <w:b w:val="false"/>
                <w:bCs w:val="false"/>
                <w:sz w:val="19"/>
                <w:szCs w:val="19"/>
              </w:rPr>
              <w:t xml:space="preserve">71%</w:t>
            </w:r>
          </w:p>
        </w:tc>
        <w:tc>
          <w:tcPr>
            <w:tcW w:type="dxa" w:w="1400"/>
            <w:tcMar>
              <w:top w:type="dxa" w:w="60"/>
              <w:left w:type="dxa" w:w="100"/>
              <w:bottom w:type="dxa" w:w="60"/>
              <w:right w:type="dxa" w:w="100"/>
            </w:tcMar>
          </w:tcPr>
          <w:p>
            <w:r>
              <w:rPr>
                <w:rFonts w:ascii="Calibri" w:cs="Calibri" w:eastAsia="Calibri" w:hAnsi="Calibri"/>
                <w:b w:val="false"/>
                <w:bCs w:val="false"/>
                <w:sz w:val="19"/>
                <w:szCs w:val="19"/>
              </w:rPr>
              <w:t xml:space="preserve">0.123</w:t>
            </w:r>
          </w:p>
        </w:tc>
      </w:tr>
      <w:tr>
        <w:tc>
          <w:tcPr>
            <w:tcW w:type="dxa" w:w="1900"/>
            <w:tcMar>
              <w:top w:type="dxa" w:w="60"/>
              <w:left w:type="dxa" w:w="100"/>
              <w:bottom w:type="dxa" w:w="60"/>
              <w:right w:type="dxa" w:w="100"/>
            </w:tcMar>
          </w:tcPr>
          <w:p>
            <w:r>
              <w:rPr>
                <w:rFonts w:ascii="Calibri" w:cs="Calibri" w:eastAsia="Calibri" w:hAnsi="Calibri"/>
                <w:b w:val="false"/>
                <w:bCs w:val="false"/>
                <w:sz w:val="19"/>
                <w:szCs w:val="19"/>
              </w:rPr>
              <w:t xml:space="preserve">SHRIRAMFIN</w:t>
            </w:r>
          </w:p>
        </w:tc>
        <w:tc>
          <w:tcPr>
            <w:tcW w:type="dxa" w:w="2100"/>
            <w:tcMar>
              <w:top w:type="dxa" w:w="60"/>
              <w:left w:type="dxa" w:w="100"/>
              <w:bottom w:type="dxa" w:w="60"/>
              <w:right w:type="dxa" w:w="100"/>
            </w:tcMar>
          </w:tcPr>
          <w:p>
            <w:r>
              <w:rPr>
                <w:rFonts w:ascii="Calibri" w:cs="Calibri" w:eastAsia="Calibri" w:hAnsi="Calibri"/>
                <w:b w:val="false"/>
                <w:bCs w:val="false"/>
                <w:sz w:val="19"/>
                <w:szCs w:val="19"/>
              </w:rPr>
              <w:t xml:space="preserve">+3.75%</w:t>
            </w:r>
          </w:p>
        </w:tc>
        <w:tc>
          <w:tcPr>
            <w:tcW w:type="dxa" w:w="2400"/>
            <w:tcMar>
              <w:top w:type="dxa" w:w="60"/>
              <w:left w:type="dxa" w:w="100"/>
              <w:bottom w:type="dxa" w:w="60"/>
              <w:right w:type="dxa" w:w="100"/>
            </w:tcMar>
          </w:tcPr>
          <w:p>
            <w:r>
              <w:rPr>
                <w:rFonts w:ascii="Calibri" w:cs="Calibri" w:eastAsia="Calibri" w:hAnsi="Calibri"/>
                <w:b w:val="false"/>
                <w:bCs w:val="false"/>
                <w:sz w:val="19"/>
                <w:szCs w:val="19"/>
              </w:rPr>
              <w:t xml:space="preserve">+2.53%</w:t>
            </w:r>
          </w:p>
        </w:tc>
        <w:tc>
          <w:tcPr>
            <w:tcW w:type="dxa" w:w="2100"/>
            <w:tcMar>
              <w:top w:type="dxa" w:w="60"/>
              <w:left w:type="dxa" w:w="100"/>
              <w:bottom w:type="dxa" w:w="60"/>
              <w:right w:type="dxa" w:w="100"/>
            </w:tcMar>
          </w:tcPr>
          <w:p>
            <w:r>
              <w:rPr>
                <w:rFonts w:ascii="Calibri" w:cs="Calibri" w:eastAsia="Calibri" w:hAnsi="Calibri"/>
                <w:b w:val="false"/>
                <w:bCs w:val="false"/>
                <w:sz w:val="19"/>
                <w:szCs w:val="19"/>
              </w:rPr>
              <w:t xml:space="preserve">71%</w:t>
            </w:r>
          </w:p>
        </w:tc>
        <w:tc>
          <w:tcPr>
            <w:tcW w:type="dxa" w:w="1400"/>
            <w:tcMar>
              <w:top w:type="dxa" w:w="60"/>
              <w:left w:type="dxa" w:w="100"/>
              <w:bottom w:type="dxa" w:w="60"/>
              <w:right w:type="dxa" w:w="100"/>
            </w:tcMar>
          </w:tcPr>
          <w:p>
            <w:r>
              <w:rPr>
                <w:rFonts w:ascii="Calibri" w:cs="Calibri" w:eastAsia="Calibri" w:hAnsi="Calibri"/>
                <w:b w:val="false"/>
                <w:bCs w:val="false"/>
                <w:sz w:val="19"/>
                <w:szCs w:val="19"/>
              </w:rPr>
              <w:t xml:space="preserve">0.031</w:t>
            </w:r>
          </w:p>
        </w:tc>
      </w:tr>
    </w:tbl>
    <w:p>
      <w:pPr>
        <w:spacing w:after="120" w:before="0"/>
      </w:pPr>
      <w:r>
        <w:rPr>
          <w:rFonts w:ascii="Calibri" w:cs="Calibri" w:eastAsia="Calibri" w:hAnsi="Calibri"/>
          <w:sz w:val="22"/>
          <w:szCs w:val="22"/>
        </w:rPr>
        <w:t xml:space="preserve"/>
      </w:r>
    </w:p>
    <w:p>
      <w:pPr>
        <w:spacing w:after="160" w:before="0"/>
      </w:pPr>
      <w:r>
        <w:rPr>
          <w:rFonts w:ascii="Calibri" w:cs="Calibri" w:eastAsia="Calibri" w:hAnsi="Calibri"/>
          <w:sz w:val="22"/>
          <w:szCs w:val="22"/>
        </w:rPr>
        <w:t xml:space="preserve">The flagship ETERNAL result, p = 0.0003 in the naive test, is statistically zero once the market’s own September 2025 rally is removed. The stock rose with everything else while the desk happened to be printing bulk deals.</w:t>
      </w:r>
    </w:p>
    <w:p>
      <w:pPr>
        <w:spacing w:after="160" w:before="0"/>
      </w:pPr>
      <w:r>
        <w:rPr>
          <w:rFonts w:ascii="Calibri" w:cs="Calibri" w:eastAsia="Calibri" w:hAnsi="Calibri"/>
          <w:sz w:val="22"/>
          <w:szCs w:val="22"/>
        </w:rPr>
        <w:t xml:space="preserve">The third problem is multiple testing. Under a Benjamini-Hochberg correction across the five tested pairs, only ETERNAL survives at q below 0.05, with an adjusted p of 0.0014. But ETERNAL is exactly the pair the other two checks invalidate. SHRIRAMFIN, the one pair that survives market adjustment at p = 0.031, then fails the FDR correction with an adjusted p of 0.070, and it rests on a single campaign of seven overlapping windows anyway.</w:t>
      </w:r>
    </w:p>
    <w:p>
      <w:pPr>
        <w:spacing w:after="160" w:before="0"/>
      </w:pPr>
      <w:r>
        <w:rPr>
          <w:rFonts w:ascii="Calibri" w:cs="Calibri" w:eastAsia="Calibri" w:hAnsi="Calibri"/>
          <w:b/>
          <w:bCs/>
          <w:sz w:val="22"/>
          <w:szCs w:val="22"/>
        </w:rPr>
        <w:t xml:space="preserve">So the verdict is blunt. No stock-and-participant pair in the NIFTY 50 universe survives all three checks.</w:t>
      </w:r>
    </w:p>
    <w:p>
      <w:pPr>
        <w:pStyle w:val="Heading2"/>
        <w:spacing w:after="120" w:before="240"/>
      </w:pPr>
      <w:r>
        <w:rPr>
          <w:rFonts w:ascii="Calibri" w:cs="Calibri" w:eastAsia="Calibri" w:hAnsi="Calibri"/>
          <w:b/>
          <w:bCs/>
          <w:color w:val="1F4E79"/>
          <w:sz w:val="25"/>
          <w:szCs w:val="25"/>
        </w:rPr>
        <w:t xml:space="preserve">4.3 Pooled models find no generic edge</w:t>
      </w:r>
    </w:p>
    <w:p>
      <w:pPr>
        <w:spacing w:after="160" w:before="0"/>
      </w:pPr>
      <w:r>
        <w:rPr>
          <w:rFonts w:ascii="Calibri" w:cs="Calibri" w:eastAsia="Calibri" w:hAnsi="Calibri"/>
          <w:sz w:val="22"/>
          <w:szCs w:val="22"/>
        </w:rPr>
        <w:t xml:space="preserve">If smart-money footprints carried systematic information, a pooled model should pick it up. It does not. On a panel of 4,450 symbol-days from February to July 2026, where every feature is observable, the results are flat.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3000"/>
      </w:tblGrid>
      <w:tr>
        <w:tc>
          <w:tcPr>
            <w:tcW w:type="dxa" w:w="3800"/>
            <w:shd w:fill="E8EEF7" w:val="clear"/>
            <w:tcMar>
              <w:top w:type="dxa" w:w="60"/>
              <w:left w:type="dxa" w:w="100"/>
              <w:bottom w:type="dxa" w:w="60"/>
              <w:right w:type="dxa" w:w="100"/>
            </w:tcMar>
          </w:tcPr>
          <w:p>
            <w:r>
              <w:rPr>
                <w:rFonts w:ascii="Calibri" w:cs="Calibri" w:eastAsia="Calibri" w:hAnsi="Calibri"/>
                <w:b/>
                <w:bCs/>
                <w:sz w:val="19"/>
                <w:szCs w:val="19"/>
              </w:rPr>
              <w:t xml:space="preserve">Model / test</w:t>
            </w:r>
          </w:p>
        </w:tc>
        <w:tc>
          <w:tcPr>
            <w:tcW w:type="dxa" w:w="2600"/>
            <w:shd w:fill="E8EEF7" w:val="clear"/>
            <w:tcMar>
              <w:top w:type="dxa" w:w="60"/>
              <w:left w:type="dxa" w:w="100"/>
              <w:bottom w:type="dxa" w:w="60"/>
              <w:right w:type="dxa" w:w="100"/>
            </w:tcMar>
          </w:tcPr>
          <w:p>
            <w:r>
              <w:rPr>
                <w:rFonts w:ascii="Calibri" w:cs="Calibri" w:eastAsia="Calibri" w:hAnsi="Calibri"/>
                <w:b/>
                <w:bCs/>
                <w:sz w:val="19"/>
                <w:szCs w:val="19"/>
              </w:rPr>
              <w:t xml:space="preserve">Key statistic</w:t>
            </w:r>
          </w:p>
        </w:tc>
        <w:tc>
          <w:tcPr>
            <w:tcW w:type="dxa" w:w="3000"/>
            <w:shd w:fill="E8EEF7" w:val="clear"/>
            <w:tcMar>
              <w:top w:type="dxa" w:w="60"/>
              <w:left w:type="dxa" w:w="100"/>
              <w:bottom w:type="dxa" w:w="60"/>
              <w:right w:type="dxa" w:w="100"/>
            </w:tcMar>
          </w:tcPr>
          <w:p>
            <w:r>
              <w:rPr>
                <w:rFonts w:ascii="Calibri" w:cs="Calibri" w:eastAsia="Calibri" w:hAnsi="Calibri"/>
                <w:b/>
                <w:bCs/>
                <w:sz w:val="19"/>
                <w:szCs w:val="19"/>
              </w:rPr>
              <w:t xml:space="preserve">Result</w:t>
            </w:r>
          </w:p>
        </w:tc>
      </w:tr>
      <w:tr>
        <w:tc>
          <w:tcPr>
            <w:tcW w:type="dxa" w:w="3800"/>
            <w:tcMar>
              <w:top w:type="dxa" w:w="60"/>
              <w:left w:type="dxa" w:w="100"/>
              <w:bottom w:type="dxa" w:w="60"/>
              <w:right w:type="dxa" w:w="100"/>
            </w:tcMar>
          </w:tcPr>
          <w:p>
            <w:r>
              <w:rPr>
                <w:rFonts w:ascii="Calibri" w:cs="Calibri" w:eastAsia="Calibri" w:hAnsi="Calibri"/>
                <w:b w:val="false"/>
                <w:bCs w:val="false"/>
                <w:sz w:val="19"/>
                <w:szCs w:val="19"/>
              </w:rPr>
              <w:t xml:space="preserve">OLS, HAC errors (5-day fwd returns)</w:t>
            </w:r>
          </w:p>
        </w:tc>
        <w:tc>
          <w:tcPr>
            <w:tcW w:type="dxa" w:w="2600"/>
            <w:tcMar>
              <w:top w:type="dxa" w:w="60"/>
              <w:left w:type="dxa" w:w="100"/>
              <w:bottom w:type="dxa" w:w="60"/>
              <w:right w:type="dxa" w:w="100"/>
            </w:tcMar>
          </w:tcPr>
          <w:p>
            <w:r>
              <w:rPr>
                <w:rFonts w:ascii="Calibri" w:cs="Calibri" w:eastAsia="Calibri" w:hAnsi="Calibri"/>
                <w:b w:val="false"/>
                <w:bCs w:val="false"/>
                <w:sz w:val="19"/>
                <w:szCs w:val="19"/>
              </w:rPr>
              <w:t xml:space="preserve">R-squared</w:t>
            </w:r>
          </w:p>
        </w:tc>
        <w:tc>
          <w:tcPr>
            <w:tcW w:type="dxa" w:w="3000"/>
            <w:tcMar>
              <w:top w:type="dxa" w:w="60"/>
              <w:left w:type="dxa" w:w="100"/>
              <w:bottom w:type="dxa" w:w="60"/>
              <w:right w:type="dxa" w:w="100"/>
            </w:tcMar>
          </w:tcPr>
          <w:p>
            <w:r>
              <w:rPr>
                <w:rFonts w:ascii="Calibri" w:cs="Calibri" w:eastAsia="Calibri" w:hAnsi="Calibri"/>
                <w:b w:val="false"/>
                <w:bCs w:val="false"/>
                <w:sz w:val="19"/>
                <w:szCs w:val="19"/>
              </w:rPr>
              <w:t xml:space="preserve">0.003</w:t>
            </w:r>
          </w:p>
        </w:tc>
      </w:tr>
      <w:tr>
        <w:tc>
          <w:tcPr>
            <w:tcW w:type="dxa" w:w="3800"/>
            <w:tcMar>
              <w:top w:type="dxa" w:w="60"/>
              <w:left w:type="dxa" w:w="100"/>
              <w:bottom w:type="dxa" w:w="60"/>
              <w:right w:type="dxa" w:w="100"/>
            </w:tcMar>
          </w:tcPr>
          <w:p>
            <w:r>
              <w:rPr>
                <w:rFonts w:ascii="Calibri" w:cs="Calibri" w:eastAsia="Calibri" w:hAnsi="Calibri"/>
                <w:b w:val="false"/>
                <w:bCs w:val="false"/>
                <w:sz w:val="19"/>
                <w:szCs w:val="19"/>
              </w:rPr>
              <w:t xml:space="preserve">  momentum (5-day back return)</w:t>
            </w:r>
          </w:p>
        </w:tc>
        <w:tc>
          <w:tcPr>
            <w:tcW w:type="dxa" w:w="2600"/>
            <w:tcMar>
              <w:top w:type="dxa" w:w="60"/>
              <w:left w:type="dxa" w:w="100"/>
              <w:bottom w:type="dxa" w:w="60"/>
              <w:right w:type="dxa" w:w="100"/>
            </w:tcMar>
          </w:tcPr>
          <w:p>
            <w:r>
              <w:rPr>
                <w:rFonts w:ascii="Calibri" w:cs="Calibri" w:eastAsia="Calibri" w:hAnsi="Calibri"/>
                <w:b w:val="false"/>
                <w:bCs w:val="false"/>
                <w:sz w:val="19"/>
                <w:szCs w:val="19"/>
              </w:rPr>
              <w:t xml:space="preserve">coef +0.047, t = 2.46</w:t>
            </w:r>
          </w:p>
        </w:tc>
        <w:tc>
          <w:tcPr>
            <w:tcW w:type="dxa" w:w="3000"/>
            <w:tcMar>
              <w:top w:type="dxa" w:w="60"/>
              <w:left w:type="dxa" w:w="100"/>
              <w:bottom w:type="dxa" w:w="60"/>
              <w:right w:type="dxa" w:w="100"/>
            </w:tcMar>
          </w:tcPr>
          <w:p>
            <w:r>
              <w:rPr>
                <w:rFonts w:ascii="Calibri" w:cs="Calibri" w:eastAsia="Calibri" w:hAnsi="Calibri"/>
                <w:b w:val="false"/>
                <w:bCs w:val="false"/>
                <w:sz w:val="19"/>
                <w:szCs w:val="19"/>
              </w:rPr>
              <w:t xml:space="preserve">p = 0.014 (weak positive)</w:t>
            </w:r>
          </w:p>
        </w:tc>
      </w:tr>
      <w:tr>
        <w:tc>
          <w:tcPr>
            <w:tcW w:type="dxa" w:w="3800"/>
            <w:tcMar>
              <w:top w:type="dxa" w:w="60"/>
              <w:left w:type="dxa" w:w="100"/>
              <w:bottom w:type="dxa" w:w="60"/>
              <w:right w:type="dxa" w:w="100"/>
            </w:tcMar>
          </w:tcPr>
          <w:p>
            <w:r>
              <w:rPr>
                <w:rFonts w:ascii="Calibri" w:cs="Calibri" w:eastAsia="Calibri" w:hAnsi="Calibri"/>
                <w:b w:val="false"/>
                <w:bCs w:val="false"/>
                <w:sz w:val="19"/>
                <w:szCs w:val="19"/>
              </w:rPr>
              <w:t xml:space="preserve">  smart-money deal net quantity</w:t>
            </w:r>
          </w:p>
        </w:tc>
        <w:tc>
          <w:tcPr>
            <w:tcW w:type="dxa" w:w="2600"/>
            <w:tcMar>
              <w:top w:type="dxa" w:w="60"/>
              <w:left w:type="dxa" w:w="100"/>
              <w:bottom w:type="dxa" w:w="60"/>
              <w:right w:type="dxa" w:w="100"/>
            </w:tcMar>
          </w:tcPr>
          <w:p>
            <w:r>
              <w:rPr>
                <w:rFonts w:ascii="Calibri" w:cs="Calibri" w:eastAsia="Calibri" w:hAnsi="Calibri"/>
                <w:b w:val="false"/>
                <w:bCs w:val="false"/>
                <w:sz w:val="19"/>
                <w:szCs w:val="19"/>
              </w:rPr>
              <w:t xml:space="preserve">t = -3.30</w:t>
            </w:r>
          </w:p>
        </w:tc>
        <w:tc>
          <w:tcPr>
            <w:tcW w:type="dxa" w:w="3000"/>
            <w:tcMar>
              <w:top w:type="dxa" w:w="60"/>
              <w:left w:type="dxa" w:w="100"/>
              <w:bottom w:type="dxa" w:w="60"/>
              <w:right w:type="dxa" w:w="100"/>
            </w:tcMar>
          </w:tcPr>
          <w:p>
            <w:r>
              <w:rPr>
                <w:rFonts w:ascii="Calibri" w:cs="Calibri" w:eastAsia="Calibri" w:hAnsi="Calibri"/>
                <w:b w:val="false"/>
                <w:bCs w:val="false"/>
                <w:sz w:val="19"/>
                <w:szCs w:val="19"/>
              </w:rPr>
              <w:t xml:space="preserve">small negative sign</w:t>
            </w:r>
          </w:p>
        </w:tc>
      </w:tr>
      <w:tr>
        <w:tc>
          <w:tcPr>
            <w:tcW w:type="dxa" w:w="3800"/>
            <w:tcMar>
              <w:top w:type="dxa" w:w="60"/>
              <w:left w:type="dxa" w:w="100"/>
              <w:bottom w:type="dxa" w:w="60"/>
              <w:right w:type="dxa" w:w="100"/>
            </w:tcMar>
          </w:tcPr>
          <w:p>
            <w:r>
              <w:rPr>
                <w:rFonts w:ascii="Calibri" w:cs="Calibri" w:eastAsia="Calibri" w:hAnsi="Calibri"/>
                <w:b w:val="false"/>
                <w:bCs w:val="false"/>
                <w:sz w:val="19"/>
                <w:szCs w:val="19"/>
              </w:rPr>
              <w:t xml:space="preserve">  delivery z, volume z, accum. score</w:t>
            </w:r>
          </w:p>
        </w:tc>
        <w:tc>
          <w:tcPr>
            <w:tcW w:type="dxa" w:w="2600"/>
            <w:tcMar>
              <w:top w:type="dxa" w:w="60"/>
              <w:left w:type="dxa" w:w="100"/>
              <w:bottom w:type="dxa" w:w="60"/>
              <w:right w:type="dxa" w:w="100"/>
            </w:tcMar>
          </w:tcPr>
          <w:p>
            <w:r>
              <w:rPr>
                <w:rFonts w:ascii="Calibri" w:cs="Calibri" w:eastAsia="Calibri" w:hAnsi="Calibri"/>
                <w:b w:val="false"/>
                <w:bCs w:val="false"/>
                <w:sz w:val="19"/>
                <w:szCs w:val="19"/>
              </w:rPr>
              <w:t xml:space="preserve">-</w:t>
            </w:r>
          </w:p>
        </w:tc>
        <w:tc>
          <w:tcPr>
            <w:tcW w:type="dxa" w:w="3000"/>
            <w:tcMar>
              <w:top w:type="dxa" w:w="60"/>
              <w:left w:type="dxa" w:w="100"/>
              <w:bottom w:type="dxa" w:w="60"/>
              <w:right w:type="dxa" w:w="100"/>
            </w:tcMar>
          </w:tcPr>
          <w:p>
            <w:r>
              <w:rPr>
                <w:rFonts w:ascii="Calibri" w:cs="Calibri" w:eastAsia="Calibri" w:hAnsi="Calibri"/>
                <w:b w:val="false"/>
                <w:bCs w:val="false"/>
                <w:sz w:val="19"/>
                <w:szCs w:val="19"/>
              </w:rPr>
              <w:t xml:space="preserve">all insignificant</w:t>
            </w:r>
          </w:p>
        </w:tc>
      </w:tr>
      <w:tr>
        <w:tc>
          <w:tcPr>
            <w:tcW w:type="dxa" w:w="3800"/>
            <w:tcMar>
              <w:top w:type="dxa" w:w="60"/>
              <w:left w:type="dxa" w:w="100"/>
              <w:bottom w:type="dxa" w:w="60"/>
              <w:right w:type="dxa" w:w="100"/>
            </w:tcMar>
          </w:tcPr>
          <w:p>
            <w:r>
              <w:rPr>
                <w:rFonts w:ascii="Calibri" w:cs="Calibri" w:eastAsia="Calibri" w:hAnsi="Calibri"/>
                <w:b w:val="false"/>
                <w:bCs w:val="false"/>
                <w:sz w:val="19"/>
                <w:szCs w:val="19"/>
              </w:rPr>
              <w:t xml:space="preserve">Logistic regression (OOS, n = 1,335)</w:t>
            </w:r>
          </w:p>
        </w:tc>
        <w:tc>
          <w:tcPr>
            <w:tcW w:type="dxa" w:w="2600"/>
            <w:tcMar>
              <w:top w:type="dxa" w:w="60"/>
              <w:left w:type="dxa" w:w="100"/>
              <w:bottom w:type="dxa" w:w="60"/>
              <w:right w:type="dxa" w:w="100"/>
            </w:tcMar>
          </w:tcPr>
          <w:p>
            <w:r>
              <w:rPr>
                <w:rFonts w:ascii="Calibri" w:cs="Calibri" w:eastAsia="Calibri" w:hAnsi="Calibri"/>
                <w:b w:val="false"/>
                <w:bCs w:val="false"/>
                <w:sz w:val="19"/>
                <w:szCs w:val="19"/>
              </w:rPr>
              <w:t xml:space="preserve">ROC-AUC</w:t>
            </w:r>
          </w:p>
        </w:tc>
        <w:tc>
          <w:tcPr>
            <w:tcW w:type="dxa" w:w="3000"/>
            <w:tcMar>
              <w:top w:type="dxa" w:w="60"/>
              <w:left w:type="dxa" w:w="100"/>
              <w:bottom w:type="dxa" w:w="60"/>
              <w:right w:type="dxa" w:w="100"/>
            </w:tcMar>
          </w:tcPr>
          <w:p>
            <w:r>
              <w:rPr>
                <w:rFonts w:ascii="Calibri" w:cs="Calibri" w:eastAsia="Calibri" w:hAnsi="Calibri"/>
                <w:b w:val="false"/>
                <w:bCs w:val="false"/>
                <w:sz w:val="19"/>
                <w:szCs w:val="19"/>
              </w:rPr>
              <w:t xml:space="preserve">0.461</w:t>
            </w:r>
          </w:p>
        </w:tc>
      </w:tr>
      <w:tr>
        <w:tc>
          <w:tcPr>
            <w:tcW w:type="dxa" w:w="3800"/>
            <w:tcMar>
              <w:top w:type="dxa" w:w="60"/>
              <w:left w:type="dxa" w:w="100"/>
              <w:bottom w:type="dxa" w:w="60"/>
              <w:right w:type="dxa" w:w="100"/>
            </w:tcMar>
          </w:tcPr>
          <w:p>
            <w:r>
              <w:rPr>
                <w:rFonts w:ascii="Calibri" w:cs="Calibri" w:eastAsia="Calibri" w:hAnsi="Calibri"/>
                <w:b w:val="false"/>
                <w:bCs w:val="false"/>
                <w:sz w:val="19"/>
                <w:szCs w:val="19"/>
              </w:rPr>
              <w:t xml:space="preserve">Random forest (OOS, n = 1,335)</w:t>
            </w:r>
          </w:p>
        </w:tc>
        <w:tc>
          <w:tcPr>
            <w:tcW w:type="dxa" w:w="2600"/>
            <w:tcMar>
              <w:top w:type="dxa" w:w="60"/>
              <w:left w:type="dxa" w:w="100"/>
              <w:bottom w:type="dxa" w:w="60"/>
              <w:right w:type="dxa" w:w="100"/>
            </w:tcMar>
          </w:tcPr>
          <w:p>
            <w:r>
              <w:rPr>
                <w:rFonts w:ascii="Calibri" w:cs="Calibri" w:eastAsia="Calibri" w:hAnsi="Calibri"/>
                <w:b w:val="false"/>
                <w:bCs w:val="false"/>
                <w:sz w:val="19"/>
                <w:szCs w:val="19"/>
              </w:rPr>
              <w:t xml:space="preserve">ROC-AUC</w:t>
            </w:r>
          </w:p>
        </w:tc>
        <w:tc>
          <w:tcPr>
            <w:tcW w:type="dxa" w:w="3000"/>
            <w:tcMar>
              <w:top w:type="dxa" w:w="60"/>
              <w:left w:type="dxa" w:w="100"/>
              <w:bottom w:type="dxa" w:w="60"/>
              <w:right w:type="dxa" w:w="100"/>
            </w:tcMar>
          </w:tcPr>
          <w:p>
            <w:r>
              <w:rPr>
                <w:rFonts w:ascii="Calibri" w:cs="Calibri" w:eastAsia="Calibri" w:hAnsi="Calibri"/>
                <w:b w:val="false"/>
                <w:bCs w:val="false"/>
                <w:sz w:val="19"/>
                <w:szCs w:val="19"/>
              </w:rPr>
              <w:t xml:space="preserve">0.477</w:t>
            </w:r>
          </w:p>
        </w:tc>
      </w:tr>
    </w:tbl>
    <w:p>
      <w:pPr>
        <w:spacing w:after="120" w:before="0"/>
      </w:pPr>
      <w:r>
        <w:rPr>
          <w:rFonts w:ascii="Calibri" w:cs="Calibri" w:eastAsia="Calibri" w:hAnsi="Calibri"/>
          <w:sz w:val="22"/>
          <w:szCs w:val="22"/>
        </w:rPr>
        <w:t xml:space="preserve"/>
      </w:r>
    </w:p>
    <w:p>
      <w:pPr>
        <w:spacing w:after="160" w:before="0"/>
      </w:pPr>
      <w:r>
        <w:rPr>
          <w:rFonts w:ascii="Calibri" w:cs="Calibri" w:eastAsia="Calibri" w:hAnsi="Calibri"/>
          <w:sz w:val="22"/>
          <w:szCs w:val="22"/>
        </w:rPr>
        <w:t xml:space="preserve">Both classifiers score below a coin flip out of sample. One detail is worth flagging. The deal-flow coefficient is slightly negative, which means that on average, large-cap days with disclosed institutional buying were followed by marginally weaker returns. That fits a world where a disclosure marks a liquidity event, an exit or a rebalance, rather than a conviction entry.</w:t>
      </w:r>
    </w:p>
    <w:p>
      <w:pPr>
        <w:pStyle w:val="Heading2"/>
        <w:spacing w:after="120" w:before="240"/>
      </w:pPr>
      <w:r>
        <w:rPr>
          <w:rFonts w:ascii="Calibri" w:cs="Calibri" w:eastAsia="Calibri" w:hAnsi="Calibri"/>
          <w:b/>
          <w:bCs/>
          <w:color w:val="1F4E79"/>
          <w:sz w:val="25"/>
          <w:szCs w:val="25"/>
        </w:rPr>
        <w:t xml:space="preserve">4.4 Delivery spikes, if anything, lean the wrong way</w:t>
      </w:r>
    </w:p>
    <w:p>
      <w:pPr>
        <w:spacing w:after="160" w:before="0"/>
      </w:pPr>
      <w:r>
        <w:rPr>
          <w:rFonts w:ascii="Calibri" w:cs="Calibri" w:eastAsia="Calibri" w:hAnsi="Calibri"/>
          <w:sz w:val="22"/>
          <w:szCs w:val="22"/>
        </w:rPr>
        <w:t xml:space="preserve">Across 79 volume-confirmed delivery-spike days in the first half of 2026, the mean 5-day forward return was -0.72%, against +0.03% on ordinary days, with a Welch t of -1.90 and p = 0.061. Individual symbols are noisy and two-sided on very small samples. JSW Steel comes out positive at p = 0.046, Tata Consumer negative at p below 0.001. The popular heuristic that high delivery means accumulation, and accumulation means buy, gets no support here. If anything the point estimate leans the other way.</w:t>
      </w:r>
    </w:p>
    <w:p>
      <w:pPr>
        <w:pStyle w:val="Heading1"/>
        <w:spacing w:after="160" w:before="320"/>
      </w:pPr>
      <w:r>
        <w:rPr>
          <w:rFonts w:ascii="Calibri" w:cs="Calibri" w:eastAsia="Calibri" w:hAnsi="Calibri"/>
          <w:b/>
          <w:bCs/>
          <w:color w:val="1F4E79"/>
          <w:sz w:val="30"/>
          <w:szCs w:val="30"/>
        </w:rPr>
        <w:t xml:space="preserve">5. Discussion</w:t>
      </w:r>
    </w:p>
    <w:p>
      <w:pPr>
        <w:pStyle w:val="ListParagraph"/>
        <w:numPr>
          <w:ilvl w:val="0"/>
          <w:numId w:val="2"/>
        </w:numPr>
        <w:spacing w:after="100"/>
      </w:pPr>
      <w:r>
        <w:rPr>
          <w:rFonts w:ascii="Calibri" w:cs="Calibri" w:eastAsia="Calibri" w:hAnsi="Calibri"/>
          <w:sz w:val="22"/>
          <w:szCs w:val="22"/>
        </w:rPr>
        <w:t xml:space="preserve">Large caps hide footprints by design. A bulk deal needs 0.5% of a company’s equity in one day. In a company worth ten lakh crore rupees, that is an enormous position. Only 1.7% of disclosed deals touch NIFTY 50 names, and the ones that do are dominated by basket, index and ODI flows that carry no stock-specific view.</w:t>
      </w:r>
    </w:p>
    <w:p>
      <w:pPr>
        <w:pStyle w:val="ListParagraph"/>
        <w:numPr>
          <w:ilvl w:val="0"/>
          <w:numId w:val="2"/>
        </w:numPr>
        <w:spacing w:after="100"/>
      </w:pPr>
      <w:r>
        <w:rPr>
          <w:rFonts w:ascii="Calibri" w:cs="Calibri" w:eastAsia="Calibri" w:hAnsi="Calibri"/>
          <w:sz w:val="22"/>
          <w:szCs w:val="22"/>
        </w:rPr>
        <w:t xml:space="preserve">The unit of analysis matters a lot. Counting each day of a multi-day buying program as a separate event manufactures significance out of nothing. Campaigns, not days, are the honest unit. In this sample most pairs amount to one or two campaigns.</w:t>
      </w:r>
    </w:p>
    <w:p>
      <w:pPr>
        <w:pStyle w:val="ListParagraph"/>
        <w:numPr>
          <w:ilvl w:val="0"/>
          <w:numId w:val="2"/>
        </w:numPr>
        <w:spacing w:after="100"/>
      </w:pPr>
      <w:r>
        <w:rPr>
          <w:rFonts w:ascii="Calibri" w:cs="Calibri" w:eastAsia="Calibri" w:hAnsi="Calibri"/>
          <w:sz w:val="22"/>
          <w:szCs w:val="22"/>
        </w:rPr>
        <w:t xml:space="preserve">Market adjustment is not optional. Every naive positive in this study rode a rising market. Excess return over the index, not raw return, is the least you should demand as evidence.</w:t>
      </w:r>
    </w:p>
    <w:p>
      <w:pPr>
        <w:pStyle w:val="ListParagraph"/>
        <w:numPr>
          <w:ilvl w:val="0"/>
          <w:numId w:val="2"/>
        </w:numPr>
        <w:spacing w:after="100"/>
      </w:pPr>
      <w:r>
        <w:rPr>
          <w:rFonts w:ascii="Calibri" w:cs="Calibri" w:eastAsia="Calibri" w:hAnsi="Calibri"/>
          <w:sz w:val="22"/>
          <w:szCs w:val="22"/>
        </w:rPr>
        <w:t xml:space="preserve">A negative result is still informative. This does not prove smart-money tracking is worthless in India. It proves the large-cap version of the folklore fails, and it points to exactly where a real test has to go.</w:t>
      </w:r>
    </w:p>
    <w:p>
      <w:pPr>
        <w:pStyle w:val="Heading1"/>
        <w:spacing w:after="160" w:before="320"/>
      </w:pPr>
      <w:r>
        <w:rPr>
          <w:rFonts w:ascii="Calibri" w:cs="Calibri" w:eastAsia="Calibri" w:hAnsi="Calibri"/>
          <w:b/>
          <w:bCs/>
          <w:color w:val="1F4E79"/>
          <w:sz w:val="30"/>
          <w:szCs w:val="30"/>
        </w:rPr>
        <w:t xml:space="preserve">6. Limitations</w:t>
      </w:r>
    </w:p>
    <w:p>
      <w:pPr>
        <w:pStyle w:val="ListParagraph"/>
        <w:numPr>
          <w:ilvl w:val="0"/>
          <w:numId w:val="2"/>
        </w:numPr>
        <w:spacing w:after="100"/>
      </w:pPr>
      <w:r>
        <w:rPr>
          <w:rFonts w:ascii="Calibri" w:cs="Calibri" w:eastAsia="Calibri" w:hAnsi="Calibri"/>
          <w:sz w:val="22"/>
          <w:szCs w:val="22"/>
        </w:rPr>
        <w:t xml:space="preserve">The price history covers NIFTY 50 only. That leaves 98.3% of the disclosed deals untested.</w:t>
      </w:r>
    </w:p>
    <w:p>
      <w:pPr>
        <w:pStyle w:val="ListParagraph"/>
        <w:numPr>
          <w:ilvl w:val="0"/>
          <w:numId w:val="2"/>
        </w:numPr>
        <w:spacing w:after="100"/>
      </w:pPr>
      <w:r>
        <w:rPr>
          <w:rFonts w:ascii="Calibri" w:cs="Calibri" w:eastAsia="Calibri" w:hAnsi="Calibri"/>
          <w:sz w:val="22"/>
          <w:szCs w:val="22"/>
        </w:rPr>
        <w:t xml:space="preserve">Only five pairs reached the minimum-event threshold, so the participant-level test is underpowered in this universe by construction.</w:t>
      </w:r>
    </w:p>
    <w:p>
      <w:pPr>
        <w:pStyle w:val="ListParagraph"/>
        <w:numPr>
          <w:ilvl w:val="0"/>
          <w:numId w:val="2"/>
        </w:numPr>
        <w:spacing w:after="100"/>
      </w:pPr>
      <w:r>
        <w:rPr>
          <w:rFonts w:ascii="Calibri" w:cs="Calibri" w:eastAsia="Calibri" w:hAnsi="Calibri"/>
          <w:sz w:val="22"/>
          <w:szCs w:val="22"/>
        </w:rPr>
        <w:t xml:space="preserve">Delivery data span six months, a single market regime. The FII/DII flow history is only two days old and grows daily.</w:t>
      </w:r>
    </w:p>
    <w:p>
      <w:pPr>
        <w:pStyle w:val="ListParagraph"/>
        <w:numPr>
          <w:ilvl w:val="0"/>
          <w:numId w:val="2"/>
        </w:numPr>
        <w:spacing w:after="100"/>
      </w:pPr>
      <w:r>
        <w:rPr>
          <w:rFonts w:ascii="Calibri" w:cs="Calibri" w:eastAsia="Calibri" w:hAnsi="Calibri"/>
          <w:sz w:val="22"/>
          <w:szCs w:val="22"/>
        </w:rPr>
        <w:t xml:space="preserve">Bulk-deal history for the first half of 2026 was still downloading when I wrote this. The 2024 and 2025 files are complete.</w:t>
      </w:r>
    </w:p>
    <w:p>
      <w:pPr>
        <w:pStyle w:val="ListParagraph"/>
        <w:numPr>
          <w:ilvl w:val="0"/>
          <w:numId w:val="2"/>
        </w:numPr>
        <w:spacing w:after="100"/>
      </w:pPr>
      <w:r>
        <w:rPr>
          <w:rFonts w:ascii="Calibri" w:cs="Calibri" w:eastAsia="Calibri" w:hAnsi="Calibri"/>
          <w:sz w:val="22"/>
          <w:szCs w:val="22"/>
        </w:rPr>
        <w:t xml:space="preserve">Participant classification is a keyword heuristic, and ODI desks trade for undisclosed end clients.</w:t>
      </w:r>
    </w:p>
    <w:p>
      <w:pPr>
        <w:pStyle w:val="Heading1"/>
        <w:spacing w:after="160" w:before="320"/>
      </w:pPr>
      <w:r>
        <w:rPr>
          <w:rFonts w:ascii="Calibri" w:cs="Calibri" w:eastAsia="Calibri" w:hAnsi="Calibri"/>
          <w:b/>
          <w:bCs/>
          <w:color w:val="1F4E79"/>
          <w:sz w:val="30"/>
          <w:szCs w:val="30"/>
        </w:rPr>
        <w:t xml:space="preserve">7. Future work</w:t>
      </w:r>
    </w:p>
    <w:p>
      <w:pPr>
        <w:pStyle w:val="ListParagraph"/>
        <w:numPr>
          <w:ilvl w:val="0"/>
          <w:numId w:val="2"/>
        </w:numPr>
        <w:spacing w:after="100"/>
      </w:pPr>
      <w:r>
        <w:rPr>
          <w:rFonts w:ascii="Calibri" w:cs="Calibri" w:eastAsia="Calibri" w:hAnsi="Calibri"/>
          <w:sz w:val="22"/>
          <w:szCs w:val="22"/>
        </w:rPr>
        <w:t xml:space="preserve">Extend the price universe to the NIFTY Midcap 150 and Smallcap 250, where the 48,000-deal history is actually concentrated and event counts per participant are far higher.</w:t>
      </w:r>
    </w:p>
    <w:p>
      <w:pPr>
        <w:pStyle w:val="ListParagraph"/>
        <w:numPr>
          <w:ilvl w:val="0"/>
          <w:numId w:val="2"/>
        </w:numPr>
        <w:spacing w:after="100"/>
      </w:pPr>
      <w:r>
        <w:rPr>
          <w:rFonts w:ascii="Calibri" w:cs="Calibri" w:eastAsia="Calibri" w:hAnsi="Calibri"/>
          <w:sz w:val="22"/>
          <w:szCs w:val="22"/>
        </w:rPr>
        <w:t xml:space="preserve">Re-run the audit with campaigns as the event unit and market-adjusted returns as the default metric.</w:t>
      </w:r>
    </w:p>
    <w:p>
      <w:pPr>
        <w:pStyle w:val="ListParagraph"/>
        <w:numPr>
          <w:ilvl w:val="0"/>
          <w:numId w:val="2"/>
        </w:numPr>
        <w:spacing w:after="100"/>
      </w:pPr>
      <w:r>
        <w:rPr>
          <w:rFonts w:ascii="Calibri" w:cs="Calibri" w:eastAsia="Calibri" w:hAnsi="Calibri"/>
          <w:sz w:val="22"/>
          <w:szCs w:val="22"/>
        </w:rPr>
        <w:t xml:space="preserve">Keep collecting FII/DII flow and delivery history through the pipeline’s daily scheduled job, then revisit the flow-causality (Granger) tests once there is six months or more of it.</w:t>
      </w:r>
    </w:p>
    <w:p>
      <w:pPr>
        <w:pStyle w:val="ListParagraph"/>
        <w:numPr>
          <w:ilvl w:val="0"/>
          <w:numId w:val="2"/>
        </w:numPr>
        <w:spacing w:after="100"/>
      </w:pPr>
      <w:r>
        <w:rPr>
          <w:rFonts w:ascii="Calibri" w:cs="Calibri" w:eastAsia="Calibri" w:hAnsi="Calibri"/>
          <w:sz w:val="22"/>
          <w:szCs w:val="22"/>
        </w:rPr>
        <w:t xml:space="preserve">Track specific high-conviction domestic participants, such as mutual funds and AIFs, whose mandates imply real stock selection rather than basket execution.</w:t>
      </w:r>
    </w:p>
    <w:p>
      <w:pPr>
        <w:pStyle w:val="Heading1"/>
        <w:spacing w:after="160" w:before="320"/>
      </w:pPr>
      <w:r>
        <w:rPr>
          <w:rFonts w:ascii="Calibri" w:cs="Calibri" w:eastAsia="Calibri" w:hAnsi="Calibri"/>
          <w:b/>
          <w:bCs/>
          <w:color w:val="1F4E79"/>
          <w:sz w:val="30"/>
          <w:szCs w:val="30"/>
        </w:rPr>
        <w:t xml:space="preserve">8. Conclusion</w:t>
      </w:r>
    </w:p>
    <w:p>
      <w:pPr>
        <w:spacing w:after="160" w:before="0"/>
      </w:pPr>
      <w:r>
        <w:rPr>
          <w:rFonts w:ascii="Calibri" w:cs="Calibri" w:eastAsia="Calibri" w:hAnsi="Calibri"/>
          <w:sz w:val="22"/>
          <w:szCs w:val="22"/>
        </w:rPr>
        <w:t xml:space="preserve">India’s disclosure regime is unusually transparent, so the smart-money question deserves a real answer rather than folklore. The answer I got is sobering. In the NIFTY 50, every naive institutional-footprint signal I found dissolved under three standard checks. Pooled models found nothing a coin flip would miss, and the delivery heuristic pointed the wrong way. The upside is the infrastructure. The pipeline, warehouse, validation layer and dashboard I built for this audit now collect data every day, which is what will let me ask the sharper version of the question where it belongs, in the mid-cap names where disclosed institutions actually leave tracks.</w:t>
      </w:r>
    </w:p>
    <w:p>
      <w:pPr>
        <w:spacing w:after="120" w:before="0"/>
      </w:pPr>
      <w:r>
        <w:rPr>
          <w:rFonts w:ascii="Calibri" w:cs="Calibri" w:eastAsia="Calibri" w:hAnsi="Calibri"/>
          <w:sz w:val="22"/>
          <w:szCs w:val="22"/>
        </w:rPr>
        <w:t xml:space="preserve"/>
      </w:r>
    </w:p>
    <w:p>
      <w:pPr>
        <w:pBdr>
          <w:top w:val="single" w:color="AAAAAA" w:sz="4"/>
        </w:pBdr>
        <w:spacing w:after="120" w:before="200"/>
      </w:pPr>
    </w:p>
    <w:p>
      <w:pPr>
        <w:spacing w:after="160" w:before="0"/>
      </w:pPr>
      <w:r>
        <w:rPr>
          <w:rFonts w:ascii="Calibri" w:cs="Calibri" w:eastAsia="Calibri" w:hAnsi="Calibri"/>
          <w:i/>
          <w:iCs/>
          <w:color w:val="666666"/>
          <w:sz w:val="18"/>
          <w:szCs w:val="18"/>
        </w:rPr>
        <w:t xml:space="preserve">Disclaimer: this paper is educational research, not investment advice. Bulk and block-deal disclosures identify the executing counterparty, not intent or the end client, and nothing here alleges wrongdoing by any named institution. Analysis code and data pipeline: github.com/Pravkum23/nse-smartmoney.</w:t>
      </w:r>
    </w:p>
    <w:sectPr>
      <w:footerReference w:type="default" r:id="rId7"/>
      <w:pgSz w:w="12240" w:h="15840" w:orient="portrait"/>
      <w:pgMar w:top="1080" w:right="1240" w:bottom="108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2026-07-19T12:36:33.204Z</dcterms:created>
  <dcterms:modified xsi:type="dcterms:W3CDTF">2026-07-19T12:36:33.239Z</dcterms:modified>
</cp:coreProperties>
</file>

<file path=docProps/custom.xml><?xml version="1.0" encoding="utf-8"?>
<Properties xmlns="http://schemas.openxmlformats.org/officeDocument/2006/custom-properties" xmlns:vt="http://schemas.openxmlformats.org/officeDocument/2006/docPropsVTypes"/>
</file>