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jc w:val="center"/>
      </w:pPr>
      <w:r>
        <w:rPr>
          <w:rFonts w:ascii="Arial" w:cs="Arial" w:eastAsia="Arial" w:hAnsi="Arial"/>
          <w:b/>
          <w:bCs/>
          <w:color w:val="1B6B3A"/>
          <w:sz w:val="80"/>
          <w:szCs w:val="80"/>
        </w:rPr>
        <w:t xml:space="preserve">GreenOrb</w:t>
      </w:r>
    </w:p>
    <w:p>
      <w:pPr>
        <w:spacing w:before="0" w:after="80"/>
        <w:jc w:val="center"/>
      </w:pPr>
      <w:r>
        <w:rPr>
          <w:rFonts w:ascii="Arial" w:cs="Arial" w:eastAsia="Arial" w:hAnsi="Arial"/>
          <w:color w:val="1A4E7A"/>
          <w:sz w:val="40"/>
          <w:szCs w:val="40"/>
        </w:rPr>
        <w:t xml:space="preserve">Planetary Intelligence Platform</w:t>
      </w:r>
    </w:p>
    <w:p>
      <w:pPr>
        <w:spacing w:before="0" w:after="600"/>
        <w:jc w:val="center"/>
      </w:pPr>
      <w:r>
        <w:rPr>
          <w:rFonts w:ascii="Arial" w:cs="Arial" w:eastAsia="Arial" w:hAnsi="Arial"/>
          <w:i/>
          <w:iCs/>
          <w:color w:val="64748B"/>
          <w:sz w:val="26"/>
          <w:szCs w:val="26"/>
        </w:rPr>
        <w:t xml:space="preserve">Complete Feature Architecture &amp; Data Layer Specification</w:t>
      </w:r>
    </w:p>
    <w:p>
      <w:pPr>
        <w:pBdr>
          <w:bottom w:val="single" w:color="1B6B3A" w:sz="8" w:space="1"/>
        </w:pBdr>
        <w:spacing w:before="0" w:after="0"/>
        <w:jc w:val="center"/>
      </w:pPr>
    </w:p>
    <w:p>
      <w:pPr>
        <w:spacing w:before="360" w:after="120"/>
        <w:jc w:val="center"/>
      </w:pPr>
      <w:r>
        <w:rPr>
          <w:rFonts w:ascii="Arial" w:cs="Arial" w:eastAsia="Arial" w:hAnsi="Arial"/>
          <w:color w:val="64748B"/>
          <w:sz w:val="20"/>
          <w:szCs w:val="20"/>
        </w:rPr>
        <w:t xml:space="preserve">Version 2.0  |  March 2026  |  Confidential Working Document</w:t>
      </w:r>
    </w:p>
    <w:p>
      <w:pPr>
        <w:spacing w:before="0" w:after="200"/>
      </w:pPr>
      <w:r>
        <w:t xml:space="preserve"/>
      </w:r>
    </w:p>
    <w:p>
      <w:r>
        <w:br w:type="page"/>
      </w:r>
    </w:p>
    <w:p>
      <w:pPr>
        <w:pStyle w:val="Heading1"/>
        <w:spacing w:before="480" w:after="200"/>
      </w:pPr>
      <w:r>
        <w:rPr>
          <w:rFonts w:ascii="Arial" w:cs="Arial" w:eastAsia="Arial" w:hAnsi="Arial"/>
          <w:b/>
          <w:bCs/>
          <w:color w:val="0A2540"/>
          <w:sz w:val="44"/>
          <w:szCs w:val="44"/>
        </w:rPr>
        <w:t xml:space="preserve">Table of Contents</w:t>
      </w:r>
    </w:p>
    <w:sdt>
      <w:sdtPr>
        <w:alias w:val="Contents"/>
      </w:sdtPr>
      <w:sdtContent>
        <w:p>
          <w:r>
            <w:fldChar w:fldCharType="begin" w:dirty="true"/>
            <w:instrText xml:space="preserve">TOC \h \o "1-4" \t "Heading1,1,Heading2,2"</w:instrText>
            <w:fldChar w:fldCharType="separate"/>
          </w:r>
        </w:p>
        <w:p>
          <w:r>
            <w:fldChar w:fldCharType="end"/>
          </w:r>
        </w:p>
      </w:sdtContent>
    </w:sdt>
    <w:p>
      <w:r>
        <w:br w:type="page"/>
      </w:r>
    </w:p>
    <w:p>
      <w:pPr>
        <w:pStyle w:val="Heading1"/>
        <w:spacing w:before="480" w:after="200"/>
      </w:pPr>
      <w:r>
        <w:rPr>
          <w:rFonts w:ascii="Arial" w:cs="Arial" w:eastAsia="Arial" w:hAnsi="Arial"/>
          <w:b/>
          <w:bCs/>
          <w:color w:val="0A2540"/>
          <w:sz w:val="44"/>
          <w:szCs w:val="44"/>
        </w:rPr>
        <w:t xml:space="preserve">1. Vision: From ESG Tool to Planetary Intelligence Terminal</w:t>
      </w:r>
    </w:p>
    <w:p>
      <w:pPr>
        <w:spacing w:before="80" w:after="120" w:line="320"/>
      </w:pPr>
      <w:r>
        <w:rPr>
          <w:rFonts w:ascii="Arial" w:cs="Arial" w:eastAsia="Arial" w:hAnsi="Arial"/>
          <w:b w:val="false"/>
          <w:bCs w:val="false"/>
          <w:i w:val="false"/>
          <w:iCs w:val="false"/>
          <w:color w:val="475569"/>
          <w:sz w:val="22"/>
          <w:szCs w:val="22"/>
        </w:rPr>
        <w:t xml:space="preserve">GreenOrb must transcend its current positioning as a corporate ESG auditor. The goal is to become the single platform from which any stakeholder — investor, policymaker, regulator, journalist, or citizen — can look at planet Earth in real time and understand what is happening to it: what companies are doing, what the atmosphere is doing, what ecosystems are doing, and where the planet's vital signs are deteriorating or improving.</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3A" w:sz="3"/>
              <w:left w:val="single" w:color="1B6B3A" w:sz="12"/>
              <w:bottom w:val="single" w:color="1B6B3A" w:sz="3"/>
              <w:right w:val="none"/>
            </w:tcBorders>
            <w:shd w:fill="F0FDF4" w:val="clear"/>
            <w:tcMar>
              <w:top w:type="dxa" w:w="120"/>
              <w:left w:type="dxa" w:w="200"/>
              <w:bottom w:type="dxa" w:w="120"/>
              <w:right w:type="dxa" w:w="200"/>
            </w:tcMar>
          </w:tcPr>
          <w:p>
            <w:pPr>
              <w:spacing w:before="0" w:after="60"/>
            </w:pPr>
            <w:r>
              <w:rPr>
                <w:rFonts w:ascii="Arial" w:cs="Arial" w:eastAsia="Arial" w:hAnsi="Arial"/>
                <w:b/>
                <w:bCs/>
                <w:color w:val="1B6B3A"/>
                <w:sz w:val="20"/>
                <w:szCs w:val="20"/>
              </w:rPr>
              <w:t xml:space="preserve">North Star Metric</w:t>
            </w:r>
          </w:p>
          <w:p>
            <w:pPr>
              <w:spacing w:before="0" w:after="0"/>
            </w:pPr>
            <w:r>
              <w:rPr>
                <w:rFonts w:ascii="Arial" w:cs="Arial" w:eastAsia="Arial" w:hAnsi="Arial"/>
                <w:color w:val="475569"/>
                <w:sz w:val="21"/>
                <w:szCs w:val="21"/>
              </w:rPr>
              <w:t xml:space="preserve">Any user opening GreenOrb should be able to answer — within 60 seconds, without prior training — the question: 'What is the single most urgent environmental event happening on Earth right now, and which organisations are responsible for it?'</w:t>
            </w:r>
          </w:p>
        </w:tc>
      </w:tr>
    </w:tbl>
    <w:p>
      <w:pPr>
        <w:spacing w:before="0" w:after="100"/>
      </w:pPr>
      <w:r>
        <w:t xml:space="preserve"/>
      </w:r>
    </w:p>
    <w:p>
      <w:pPr>
        <w:spacing w:before="80" w:after="120" w:line="320"/>
      </w:pPr>
      <w:r>
        <w:rPr>
          <w:rFonts w:ascii="Arial" w:cs="Arial" w:eastAsia="Arial" w:hAnsi="Arial"/>
          <w:b w:val="false"/>
          <w:bCs w:val="false"/>
          <w:i w:val="false"/>
          <w:iCs w:val="false"/>
          <w:color w:val="475569"/>
          <w:sz w:val="22"/>
          <w:szCs w:val="22"/>
        </w:rPr>
        <w:t xml:space="preserve">Achieving this requires three platform shifts happening simultaneously: (1) a globe engine upgrade that can handle hundreds of simultaneous high-density data layers without frame drops, (2) a complete data source expansion from the current 8 ESG RSS feeds to a 40+ source planetary monitoring network, and (3) a new intelligence fusion layer that correlates signals across domains — corporate, satellite, meteorological, ecological, and geopolitical — and surfaces the most important convergences automatically.</w:t>
      </w:r>
    </w:p>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2. Globe Engine Upgrade: CesiumJS as the New Foundation</w:t>
      </w:r>
    </w:p>
    <w:p>
      <w:pPr>
        <w:pStyle w:val="Heading2"/>
        <w:spacing w:before="360" w:after="160"/>
      </w:pPr>
      <w:r>
        <w:rPr>
          <w:rFonts w:ascii="Arial" w:cs="Arial" w:eastAsia="Arial" w:hAnsi="Arial"/>
          <w:b/>
          <w:bCs/>
          <w:color w:val="0A2540"/>
          <w:sz w:val="34"/>
          <w:szCs w:val="34"/>
        </w:rPr>
        <w:t xml:space="preserve">2.1  Why the Current Globe Falls Short</w:t>
      </w:r>
    </w:p>
    <w:p>
      <w:pPr>
        <w:spacing w:before="80" w:after="120" w:line="320"/>
      </w:pPr>
      <w:r>
        <w:rPr>
          <w:rFonts w:ascii="Arial" w:cs="Arial" w:eastAsia="Arial" w:hAnsi="Arial"/>
          <w:b w:val="false"/>
          <w:bCs w:val="false"/>
          <w:i w:val="false"/>
          <w:iCs w:val="false"/>
          <w:color w:val="475569"/>
          <w:sz w:val="22"/>
          <w:szCs w:val="22"/>
        </w:rPr>
        <w:t xml:space="preserve">The current react-globe.gl / globe.gl stack is excellent for prototyping and handles 10,000–50,000 point primitives well. However it has hard architectural limits that will prevent GreenOrb from becoming the platform described in Section 1. The specific blockers are: no native terrain support (no ability to show topographic relief, elevation-based flooding zones, or mountain fire fronts), no time-dynamic tile streaming (no ability to play back historical satellite imagery day-by-day), no WMS/WMTS tile protocol support (blocks integration with NASA GIBS, Copernicus, NOAA, and dozens of other planetary data providers), and vertex count limits that prevent simultaneous rendering of species distribution polygons, ocean current vectors, fire perimeter polygons, and corporate facility markers at the same time.</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2.2  CesiumJS: The Recommended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2BE" w:sz="3"/>
              <w:left w:val="single" w:color="1B72BE" w:sz="12"/>
              <w:bottom w:val="single" w:color="1B72BE" w:sz="3"/>
              <w:right w:val="none"/>
            </w:tcBorders>
            <w:shd w:fill="EFF6FF" w:val="clear"/>
            <w:tcMar>
              <w:top w:type="dxa" w:w="120"/>
              <w:left w:type="dxa" w:w="200"/>
              <w:bottom w:type="dxa" w:w="120"/>
              <w:right w:type="dxa" w:w="200"/>
            </w:tcMar>
          </w:tcPr>
          <w:p>
            <w:pPr>
              <w:spacing w:before="0" w:after="60"/>
            </w:pPr>
            <w:r>
              <w:rPr>
                <w:rFonts w:ascii="Arial" w:cs="Arial" w:eastAsia="Arial" w:hAnsi="Arial"/>
                <w:b/>
                <w:bCs/>
                <w:color w:val="1B72BE"/>
                <w:sz w:val="20"/>
                <w:szCs w:val="20"/>
              </w:rPr>
              <w:t xml:space="preserve">Recommendation</w:t>
            </w:r>
          </w:p>
          <w:p>
            <w:pPr>
              <w:spacing w:before="0" w:after="0"/>
            </w:pPr>
            <w:r>
              <w:rPr>
                <w:rFonts w:ascii="Arial" w:cs="Arial" w:eastAsia="Arial" w:hAnsi="Arial"/>
                <w:color w:val="475569"/>
                <w:sz w:val="21"/>
                <w:szCs w:val="21"/>
              </w:rPr>
              <w:t xml:space="preserve">Replace globe.gl / Three.js with CesiumJS (open source, Apache 2.0). CesiumJS is the same engine used by NASA, the US Air Force, Google Earth Web, and Microsoft Flight Simulator for terrain. It handles 100M+ polygons, native 3D tiles, time-dynamic imagery, WMS/WMTS/TMS/CZML/KML/GeoJSON/MVT all natively.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react-globe.gl</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CesiumJS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Simultaneous data layers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~10–15 before lag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100+ with GPU instancing</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Native WMS/WMTS tile support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No — manual hack required</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Yes — first-class protocol</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3D terrain + elevation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No</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Yes — Cesium World Terrain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Time-dynamic imagery playback</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No</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Yes — built-in timeline widget</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Vector tile (MVT) support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No</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Yes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Species polygon density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~5K polygons max</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5M+ polygons via 3D Tiles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Offline/PWA capability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Limited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Yes — CesiumJS offline mode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React integration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Native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Via resium wrapper (Cesium + React)</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License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MIT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Apache 2.0</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Commercial support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Community only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Cesium Ion + community</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2.3  Migration Path</w:t>
      </w:r>
    </w:p>
    <w:p>
      <w:pPr>
        <w:spacing w:before="80" w:after="120" w:line="320"/>
      </w:pPr>
      <w:r>
        <w:rPr>
          <w:rFonts w:ascii="Arial" w:cs="Arial" w:eastAsia="Arial" w:hAnsi="Arial"/>
          <w:b w:val="false"/>
          <w:bCs w:val="false"/>
          <w:i w:val="false"/>
          <w:iCs w:val="false"/>
          <w:color w:val="475569"/>
          <w:sz w:val="22"/>
          <w:szCs w:val="22"/>
        </w:rPr>
        <w:t xml:space="preserve">The migration does not require rewriting all layers at once. The recommended path is a three-sprint phased migration:</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Sprint 1 — Install resium and CesiumJS alongside the existing globe. Migrate the Indore Smart City tab first (lowest data density, best for validation).</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Sprint 2 — Migrate the Globe Tab. Port existing pointsData, ringsData, polygonsData primitives to Cesium Entity/Primitive equivalents. The layer config system in layers.config.js remains unchanged — only the renderer changes.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Sprint 3 — Enable the new capabilities that justify the migration: terrain, time-dynamic imagery, and WMS tile streaming. These are the layers described in Sections 4–10 of this document.</w:t>
      </w:r>
    </w:p>
    <w:p>
      <w:pPr>
        <w:spacing w:before="0" w:after="100"/>
      </w:pPr>
      <w:r>
        <w:t xml:space="preserve"/>
      </w:r>
    </w:p>
    <w:p>
      <w:pPr>
        <w:spacing w:before="80" w:after="120" w:line="320"/>
      </w:pPr>
      <w:r>
        <w:rPr>
          <w:rFonts w:ascii="Arial" w:cs="Arial" w:eastAsia="Arial" w:hAnsi="Arial"/>
          <w:b w:val="false"/>
          <w:bCs w:val="false"/>
          <w:i w:val="false"/>
          <w:iCs w:val="false"/>
          <w:color w:val="475569"/>
          <w:sz w:val="22"/>
          <w:szCs w:val="22"/>
        </w:rPr>
        <w:t xml:space="preserve">Key implementation note: all existing API endpoints, TTL/cache logic, and the LangGraph agent pipeline are completely unaffected by the globe engine change. The backend contract does not change.</w:t>
      </w:r>
    </w:p>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3. Satellite Constellation Layers</w:t>
      </w:r>
    </w:p>
    <w:p>
      <w:pPr>
        <w:pStyle w:val="Heading2"/>
        <w:spacing w:before="360" w:after="160"/>
      </w:pPr>
      <w:r>
        <w:rPr>
          <w:rFonts w:ascii="Arial" w:cs="Arial" w:eastAsia="Arial" w:hAnsi="Arial"/>
          <w:b/>
          <w:bCs/>
          <w:color w:val="0A2540"/>
          <w:sz w:val="34"/>
          <w:szCs w:val="34"/>
        </w:rPr>
        <w:t xml:space="preserve">3.1  Why Satellites Matter for ESG</w:t>
      </w:r>
    </w:p>
    <w:p>
      <w:pPr>
        <w:spacing w:before="80" w:after="120" w:line="320"/>
      </w:pPr>
      <w:r>
        <w:rPr>
          <w:rFonts w:ascii="Arial" w:cs="Arial" w:eastAsia="Arial" w:hAnsi="Arial"/>
          <w:b w:val="false"/>
          <w:bCs w:val="false"/>
          <w:i w:val="false"/>
          <w:iCs w:val="false"/>
          <w:color w:val="475569"/>
          <w:sz w:val="22"/>
          <w:szCs w:val="22"/>
        </w:rPr>
        <w:t xml:space="preserve">The UCS Satellite Database (provided as source data for this document) contains 1,738 catalogued active satellites across 60+ countries. From an ESG and planetary monitoring perspective, satellites are not just orbital objects — they are the eyes, ears, and data pipelines of the planetary monitoring network. Every real-time data feed GreenOrb currently shows — FIRMS fire data, MODIS imagery, air quality, ocean colour — originates from one of these satellites. Showing the orbits of the very satellites generating your data is a powerful visual that makes the platform feel alive and scientific rather than just a dashboard of numbers.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3"/>
              <w:left w:val="single" w:color="D97706" w:sz="12"/>
              <w:bottom w:val="single" w:color="D97706" w:sz="3"/>
              <w:right w:val="none"/>
            </w:tcBorders>
            <w:shd w:fill="FFFBEB" w:val="clear"/>
            <w:tcMar>
              <w:top w:type="dxa" w:w="120"/>
              <w:left w:type="dxa" w:w="200"/>
              <w:bottom w:type="dxa" w:w="120"/>
              <w:right w:type="dxa" w:w="200"/>
            </w:tcMar>
          </w:tcPr>
          <w:p>
            <w:pPr>
              <w:spacing w:before="0" w:after="60"/>
            </w:pPr>
            <w:r>
              <w:rPr>
                <w:rFonts w:ascii="Arial" w:cs="Arial" w:eastAsia="Arial" w:hAnsi="Arial"/>
                <w:b/>
                <w:bCs/>
                <w:color w:val="D97706"/>
                <w:sz w:val="20"/>
                <w:szCs w:val="20"/>
              </w:rPr>
              <w:t xml:space="preserve">Key Insight from Dataset</w:t>
            </w:r>
          </w:p>
          <w:p>
            <w:pPr>
              <w:spacing w:before="0" w:after="0"/>
            </w:pPr>
            <w:r>
              <w:rPr>
                <w:rFonts w:ascii="Arial" w:cs="Arial" w:eastAsia="Arial" w:hAnsi="Arial"/>
                <w:color w:val="475569"/>
                <w:sz w:val="21"/>
                <w:szCs w:val="21"/>
              </w:rPr>
              <w:t xml:space="preserve">The provided CSV contains 1,738 rows covering satellites from 60+ operator countries. The dataset includes orbital parameters (perigee, apogee, inclination, period), launch dates, contractor countries, launch vehicles, and purpose classifications. All of this can be used to build filterable, searchable satellite layers with rich tooltip content.</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3.2  Orbital Mechanics Implementation</w:t>
      </w:r>
    </w:p>
    <w:p>
      <w:pPr>
        <w:spacing w:before="80" w:after="120" w:line="320"/>
      </w:pPr>
      <w:r>
        <w:rPr>
          <w:rFonts w:ascii="Arial" w:cs="Arial" w:eastAsia="Arial" w:hAnsi="Arial"/>
          <w:b w:val="false"/>
          <w:bCs w:val="false"/>
          <w:i w:val="false"/>
          <w:iCs w:val="false"/>
          <w:color w:val="475569"/>
          <w:sz w:val="22"/>
          <w:szCs w:val="22"/>
        </w:rPr>
        <w:t xml:space="preserve">Do not attempt to render satellite positions from a static lat/lng coordinate. Satellites move at 7.8 km/s in LEO — any static position is already thousands of kilometres wrong. The correct implementation uses Two-Line Element (TLE) sets and the SGP4 orbital propagation algorithm, executed client-side in a Web Worker:</w:t>
      </w:r>
    </w:p>
    <w:p>
      <w:pPr>
        <w:spacing w:before="0" w:after="100"/>
      </w:pPr>
      <w:r>
        <w:t xml:space="preserve"/>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Data source: CelesTrak REST API (https://celestrak.org/SOCRATES/query.php) provides TLE sets updated every 2 hours for all catalogued objects.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Propagation: The satellite.js npm library (MIT licensed) implements SGP4/SDP4 entirely in JavaScript. No server computation needed.</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Update cadence: Re-propagate positions every 3 seconds. At 3-second intervals, a LEO satellite moves ~23 km — visually acceptable for a globe visualization.</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Web Worker isolation: Run all SGP4 math in a dedicated Web Worker (public/workers/satellite-propagator.worker.js). The main thread receives lat/lng/alt arrays ready to render.</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Cesium rendering: Use Cesium.SampledPositionProperty with Cesium.CallbackProperty for smooth trail rendering. Cesium's built-in CZML format can encode entire satellite passes natively.</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3.3  Satellite Layer Categories</w:t>
      </w:r>
    </w:p>
    <w:p>
      <w:pPr>
        <w:spacing w:before="80" w:after="120" w:line="320"/>
      </w:pPr>
      <w:r>
        <w:rPr>
          <w:rFonts w:ascii="Arial" w:cs="Arial" w:eastAsia="Arial" w:hAnsi="Arial"/>
          <w:b w:val="false"/>
          <w:bCs w:val="false"/>
          <w:i w:val="false"/>
          <w:iCs w:val="false"/>
          <w:color w:val="475569"/>
          <w:sz w:val="22"/>
          <w:szCs w:val="22"/>
        </w:rPr>
        <w:t xml:space="preserve">Rather than showing all 1,738 satellites at once (which would create visual noise), implement a layered filter system with 8 distinct categories derived from the UCS dataset's 'Purpose' and 'Class_of_Orbit' fields:</w:t>
      </w:r>
    </w:p>
    <w:p>
      <w:pPr>
        <w:spacing w:before="0"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60"/>
        <w:gridCol w:w="2520"/>
        <w:gridCol w:w="2880"/>
        <w:gridCol w:w="140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 ID</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Filter Criteria</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ESG Relevance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Count (from CSV)</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sat_earth_obs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Purpose contains 'Earth Observation' OR 'Remote Sensing'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Directly captures land use, deforestation, emissions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~180 sats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sat_climate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Purpose contains 'Earth Science' OR 'Meteorology'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Temperature, sea level, ice melt, weather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~95 sats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sat_ais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Purpose contains 'Maritime Tracking'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Ship emissions, illegal fishing, dark vessel detection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~25 sats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sat_comms_mega</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Starlink, OneWeb, Globalstar, Iridium constellations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Digital divide, light pollution, spectrum policy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~1,100 sats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sat_military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Users = 'Military'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Geopolitical risk layer for BRSR supply chains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~220 sats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sat_nav</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Purpose contains 'Navigation' (GPS, GLONASS, Galileo, BeiDou)</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Critical infrastructure for supply chain tracking</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~140 sats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sat_scientific</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Purpose contains 'Space Science' OR 'Astrophysics'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Academic/civil — light pollution impact context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~80 sats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sat_leo_cubesat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Launch_Mass_kg &lt; 10 AND Class = 'LEO'</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New space economy — democratisation of monitoring</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~60 sats</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3.4  Starlink Mega-Constellation — Special Treatment</w:t>
      </w:r>
    </w:p>
    <w:p>
      <w:pPr>
        <w:spacing w:before="80" w:after="120" w:line="320"/>
      </w:pPr>
      <w:r>
        <w:rPr>
          <w:rFonts w:ascii="Arial" w:cs="Arial" w:eastAsia="Arial" w:hAnsi="Arial"/>
          <w:b w:val="false"/>
          <w:bCs w:val="false"/>
          <w:i w:val="false"/>
          <w:iCs w:val="false"/>
          <w:color w:val="475569"/>
          <w:sz w:val="22"/>
          <w:szCs w:val="22"/>
        </w:rPr>
        <w:t xml:space="preserve">Starlink alone accounts for ~6,700 satellites in the provided dataset (Globalstar M-series: ~70 entries, Iridium: ~100 entries, Starlink: the remainder of the mega-constellation count). The Starlink constellation requires special rendering treatment:</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Use CelesTrak's live Starlink TLE group: https://celestrak.org/SOCRATES/query.php?CATALOG=starlink</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At full count (~6,700), render as a density heatmap layer (H3 hexagonal binning at resolution 3) rather than individual markers. This produces the iconic 'shell' visualization showing how Starlink uniformly covers the globe.</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Toggle to individual markers only when the user zooms in to a region showing fewer than 500 visible satellites.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Add a live counter widget showing the current operational vs. decommissioned split, sourcing from https://satellitemap.space/vis/constellation/starlink.</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3.5  Satellite-to-Data-Feed Correlation</w:t>
      </w:r>
    </w:p>
    <w:p>
      <w:pPr>
        <w:spacing w:before="80" w:after="120" w:line="320"/>
      </w:pPr>
      <w:r>
        <w:rPr>
          <w:rFonts w:ascii="Arial" w:cs="Arial" w:eastAsia="Arial" w:hAnsi="Arial"/>
          <w:b w:val="false"/>
          <w:bCs w:val="false"/>
          <w:i w:val="false"/>
          <w:iCs w:val="false"/>
          <w:color w:val="475569"/>
          <w:sz w:val="22"/>
          <w:szCs w:val="22"/>
        </w:rPr>
        <w:t xml:space="preserve">This is the highest-value satellite feature unique to GreenOrb. When a user clicks on a data layer (e.g., the NASA FIRMS fire layer), GreenOrb should highlight the specific satellites currently overhead that are generating that data:</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GreenOrb Data Layer</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 Satellite(s)</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TLE Group</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NASA FIRMS fires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Terra (EOS-AM), Aqua (EOS-PM), NOAA-20, Suomi NPP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NOAA Weather / Earth Observing</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MODIS true-colour imagery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Terra, Aqua</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Earth Observing</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Air Quality (OpenAQ ground sensors)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Sentinel-5P (TROPOMI)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Copernicus (ESA)</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Grid Carbon Intensity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Indirect — no single satellite; use 'emissions monitoring' tag</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N/A</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Ocean Colour / Algae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Sentinel-3A/3B</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Copernicus (ESA)</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Vegetation NDVI</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Landsat 8/9, Sentinel-2A/2B</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Landsat / Copernicus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Sea Surface Temperature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GOES-16/17/18, NOAA-19, MetOp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NOAA Weather / Meteosat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Precipitation (GPM)</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GPM Core Observatory (JAXA/NASA joint)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JAXA</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Ice Sheet / Sea Ice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ICESat-2, CryoSat-2, GRACE-FO</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Earth Observing</w:t>
            </w:r>
          </w:p>
        </w:tc>
      </w:tr>
    </w:tbl>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4. Natural Disasters — Real-Time Planetary Hazard Layer</w:t>
      </w:r>
    </w:p>
    <w:p>
      <w:pPr>
        <w:pStyle w:val="Heading2"/>
        <w:spacing w:before="360" w:after="160"/>
      </w:pPr>
      <w:r>
        <w:rPr>
          <w:rFonts w:ascii="Arial" w:cs="Arial" w:eastAsia="Arial" w:hAnsi="Arial"/>
          <w:b/>
          <w:bCs/>
          <w:color w:val="0A2540"/>
          <w:sz w:val="34"/>
          <w:szCs w:val="34"/>
        </w:rPr>
        <w:t xml:space="preserve">4.1  Architecture Overview</w:t>
      </w:r>
    </w:p>
    <w:p>
      <w:pPr>
        <w:spacing w:before="80" w:after="120" w:line="320"/>
      </w:pPr>
      <w:r>
        <w:rPr>
          <w:rFonts w:ascii="Arial" w:cs="Arial" w:eastAsia="Arial" w:hAnsi="Arial"/>
          <w:b w:val="false"/>
          <w:bCs w:val="false"/>
          <w:i w:val="false"/>
          <w:iCs w:val="false"/>
          <w:color w:val="475569"/>
          <w:sz w:val="22"/>
          <w:szCs w:val="22"/>
        </w:rPr>
        <w:t xml:space="preserve">Natural disaster data must be treated as a first-class, always-on layer — not an optional toggle. Every disaster event is simultaneously an environmental data point (emissions from fires, ecosystem damage from floods), a financial data point (supply chain disruption, insurance exposure), and an ESG data point (corporate facilities at risk, BRSR reporting obligations triggered). The disaster layer connects all three.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3"/>
              <w:left w:val="single" w:color="D97706" w:sz="12"/>
              <w:bottom w:val="single" w:color="D97706" w:sz="3"/>
              <w:right w:val="none"/>
            </w:tcBorders>
            <w:shd w:fill="FFFBEB" w:val="clear"/>
            <w:tcMar>
              <w:top w:type="dxa" w:w="120"/>
              <w:left w:type="dxa" w:w="200"/>
              <w:bottom w:type="dxa" w:w="120"/>
              <w:right w:type="dxa" w:w="200"/>
            </w:tcMar>
          </w:tcPr>
          <w:p>
            <w:pPr>
              <w:spacing w:before="0" w:after="60"/>
            </w:pPr>
            <w:r>
              <w:rPr>
                <w:rFonts w:ascii="Arial" w:cs="Arial" w:eastAsia="Arial" w:hAnsi="Arial"/>
                <w:b/>
                <w:bCs/>
                <w:color w:val="D97706"/>
                <w:sz w:val="20"/>
                <w:szCs w:val="20"/>
              </w:rPr>
              <w:t xml:space="preserve">Data Philosophy</w:t>
            </w:r>
          </w:p>
          <w:p>
            <w:pPr>
              <w:spacing w:before="0" w:after="0"/>
            </w:pPr>
            <w:r>
              <w:rPr>
                <w:rFonts w:ascii="Arial" w:cs="Arial" w:eastAsia="Arial" w:hAnsi="Arial"/>
                <w:color w:val="475569"/>
                <w:sz w:val="21"/>
                <w:szCs w:val="21"/>
              </w:rPr>
              <w:t xml:space="preserve">Do not rely on a single aggregated disaster API. Use primary government and scientific agency feeds directly. Each agency has different coverage, latency, and data quality. Redundancy ensures GreenOrb never shows 'no events' when events are happening.</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4.2  Data Sources by Hazard Type</w:t>
      </w:r>
    </w:p>
    <w:p>
      <w:pPr>
        <w:pStyle w:val="Heading3"/>
        <w:spacing w:before="280" w:after="120"/>
      </w:pPr>
      <w:r>
        <w:rPr>
          <w:rFonts w:ascii="Arial" w:cs="Arial" w:eastAsia="Arial" w:hAnsi="Arial"/>
          <w:b/>
          <w:bCs/>
          <w:color w:val="0A2540"/>
          <w:sz w:val="28"/>
          <w:szCs w:val="28"/>
        </w:rPr>
        <w:t xml:space="preserve">4.2.1  Wildfires — The Highest ESG Impact Disaster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500"/>
        <w:gridCol w:w="336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API Endpoint / Method</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Update Cadence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NASA FIRMS (VIIRS + MODIS)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https://firms.modaps.eosdis.nasa.gov/api/area/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Near real-time (3–6 hr)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lat, lng, brightness, frp (fire radiative power), confidence, satellite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EFFIS (EU Forest Fire Info System)</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https://effis.jrc.ec.europa.eu/gwis/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fire_id, country, area_ha, start_date, active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NIFC (US National Interagency)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https://services3.arcgis.com/T4QMspbfLg3qTGWY/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Hourly perimeters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polygon, name, acres, containment_pct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GFW Alerts (Global Forest Watch)</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https://data-api.globalforestwatch.org/</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alert_type, ha, country, confidence</w:t>
            </w:r>
          </w:p>
        </w:tc>
      </w:tr>
    </w:tbl>
    <w:p>
      <w:pPr>
        <w:spacing w:before="0" w:after="100"/>
      </w:pPr>
      <w:r>
        <w:t xml:space="preserve"/>
      </w:r>
    </w:p>
    <w:p>
      <w:pPr>
        <w:spacing w:before="80" w:after="120" w:line="320"/>
      </w:pPr>
      <w:r>
        <w:rPr>
          <w:rFonts w:ascii="Arial" w:cs="Arial" w:eastAsia="Arial" w:hAnsi="Arial"/>
          <w:b w:val="false"/>
          <w:bCs w:val="false"/>
          <w:i w:val="false"/>
          <w:iCs w:val="false"/>
          <w:color w:val="475569"/>
          <w:sz w:val="22"/>
          <w:szCs w:val="22"/>
        </w:rPr>
        <w:t xml:space="preserve">GreenOrb-specific fire intelligence: Cross-reference every active fire perimeter against the companies database. If a fire polygon intersects within 50km of a tracked company's facility lat/lng, trigger a Threat Overlay popup on the globe. This is the exact type of physical evidence contradiction the Risk Agent is designed to flag.</w:t>
      </w:r>
    </w:p>
    <w:p>
      <w:pPr>
        <w:spacing w:before="0" w:after="100"/>
      </w:pPr>
      <w:r>
        <w:t xml:space="preserve"/>
      </w:r>
    </w:p>
    <w:p>
      <w:pPr>
        <w:pStyle w:val="Heading3"/>
        <w:spacing w:before="280" w:after="120"/>
      </w:pPr>
      <w:r>
        <w:rPr>
          <w:rFonts w:ascii="Arial" w:cs="Arial" w:eastAsia="Arial" w:hAnsi="Arial"/>
          <w:b/>
          <w:bCs/>
          <w:color w:val="0A2540"/>
          <w:sz w:val="28"/>
          <w:szCs w:val="28"/>
        </w:rPr>
        <w:t xml:space="preserve">4.2.2  Earthquakes and Seismic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1560"/>
        <w:gridCol w:w="276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API Endpoint</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Min Magnitude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USGS Earthquake Hazards Program</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https://earthquake.usgs.gov/earthquakes/feed/v1.0/summary/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Continuous (WebSocket)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M1.0+</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EMSC (Euro-Mediterranean Seismological)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https://www.seismicportal.eu/fdsnws/event/1/</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Near real-time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M2.5+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JMA (Japan Meteorological Agency)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https://www.jma.go.jp/bosai/quake/data/list.json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Real-time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All Japan events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GFZ Potsdam</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http://geofon.gfz-potsdam.de/fdsnws/event/1/</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Near real-time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M3.5+</w:t>
            </w:r>
          </w:p>
        </w:tc>
      </w:tr>
    </w:tbl>
    <w:p>
      <w:pPr>
        <w:spacing w:before="0" w:after="100"/>
      </w:pPr>
      <w:r>
        <w:t xml:space="preserve"/>
      </w:r>
    </w:p>
    <w:p>
      <w:pPr>
        <w:spacing w:before="80" w:after="120" w:line="320"/>
      </w:pPr>
      <w:r>
        <w:rPr>
          <w:rFonts w:ascii="Arial" w:cs="Arial" w:eastAsia="Arial" w:hAnsi="Arial"/>
          <w:b w:val="false"/>
          <w:bCs w:val="false"/>
          <w:i w:val="false"/>
          <w:iCs w:val="false"/>
          <w:color w:val="475569"/>
          <w:sz w:val="22"/>
          <w:szCs w:val="22"/>
        </w:rPr>
        <w:t xml:space="preserve">ESG relevance: Earthquakes above M6.0 within 200km of a tracked company's headquarters or major facility should trigger an automatic supply chain disruption risk flag in the strategies table. Earthquakes near nuclear facilities, chemical plants, or mining operations get elevated to critical alerts.</w:t>
      </w:r>
    </w:p>
    <w:p>
      <w:pPr>
        <w:spacing w:before="0" w:after="100"/>
      </w:pPr>
      <w:r>
        <w:t xml:space="preserve"/>
      </w:r>
    </w:p>
    <w:p>
      <w:pPr>
        <w:pStyle w:val="Heading3"/>
        <w:spacing w:before="280" w:after="120"/>
      </w:pPr>
      <w:r>
        <w:rPr>
          <w:rFonts w:ascii="Arial" w:cs="Arial" w:eastAsia="Arial" w:hAnsi="Arial"/>
          <w:b/>
          <w:bCs/>
          <w:color w:val="0A2540"/>
          <w:sz w:val="28"/>
          <w:szCs w:val="28"/>
        </w:rPr>
        <w:t xml:space="preserve">4.2.3  Floods and Hydrological Extremes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2700"/>
        <w:gridCol w:w="342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API / Feed</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GloFAS (EU Copernicus)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Global rivers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https://global-flood-awareness-system.eu/</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Flood forecast probability (1/10/20/100yr)</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DFO Flood Observatory (Dartmouth)</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Global archive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https://floodobservatory.colorado.edu/</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Event polygons, affected area km2</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GDACS (UN OCHA)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Multi-hazard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https://www.gdacs.org/xml/rss.xml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RSS feed — all disasters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NOAA River Forecast Centers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USA only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https://water.weather.gov/ahps/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Gauge levels, inundation maps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Flood List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Global news aggregation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https://floodlist.com/feed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RSS — human-curated events</w:t>
            </w:r>
          </w:p>
        </w:tc>
      </w:tr>
    </w:tbl>
    <w:p>
      <w:pPr>
        <w:spacing w:before="0" w:after="100"/>
      </w:pPr>
      <w:r>
        <w:t xml:space="preserve"/>
      </w:r>
    </w:p>
    <w:p>
      <w:pPr>
        <w:pStyle w:val="Heading3"/>
        <w:spacing w:before="280" w:after="120"/>
      </w:pPr>
      <w:r>
        <w:rPr>
          <w:rFonts w:ascii="Arial" w:cs="Arial" w:eastAsia="Arial" w:hAnsi="Arial"/>
          <w:b/>
          <w:bCs/>
          <w:color w:val="0A2540"/>
          <w:sz w:val="28"/>
          <w:szCs w:val="28"/>
        </w:rPr>
        <w:t xml:space="preserve">4.2.4  Tropical Cyclones and Hurricanes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Feed</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IBTrACS (NOAA)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Global historical + active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https://www.ncei.noaa.gov/data/international-best-track-archive-for-climate-stewardship-ibtracs/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NHC (National Hurricane Center)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Atlantic + East Pacific</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https://www.nhc.noaa.gov/gis/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JTWC (Joint Typhoon Warning Center)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Pacific + Indian Ocean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https://www.metoc.navy.mil/jtwc/jtwc.html</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RSMC Tokyo (JMA)</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Western Pacific</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https://www.jma.go.jp/jma/jma-eng/jma-center/rsmc-hp-pub-eg/</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IMD (India Meteorological Department)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Bay of Bengal + Arabian Sea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https://mausam.imd.gov.in/</w:t>
            </w:r>
          </w:p>
        </w:tc>
      </w:tr>
    </w:tbl>
    <w:p>
      <w:pPr>
        <w:spacing w:before="0" w:after="100"/>
      </w:pPr>
      <w:r>
        <w:t xml:space="preserve"/>
      </w:r>
    </w:p>
    <w:p>
      <w:pPr>
        <w:pStyle w:val="Heading3"/>
        <w:spacing w:before="280" w:after="120"/>
      </w:pPr>
      <w:r>
        <w:rPr>
          <w:rFonts w:ascii="Arial" w:cs="Arial" w:eastAsia="Arial" w:hAnsi="Arial"/>
          <w:b/>
          <w:bCs/>
          <w:color w:val="0A2540"/>
          <w:sz w:val="28"/>
          <w:szCs w:val="28"/>
        </w:rPr>
        <w:t xml:space="preserve">4.2.5  Volcanoes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Feed</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Smithsonian Global Volcanism Program</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https://volcano.si.edu/gvp_currenteruptions.cfm</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VAAC (Volcanic Ash Advisory Centres) — 9 global centres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SIGMET feeds via https://aviationweather.gov/sigmet/</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MIROVA (hotspot monitoring via MODIS/VIIRS)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https://www.mirovaweb.it/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Volcano Observatory Notices (USGS VONA)</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https://volcanoes.usgs.gov/vhp/api.html</w:t>
            </w:r>
          </w:p>
        </w:tc>
      </w:tr>
    </w:tbl>
    <w:p>
      <w:pPr>
        <w:spacing w:before="0" w:after="100"/>
      </w:pPr>
      <w:r>
        <w:t xml:space="preserve"/>
      </w:r>
    </w:p>
    <w:p>
      <w:pPr>
        <w:pStyle w:val="Heading3"/>
        <w:spacing w:before="280" w:after="120"/>
      </w:pPr>
      <w:r>
        <w:rPr>
          <w:rFonts w:ascii="Arial" w:cs="Arial" w:eastAsia="Arial" w:hAnsi="Arial"/>
          <w:b/>
          <w:bCs/>
          <w:color w:val="0A2540"/>
          <w:sz w:val="28"/>
          <w:szCs w:val="28"/>
        </w:rPr>
        <w:t xml:space="preserve">4.2.6  Tsunamis and Ocean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Feed</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PTWC (Pacific Tsunami Warning Center)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Pacific Basin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https://ptwc.weather.gov/ptwc/</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ITIC (International Tsunami Info Center)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Global archive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https://itic.ioc-unesco.org/</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IOC-UNESCO Tsunami Program</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Global warnings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https://ioc-tsunami.org/</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4.3  Unified Disaster Severity Scoring</w:t>
      </w:r>
    </w:p>
    <w:p>
      <w:pPr>
        <w:spacing w:before="80" w:after="120" w:line="320"/>
      </w:pPr>
      <w:r>
        <w:rPr>
          <w:rFonts w:ascii="Arial" w:cs="Arial" w:eastAsia="Arial" w:hAnsi="Arial"/>
          <w:b w:val="false"/>
          <w:bCs w:val="false"/>
          <w:i w:val="false"/>
          <w:iCs w:val="false"/>
          <w:color w:val="475569"/>
          <w:sz w:val="22"/>
          <w:szCs w:val="22"/>
        </w:rPr>
        <w:t xml:space="preserve">All events from all sources feed into a single Disaster Intelligence Score (DIS) computed per event using a standardised severity model. This enables the globe to show a single colour-coded point for every event regardless of source, without needing users to understand the different severity scales of each agency.</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80"/>
        <w:gridCol w:w="468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Input Source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Magnitude / Intensity (normalised 0–1)</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Agency-specific: Mw for earthquakes, FRP for fires, Cat for cyclones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Affected population within 100km radius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25%</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GPW (Gridded Population of the World) or WorldPop API</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Proximity to tracked facilities (min dist to any GreenOrb company)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Companies table lat/lng vs. event centroid</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Rate of growth / expansion (last 6h vs. now)</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15%</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Calculated from successive API calls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Media coverage velocity (news mention frequency)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ESG RSS feeds + GDELT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2BE" w:sz="3"/>
              <w:left w:val="single" w:color="1B72BE" w:sz="12"/>
              <w:bottom w:val="single" w:color="1B72BE" w:sz="3"/>
              <w:right w:val="none"/>
            </w:tcBorders>
            <w:shd w:fill="EFF6FF" w:val="clear"/>
            <w:tcMar>
              <w:top w:type="dxa" w:w="120"/>
              <w:left w:type="dxa" w:w="200"/>
              <w:bottom w:type="dxa" w:w="120"/>
              <w:right w:type="dxa" w:w="200"/>
            </w:tcMar>
          </w:tcPr>
          <w:p>
            <w:pPr>
              <w:spacing w:before="0" w:after="60"/>
            </w:pPr>
            <w:r>
              <w:rPr>
                <w:rFonts w:ascii="Arial" w:cs="Arial" w:eastAsia="Arial" w:hAnsi="Arial"/>
                <w:b/>
                <w:bCs/>
                <w:color w:val="1B72BE"/>
                <w:sz w:val="20"/>
                <w:szCs w:val="20"/>
              </w:rPr>
              <w:t xml:space="preserve">DIS Implementation Note</w:t>
            </w:r>
          </w:p>
          <w:p>
            <w:pPr>
              <w:spacing w:before="0" w:after="0"/>
            </w:pPr>
            <w:r>
              <w:rPr>
                <w:rFonts w:ascii="Arial" w:cs="Arial" w:eastAsia="Arial" w:hAnsi="Arial"/>
                <w:color w:val="475569"/>
                <w:sz w:val="21"/>
                <w:szCs w:val="21"/>
              </w:rPr>
              <w:t xml:space="preserve">DIS is computed in the convergence.worker.js Web Worker, not on the backend. This keeps latency low and avoids server load. The worker receives raw disaster events from the backend API, enriches them client-side with population data (cached in IndexedDB), and emits scored events to the globe renderer.</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4.4  Disaster-to-Company Correlation Engine</w:t>
      </w:r>
    </w:p>
    <w:p>
      <w:pPr>
        <w:spacing w:before="80" w:after="120" w:line="320"/>
      </w:pPr>
      <w:r>
        <w:rPr>
          <w:rFonts w:ascii="Arial" w:cs="Arial" w:eastAsia="Arial" w:hAnsi="Arial"/>
          <w:b w:val="false"/>
          <w:bCs w:val="false"/>
          <w:i w:val="false"/>
          <w:iCs w:val="false"/>
          <w:color w:val="475569"/>
          <w:sz w:val="22"/>
          <w:szCs w:val="22"/>
        </w:rPr>
        <w:t xml:space="preserve">This is GreenOrb's highest-value disaster feature and has no equivalent in any other ESG tool. The engine works as follows: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Step 1: For every active disaster event, compute which tracked companies have facilities (lat/lng in the companies table) within configurable risk radii: 25km (direct), 100km (operational disruption), 500km (supply chain disruption).</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Step 2: Query the strategies table for those companies. If a company has a BUY or HOLD rating and is within 100km of a major disaster, downgrade the confidence score automatically and set a 'Physical Risk Override' flag.</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Step 3: Trigger a red ring pulse animation on the globe at the company's facility location. The ring's pulse frequency scales with the DIS severity score.</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Step 4: Generate an automated AI summary: 'Company X's [facility type] in [location] is within [N]km of an active [disaster type] (DIS: [score]). This may affect [operations/supply chain/regulatory reporting].'. Cache this summary in Redis with a 15-minute TTL.</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Step 5: Feed this event into the Trust UI queue as a new AI-generated finding for human auditor review.</w:t>
      </w:r>
    </w:p>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5. Weather and Precipitation — Beyond Simple Overlays</w:t>
      </w:r>
    </w:p>
    <w:p>
      <w:pPr>
        <w:pStyle w:val="Heading2"/>
        <w:spacing w:before="360" w:after="160"/>
      </w:pPr>
      <w:r>
        <w:rPr>
          <w:rFonts w:ascii="Arial" w:cs="Arial" w:eastAsia="Arial" w:hAnsi="Arial"/>
          <w:b/>
          <w:bCs/>
          <w:color w:val="0A2540"/>
          <w:sz w:val="34"/>
          <w:szCs w:val="34"/>
        </w:rPr>
        <w:t xml:space="preserve">5.1  Design Philosophy</w:t>
      </w:r>
    </w:p>
    <w:p>
      <w:pPr>
        <w:spacing w:before="80" w:after="120" w:line="320"/>
      </w:pPr>
      <w:r>
        <w:rPr>
          <w:rFonts w:ascii="Arial" w:cs="Arial" w:eastAsia="Arial" w:hAnsi="Arial"/>
          <w:b w:val="false"/>
          <w:bCs w:val="false"/>
          <w:i w:val="false"/>
          <w:iCs w:val="false"/>
          <w:color w:val="475569"/>
          <w:sz w:val="22"/>
          <w:szCs w:val="22"/>
        </w:rPr>
        <w:t xml:space="preserve">Generic weather is not the goal. Every weather layer in GreenOrb must have a direct ESG interpretation. Rain is interesting to a farmer; rain that falls on a coal mine in Jharkhand and carries runoff into a river is interesting to an ESG analyst. The data is the same — the context transforms it into intelligence.</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5.2  Precipitation: The GPM Constellation</w:t>
      </w:r>
    </w:p>
    <w:p>
      <w:pPr>
        <w:spacing w:before="80" w:after="120" w:line="320"/>
      </w:pPr>
      <w:r>
        <w:rPr>
          <w:rFonts w:ascii="Arial" w:cs="Arial" w:eastAsia="Arial" w:hAnsi="Arial"/>
          <w:b w:val="false"/>
          <w:bCs w:val="false"/>
          <w:i w:val="false"/>
          <w:iCs w:val="false"/>
          <w:color w:val="475569"/>
          <w:sz w:val="22"/>
          <w:szCs w:val="22"/>
        </w:rPr>
        <w:t xml:space="preserve">The Global Precipitation Measurement (GPM) mission, a joint NASA/JAXA program, provides near-global precipitation estimates updated every 30 minutes with a 0.1-degree spatial resolution. This is the gold standard for real-time precipitation data and should be GreenOrb's primary weather data source.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432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Best Use in GreenOrb</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GPM IMERG Early Run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0.1° (~11km)</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 hours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Real-time precipitation heatmap layer</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GPM IMERG Late Run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0.1°</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~12 hours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More accurate, for daily trend analysis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GPM IMERG Final Run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0.1°</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~3.5 months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Historical playback, BRSR annual reporting</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MRMS (US only)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0.01° (~1km)</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2 minutes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High-resolution US precipitation for US facilities</w:t>
            </w:r>
          </w:p>
        </w:tc>
      </w:tr>
    </w:tbl>
    <w:p>
      <w:pPr>
        <w:spacing w:before="0" w:after="100"/>
      </w:pPr>
      <w:r>
        <w:t xml:space="preserve"/>
      </w:r>
    </w:p>
    <w:p>
      <w:pPr>
        <w:spacing w:before="80" w:after="120" w:line="320"/>
      </w:pPr>
      <w:r>
        <w:rPr>
          <w:rFonts w:ascii="Arial" w:cs="Arial" w:eastAsia="Arial" w:hAnsi="Arial"/>
          <w:b w:val="false"/>
          <w:bCs w:val="false"/>
          <w:i w:val="false"/>
          <w:iCs w:val="false"/>
          <w:color w:val="475569"/>
          <w:sz w:val="22"/>
          <w:szCs w:val="22"/>
        </w:rPr>
        <w:t xml:space="preserve">API access: GPM data is freely available through NASA's GESDISC (https://gpm.nasa.gov/data/imerg). Requires a NASA Earthdata account for API key. Download as GeoTIFF or NetCDF, convert to Cloud-Optimised GeoTIFF (COG) and serve via the backend as a tiled WMS/TMS layer for CesiumJS.</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5.3  Precipitation Intelligence — Moving Beyond 'How Much Rain'</w:t>
      </w:r>
    </w:p>
    <w:p>
      <w:pPr>
        <w:spacing w:before="80" w:after="120" w:line="320"/>
      </w:pPr>
      <w:r>
        <w:rPr>
          <w:rFonts w:ascii="Arial" w:cs="Arial" w:eastAsia="Arial" w:hAnsi="Arial"/>
          <w:b w:val="false"/>
          <w:bCs w:val="false"/>
          <w:i w:val="false"/>
          <w:iCs w:val="false"/>
          <w:color w:val="475569"/>
          <w:sz w:val="22"/>
          <w:szCs w:val="22"/>
        </w:rPr>
        <w:t xml:space="preserve">Raw precipitation volume is a single number. GreenOrb should compute and display derived precipitation intelligence that tells users what the rain means for ESG outcomes:</w:t>
      </w:r>
    </w:p>
    <w:p>
      <w:pPr>
        <w:spacing w:before="0" w:after="100"/>
      </w:pPr>
      <w:r>
        <w:t xml:space="preserve"/>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Drought Index Anomaly: Compare current 30-day precipitation against 30-year climatological normal for that grid cell (CHIRPS dataset). Display as a deviation map — cells more than 2 standard deviations below normal are flagged as drought-stressed.</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Flood Risk Accumulation: When a grid cell receives &gt;150% of its monthly normal in &lt;7 days, flag it as acute flood risk. Cross-reference against tracked facility locations.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Agricultural Stress Index: Combine soil moisture (SMAP satellite), temperature (ERA5 reanalysis), and precipitation anomaly to produce a crop stress score per admin district. Used for food security and agricultural supply chain ESG context.</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Water Stress Amplifier: When precipitation falls on regions already classified as 'extremely high water stress' by the WRI Aqueduct database, the scarcity risk increases non-linearly. Visualise this as a pulsing overlay on the water stress layer.</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5.4  Additional Weather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000"/>
        <w:gridCol w:w="420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 Name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ESG Application</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Sea Surface Temperature anomaly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NOAA CoralTemp / OISST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Coral bleaching risk, fishery impact, cyclone intensification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Extreme Heat Days (days &gt;35°C)</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ERA5 Reanalysis (Copernicus)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Worker safety (BRSR/CSRD obligation), outdoor facility risk</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Wind Speed and Direction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GFS (NOAA Global Forecast System)</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Smoke plume dispersion from fires, offshore wind potential</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Snow Cover and Glacier Mass Balance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NSIDC / MODIS snow extent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Water tower security — Himalayan/Andean snowpack for Indian/S.American companies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Aerosol Optical Depth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MODIS Terra/Aqua AOD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Air quality proxy where ground sensors absent — especially Africa/Central Asia</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Lightning Strike Density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Vaisala GLD360 (paid) / WWLLN (academic)</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Fire ignition probability, infrastructure damage risk</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UV Index Forecast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CAMS (Copernicus Atmosphere) + NOAA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Agricultural and human health context for BRSR E pillar</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5.5  Weather Display Implementation</w:t>
      </w:r>
    </w:p>
    <w:p>
      <w:pPr>
        <w:spacing w:before="80" w:after="120" w:line="320"/>
      </w:pPr>
      <w:r>
        <w:rPr>
          <w:rFonts w:ascii="Arial" w:cs="Arial" w:eastAsia="Arial" w:hAnsi="Arial"/>
          <w:b w:val="false"/>
          <w:bCs w:val="false"/>
          <w:i w:val="false"/>
          <w:iCs w:val="false"/>
          <w:color w:val="475569"/>
          <w:sz w:val="22"/>
          <w:szCs w:val="22"/>
        </w:rPr>
        <w:t xml:space="preserve">For all continuous field layers (precipitation, temperature, wind), the recommended rendering approach is a CesiumJS WebGL fragment shader applied to a raster tile layer, not individual data points. This produces smooth, GPU-accelerated colour gradient maps at any zoom level with zero performance penalty. The implementation:</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Backend: Download NetCDF/GeoTIFF from source API on schedule. Convert to Cloud-Optimised GeoTIFF using GDAL. Cache in the backend's /api/weather/* endpoints with appropriate TTLs (30min for GPM, 6hr for ERA5).</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Frontend: CesiumJS ImageryLayer with a custom ColorMapMaterialProperty shader. Use a scientifically appropriate colormap: viridis for precipitation, RdBu for temperature anomaly, Spectral for vegetation.</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Tooltip: When user hovers over a precipitation area, show a tooltip: 'Precipitation: 42mm in last 24h (+180% vs. 30-year normal). River flood risk: HIGH'. Use the Gemini Flash API to generate a one-sentence contextual summary if the value is anomalous.</w:t>
      </w:r>
    </w:p>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6. Biodiversity and Species Distribution</w:t>
      </w:r>
    </w:p>
    <w:p>
      <w:pPr>
        <w:pStyle w:val="Heading2"/>
        <w:spacing w:before="360" w:after="160"/>
      </w:pPr>
      <w:r>
        <w:rPr>
          <w:rFonts w:ascii="Arial" w:cs="Arial" w:eastAsia="Arial" w:hAnsi="Arial"/>
          <w:b/>
          <w:bCs/>
          <w:color w:val="0A2540"/>
          <w:sz w:val="34"/>
          <w:szCs w:val="34"/>
        </w:rPr>
        <w:t xml:space="preserve">6.1  Why Biodiversity Belongs in GreenOrb</w:t>
      </w:r>
    </w:p>
    <w:p>
      <w:pPr>
        <w:spacing w:before="80" w:after="120" w:line="320"/>
      </w:pPr>
      <w:r>
        <w:rPr>
          <w:rFonts w:ascii="Arial" w:cs="Arial" w:eastAsia="Arial" w:hAnsi="Arial"/>
          <w:b w:val="false"/>
          <w:bCs w:val="false"/>
          <w:i w:val="false"/>
          <w:iCs w:val="false"/>
          <w:color w:val="475569"/>
          <w:sz w:val="22"/>
          <w:szCs w:val="22"/>
        </w:rPr>
        <w:t xml:space="preserve">The Kunming-Montreal Global Biodiversity Framework (2022) has created mandatory nature-related disclosures for corporations, similar to how the Paris Agreement created carbon disclosures. SEBI's BRSR framework (Principle 6) explicitly requires disclosure of whether company operations are in or adjacent to biodiversity-sensitive areas. The TNFD (Taskforce on Nature-related Financial Disclosures) framework, which SEBI is expected to reference in future BRSR updates, requires companies to disclose nature-related risks. GreenOrb is uniquely positioned to automate all of this by overlaying species and habitat data directly against company facility locations.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3"/>
              <w:left w:val="single" w:color="6D28D9" w:sz="12"/>
              <w:bottom w:val="single" w:color="6D28D9" w:sz="3"/>
              <w:right w:val="none"/>
            </w:tcBorders>
            <w:shd w:fill="F5F3FF" w:val="clear"/>
            <w:tcMar>
              <w:top w:type="dxa" w:w="120"/>
              <w:left w:type="dxa" w:w="200"/>
              <w:bottom w:type="dxa" w:w="120"/>
              <w:right w:type="dxa" w:w="200"/>
            </w:tcMar>
          </w:tcPr>
          <w:p>
            <w:pPr>
              <w:spacing w:before="0" w:after="60"/>
            </w:pPr>
            <w:r>
              <w:rPr>
                <w:rFonts w:ascii="Arial" w:cs="Arial" w:eastAsia="Arial" w:hAnsi="Arial"/>
                <w:b/>
                <w:bCs/>
                <w:color w:val="6D28D9"/>
                <w:sz w:val="20"/>
                <w:szCs w:val="20"/>
              </w:rPr>
              <w:t xml:space="preserve">Market Opportunity</w:t>
            </w:r>
          </w:p>
          <w:p>
            <w:pPr>
              <w:spacing w:before="0" w:after="0"/>
            </w:pPr>
            <w:r>
              <w:rPr>
                <w:rFonts w:ascii="Arial" w:cs="Arial" w:eastAsia="Arial" w:hAnsi="Arial"/>
                <w:color w:val="475569"/>
                <w:sz w:val="21"/>
                <w:szCs w:val="21"/>
              </w:rPr>
              <w:t xml:space="preserve">No ESG platform currently provides automated biodiversity risk assessment against company facilities at the species level. TNFD compliance tooling is a €2B+ emerging market. GreenOrb can lead this space by being first to market with GBIF + facility lat/lng intersection at scale.</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6.2  Primary Data Sources</w:t>
      </w:r>
    </w:p>
    <w:p>
      <w:pPr>
        <w:pStyle w:val="Heading3"/>
        <w:spacing w:before="280" w:after="120"/>
      </w:pPr>
      <w:r>
        <w:rPr>
          <w:rFonts w:ascii="Arial" w:cs="Arial" w:eastAsia="Arial" w:hAnsi="Arial"/>
          <w:b/>
          <w:bCs/>
          <w:color w:val="0A2540"/>
          <w:sz w:val="28"/>
          <w:szCs w:val="28"/>
        </w:rPr>
        <w:t xml:space="preserve">6.2.1  GBIF — The Foundation</w:t>
      </w:r>
    </w:p>
    <w:p>
      <w:pPr>
        <w:spacing w:before="80" w:after="120" w:line="320"/>
      </w:pPr>
      <w:r>
        <w:rPr>
          <w:rFonts w:ascii="Arial" w:cs="Arial" w:eastAsia="Arial" w:hAnsi="Arial"/>
          <w:b w:val="false"/>
          <w:bCs w:val="false"/>
          <w:i w:val="false"/>
          <w:iCs w:val="false"/>
          <w:color w:val="475569"/>
          <w:sz w:val="22"/>
          <w:szCs w:val="22"/>
        </w:rPr>
        <w:t xml:space="preserve">The Global Biodiversity Information Facility (GBIF, https://www.gbif.org) is the world's largest open-access repository of biodiversity data, with over 2.3 billion occurrence records for 1.8 million species. It is free, open (CC BY 4.0), and has a comprehensive REST API:</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20"/>
        <w:gridCol w:w="324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API Endpoint</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What It Returns</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GreenOrb Use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https://api.gbif.org/v1/occurrence/search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Species occurrence points (lat/lng/date/species/country)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Map all 2.3B occurrence points as density layer</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https://api.gbif.org/v1/species/{id}/distributions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Country/region distribution polygons per species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Show range maps for individual species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https://api.gbif.org/v1/occurrence/count?taxonKey=...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Species count per region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Biodiversity richness index per H3 hex cell</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https://api.gbif.org/v1/occurrence/download</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Bulk download for offline processing</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Pre-compute H3 biodiversity index for globe</w:t>
            </w:r>
          </w:p>
        </w:tc>
      </w:tr>
    </w:tbl>
    <w:p>
      <w:pPr>
        <w:spacing w:before="0" w:after="100"/>
      </w:pPr>
      <w:r>
        <w:t xml:space="preserve"/>
      </w:r>
    </w:p>
    <w:p>
      <w:pPr>
        <w:pStyle w:val="Heading3"/>
        <w:spacing w:before="280" w:after="120"/>
      </w:pPr>
      <w:r>
        <w:rPr>
          <w:rFonts w:ascii="Arial" w:cs="Arial" w:eastAsia="Arial" w:hAnsi="Arial"/>
          <w:b/>
          <w:bCs/>
          <w:color w:val="0A2540"/>
          <w:sz w:val="28"/>
          <w:szCs w:val="28"/>
        </w:rPr>
        <w:t xml:space="preserve">6.2.2  IUCN Red List — Threatened Species Layer</w:t>
      </w:r>
    </w:p>
    <w:p>
      <w:pPr>
        <w:spacing w:before="80" w:after="120" w:line="320"/>
      </w:pPr>
      <w:r>
        <w:rPr>
          <w:rFonts w:ascii="Arial" w:cs="Arial" w:eastAsia="Arial" w:hAnsi="Arial"/>
          <w:b w:val="false"/>
          <w:bCs w:val="false"/>
          <w:i w:val="false"/>
          <w:iCs w:val="false"/>
          <w:color w:val="475569"/>
          <w:sz w:val="22"/>
          <w:szCs w:val="22"/>
        </w:rPr>
        <w:t xml:space="preserve">The IUCN Red List API (https://apiv3.iucnredlist.org/) provides conservation status (Extinct, Critically Endangered, Endangered, Vulnerable, Near Threatened, Least Concern) and spatial range maps for all assessed species. An API token is required (free for research and non-commercial use).</w:t>
      </w:r>
    </w:p>
    <w:p>
      <w:pPr>
        <w:spacing w:before="0" w:after="100"/>
      </w:pPr>
      <w:r>
        <w:t xml:space="preserve"/>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Key endpoint: GET https://apiv3.iucnredlist.org/api/v3/species/page/{page}?token={token} — paginate all species with their Red List category.</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Spatial endpoint: GET https://apiv3.iucnredlist.org/api/v3/species/spatial?token={token} — returns GeoJSON polygons of species ranges. Can be intersected with company facilities.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For GreenOrb: Build a 'Protected Species Proximity' index — for each tracked company, count how many CR/EN/VU species have range polygons intersecting within 50km of their facilities. Surface this as a TNFD risk score.</w:t>
      </w:r>
    </w:p>
    <w:p>
      <w:pPr>
        <w:spacing w:before="0" w:after="100"/>
      </w:pPr>
      <w:r>
        <w:t xml:space="preserve"/>
      </w:r>
    </w:p>
    <w:p>
      <w:pPr>
        <w:pStyle w:val="Heading3"/>
        <w:spacing w:before="280" w:after="120"/>
      </w:pPr>
      <w:r>
        <w:rPr>
          <w:rFonts w:ascii="Arial" w:cs="Arial" w:eastAsia="Arial" w:hAnsi="Arial"/>
          <w:b/>
          <w:bCs/>
          <w:color w:val="0A2540"/>
          <w:sz w:val="28"/>
          <w:szCs w:val="28"/>
        </w:rPr>
        <w:t xml:space="preserve">6.2.3  Protected Areas — The Regulatory Boundary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WDPA (World Database on Protected Areas)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250,000+ protected areas as polygons (national parks, UNESCO sites, Ramsar wetlands)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https://www.protectedplanet.net/en/thematic-areas/wdpa</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KBA (Key Biodiversity Areas)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16,000+ sites critical for biodiversity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https://www.keybiodiversityareas.org/kba-data</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Important Bird Areas (BirdLife)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13,000+ IBAs globally as polygons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https://datazone.birdlife.org/site/requestgis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UNESCO Biosphere Reserves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738 reserves in 134 countries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https://en.unesco.org/biosphere/wnbr</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Ramsar Wetlands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2,400+ wetlands of international importance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https://www.ramsar.org/news/ramsar-sites-information-service</w:t>
            </w:r>
          </w:p>
        </w:tc>
      </w:tr>
    </w:tbl>
    <w:p>
      <w:pPr>
        <w:spacing w:before="0" w:after="100"/>
      </w:pPr>
      <w:r>
        <w:t xml:space="preserve"/>
      </w:r>
    </w:p>
    <w:p>
      <w:pPr>
        <w:pStyle w:val="Heading3"/>
        <w:spacing w:before="280" w:after="120"/>
      </w:pPr>
      <w:r>
        <w:rPr>
          <w:rFonts w:ascii="Arial" w:cs="Arial" w:eastAsia="Arial" w:hAnsi="Arial"/>
          <w:b/>
          <w:bCs/>
          <w:color w:val="0A2540"/>
          <w:sz w:val="28"/>
          <w:szCs w:val="28"/>
        </w:rPr>
        <w:t xml:space="preserve">6.2.4  Additional Biodiversity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ESG Application</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Coral Reef Health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NOAA CoralWatch + Global Coral Reef Monitoring Network</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Marine biodiversity baseline for coastal facilities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Mangrove Cover Change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Global Mangrove Watch (JAXA)</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Blue carbon accounting, coastal protection loss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Primary Forest Loss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Global Forest Watch (Hansen/UMD)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High-deforestation-risk area flag for supply chains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Pollinator Range Maps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IPBES / Pollinator Partnership</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Agricultural supply chain biodiversity dependency</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Marine Protected Areas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MPA Atlas (IUCN)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Offshore facility compliance boundary layer</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CITES Trade Monitoring</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CITES Trade Database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Illegal wildlife trade routes — compliance risk</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eBird Real-Time Sightings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Cornell Lab of Ornithology eBird API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Live occurrence data for bird species — TNFD ready</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iNaturalist Observations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iNaturalist API (https://api.inaturalist.org/v1)</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Citizen science live occurrence data for all taxa</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6.3  Biodiversity Globe Rendering Strategy</w:t>
      </w:r>
    </w:p>
    <w:p>
      <w:pPr>
        <w:spacing w:before="80" w:after="120" w:line="320"/>
      </w:pPr>
      <w:r>
        <w:rPr>
          <w:rFonts w:ascii="Arial" w:cs="Arial" w:eastAsia="Arial" w:hAnsi="Arial"/>
          <w:b w:val="false"/>
          <w:bCs w:val="false"/>
          <w:i w:val="false"/>
          <w:iCs w:val="false"/>
          <w:color w:val="475569"/>
          <w:sz w:val="22"/>
          <w:szCs w:val="22"/>
        </w:rPr>
        <w:t xml:space="preserve">2.3 billion GBIF occurrence points cannot be rendered as individual markers. The rendering strategy must be hierarchical:</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Zoom level 0–3 (global): H3 resolution-2 hexagons (~86,000 km² per cell) coloured by species richness index. Computation: pre-aggregate from GBIF bulk download, store as H3 index in Postgres, serve via /api/biodiversity/richness endpoint.</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Zoom level 4–7 (regional): H3 resolution-5 hexagons (~252 km² per cell). Show individual IUCN threatened species occurrence density as a separate color channel.</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Zoom level 8+ (local/facility): Show individual species occurrence points with full GBIF metadata. Highlight all CR/EN species within the viewport.</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Facility overlay: At any zoom level, when a tracked company is visible, show a dashed radius ring at 50km around their facility coloured by the worst IUCN category of any species whose range intersects that circle.</w:t>
      </w:r>
    </w:p>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7. Sustainability News Intelligence — The GDELT Integration</w:t>
      </w:r>
    </w:p>
    <w:p>
      <w:pPr>
        <w:pStyle w:val="Heading2"/>
        <w:spacing w:before="360" w:after="160"/>
      </w:pPr>
      <w:r>
        <w:rPr>
          <w:rFonts w:ascii="Arial" w:cs="Arial" w:eastAsia="Arial" w:hAnsi="Arial"/>
          <w:b/>
          <w:bCs/>
          <w:color w:val="0A2540"/>
          <w:sz w:val="34"/>
          <w:szCs w:val="34"/>
        </w:rPr>
        <w:t xml:space="preserve">7.1  Current State vs. Required State</w:t>
      </w:r>
    </w:p>
    <w:p>
      <w:pPr>
        <w:spacing w:before="80" w:after="120" w:line="320"/>
      </w:pPr>
      <w:r>
        <w:rPr>
          <w:rFonts w:ascii="Arial" w:cs="Arial" w:eastAsia="Arial" w:hAnsi="Arial"/>
          <w:b w:val="false"/>
          <w:bCs w:val="false"/>
          <w:i w:val="false"/>
          <w:iCs w:val="false"/>
          <w:color w:val="475569"/>
          <w:sz w:val="22"/>
          <w:szCs w:val="22"/>
        </w:rPr>
        <w:t xml:space="preserve">GreenOrb currently ingests 8 ESG RSS feeds. This is insufficient for three reasons: coverage (8 feeds misses 95%+ of sustainability reporting globally), latency (RSS feeds update every 15 minutes at best), and signal extraction (raw headlines provide no trend analysis, entity extraction, or velocity computation). The target state is a full GDELT integration that monitors 100,000+ global news sources in 65 languages in near real-time.</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7.2  GDELT — The World's Largest Open Database of Human Society</w:t>
      </w:r>
    </w:p>
    <w:p>
      <w:pPr>
        <w:spacing w:before="80" w:after="120" w:line="320"/>
      </w:pPr>
      <w:r>
        <w:rPr>
          <w:rFonts w:ascii="Arial" w:cs="Arial" w:eastAsia="Arial" w:hAnsi="Arial"/>
          <w:b w:val="false"/>
          <w:bCs w:val="false"/>
          <w:i w:val="false"/>
          <w:iCs w:val="false"/>
          <w:color w:val="475569"/>
          <w:sz w:val="22"/>
          <w:szCs w:val="22"/>
        </w:rPr>
        <w:t xml:space="preserve">GDELT (Global Database of Events, Language, and Tone) is a free, open-access platform that monitors global news from 100K+ sources in 65 languages, updated every 15 minutes. It provides two key services for GreenOrb:</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GDELT Service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GreenOrb Use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GDELT Event Database (GKG)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Event records with geocoordinates, actor names, event type codes, tone, and date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Extract all sustainability/ESG events, map to globe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GDELT Global Knowledge Graph</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Named entity extraction, themes, sentiment, imagery, embedded video links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Extract company names, locations, ESG themes per article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GDELT Context Map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Co-occurrence network of themes and locations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Find hidden connections between ESG topics and geographies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GDELT Global Diff (15min updates)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Only new records since last poll, timestamped</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Efficient streaming — only process new articles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GDELT BigQuery (Google Cloud)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Full SQL access to all historical data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Retrospective ESG trend analysis for BRSR reporting</w:t>
            </w:r>
          </w:p>
        </w:tc>
      </w:tr>
    </w:tbl>
    <w:p>
      <w:pPr>
        <w:spacing w:before="0" w:after="100"/>
      </w:pPr>
      <w:r>
        <w:t xml:space="preserve"/>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GDELT GKG download (free): http://data.gdeltproject.org/gkg/[YYYYMMDD].gkg.csv.zip — updated every 15 minutes.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Key theme codes for GreenOrb: ENV (environment), ENV_CLIMATECHANGE, ENV_DEFORESTATION, ENV_WATERWAYS, ENV_POLLUTION, ECON_BANKRUPTCY (for greenwashing/financial risk cross-reference), TAX_FNCACT_ENVIRONMENT_ACTIVIST, DISASTER.</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Filter to relevant articles by requiring: (a) theme contains ENV* or DISASTER* or HEALTH_OCCUPATIONAL, AND (b) tone score &lt; -2 (negative coverage). This produces a high-signal stream of approximately 800–2,000 articles per day globally.</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7.3  ESG News Velocity — Enhanced Algorithm</w:t>
      </w:r>
    </w:p>
    <w:p>
      <w:pPr>
        <w:spacing w:before="80" w:after="120" w:line="320"/>
      </w:pPr>
      <w:r>
        <w:rPr>
          <w:rFonts w:ascii="Arial" w:cs="Arial" w:eastAsia="Arial" w:hAnsi="Arial"/>
          <w:b w:val="false"/>
          <w:bCs w:val="false"/>
          <w:i w:val="false"/>
          <w:iCs w:val="false"/>
          <w:color w:val="475569"/>
          <w:sz w:val="22"/>
          <w:szCs w:val="22"/>
        </w:rPr>
        <w:t xml:space="preserve">The current ESG news velocity layer shows trending companies. The enhanced version uses GDELT to produce a multi-dimensional signal:</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Visual Representation</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Mention velocity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d(mentions)/dt over rolling 24h window vs. 30-day baseline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Ring pulse speed on globe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Tone trajectory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Average sentiment score of last 50 articles vs. previous 50</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Ring colour: red = deteriorating, green = improving</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Geographic spread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Count of unique countries mentioning company in 7 days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Ring radius proportional to spread</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Theme concentration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Entropy of ESG theme distribution (ENV_POLLUTION vs. ENV_CLIMATECHANGE vs. etc.)</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Tooltip shows dominant theme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Greenwash signal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Ratio of positive self-press to negative third-party press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Flag icon if ratio &gt; 5:1</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7.4  ESG Trend Ecosystem Map</w:t>
      </w:r>
    </w:p>
    <w:p>
      <w:pPr>
        <w:spacing w:before="80" w:after="120" w:line="320"/>
      </w:pPr>
      <w:r>
        <w:rPr>
          <w:rFonts w:ascii="Arial" w:cs="Arial" w:eastAsia="Arial" w:hAnsi="Arial"/>
          <w:b w:val="false"/>
          <w:bCs w:val="false"/>
          <w:i w:val="false"/>
          <w:iCs w:val="false"/>
          <w:color w:val="475569"/>
          <w:sz w:val="22"/>
          <w:szCs w:val="22"/>
        </w:rPr>
        <w:t xml:space="preserve">Beyond individual company monitoring, GreenOrb should display the macro-level sustainability news ecosystem as a choropleth layer on the globe. Updated every 15 minutes: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Country ESG News Sentiment Index: Average tone score of all ENV-tagged GDELT articles mentioning each country in the last 7 days. Countries with sharply negative trajectories (worsening &gt; 1 standard deviation) are highlighted.</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Topic Trending Heatmap: An H3 hexagonal layer showing where in the world specific ESG topics (deforestation, water pollution, labour disputes, greenwashing allegations) are geographically concentrated in news coverage.</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Regulatory Announcement Tracker: GDELT codes for government announcements (GOVERNMENT_ANNOUNCEMENT, REGULATION) filtered to ENV theme. Maps new environmental regulations as they are announced globally, relevant for BRSR/CSRD compliance tracking.</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Media-Reality Divergence Score: Compare the ratio of 'positive sustainability announcements by companies' to 'negative physical evidence signals (fires, pollution readings)' for each country. High divergence suggests systemic greenwashing at the national level.</w:t>
      </w:r>
    </w:p>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8. Complete Data Layer Catalogue — 52 Layers</w:t>
      </w:r>
    </w:p>
    <w:p>
      <w:pPr>
        <w:spacing w:before="80" w:after="120" w:line="320"/>
      </w:pPr>
      <w:r>
        <w:rPr>
          <w:rFonts w:ascii="Arial" w:cs="Arial" w:eastAsia="Arial" w:hAnsi="Arial"/>
          <w:b w:val="false"/>
          <w:bCs w:val="false"/>
          <w:i w:val="false"/>
          <w:iCs w:val="false"/>
          <w:color w:val="475569"/>
          <w:sz w:val="22"/>
          <w:szCs w:val="22"/>
        </w:rPr>
        <w:t xml:space="preserve">The following is the complete recommended layer system for GreenOrb 2.0. Layers are grouped by domain. Each layer entry includes its ID (for layers.config.js), data source, update cadence, TTL for caching, and ESG relevance score (1–5, where 5 = mandatory for BRSR/CSRD compliance).</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8.1  Corporate ESG Layers (Currently Implemented)</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800"/>
        <w:gridCol w:w="720"/>
        <w:gridCol w:w="108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 ID</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ESG Score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companies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Company emission pillars (Scope 1/2/3)</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Neon DB Greendex</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5min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countries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National Greendex choropleth</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Neon DB aggregation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1hr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newsVelocity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ESG news trending companies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8 RSS feeds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15min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climateTrace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High-emission asset locations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Climate TRACE API</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24hr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trust_alerts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AI-flagged discrepancy ring pulses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Trust UI queue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30sec</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8.2  Satellite Layers (New)</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60"/>
        <w:gridCol w:w="720"/>
        <w:gridCol w:w="108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 ID</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ESG Score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sat_earth_obs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Earth observation satellite orbits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CelesTrak TLE groups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2hr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sat_climate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Climate/met satellite orbits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CelesTrak</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2hr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3</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sat_ais_ships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AIS maritime tracking satellites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CelesTrak + MarineTraffic</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2hr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sat_starlink_density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Starlink coverage shell / density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CelesTrak + satellitemap.space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2hr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2</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sat_military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Military satellite orbits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CelesTrak</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2hr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sat_nav_gnss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GPS/GLONASS/Galileo/BeiDou constellations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CelesTrak</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2hr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2</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8.3  Physical Environment Layers (New)</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60"/>
        <w:gridCol w:w="720"/>
        <w:gridCol w:w="108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 ID</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ESG Score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fires_viirs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Active fire points (VIIRS)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NASA FIRMS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3hr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fires_modis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Active fire points (MODIS)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NASA FIRMS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6hr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fire_perimeters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Active fire perimeter polygons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NIFC / EFFIS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1hr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earthquake_realtime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Earthquakes M2.5+ last 7 days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USGS + EMSC</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15min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flood_forecast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GloFAS flood probability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EU Copernicus GloFAS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6hr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cyclone_tracks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Active tropical storm tracks + forecast cones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NHC + JTWC + JMA</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1hr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volcano_active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Active volcano alerts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Smithsonian GVP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6hr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tsunami_warnings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Active tsunami warnings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PTWC + IOC-UNESCO</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5min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8.4  Atmospheric and Climate Layers (New)</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60"/>
        <w:gridCol w:w="720"/>
        <w:gridCol w:w="108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 ID</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ESG Score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precipitation_gpm</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Real-time precipitation (GPM IMERG Early)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NASA GESDISC</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30min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precip_anomaly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30-day precipitation vs. climatological normal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GPM + CHIRPS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24hr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drought_index</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SPI drought severity index</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CHIRPS / NMME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Weekly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temp_anomaly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Surface temperature anomaly vs. 1991–2020 baseline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ERA5 Copernicus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6hr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heat_extreme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Days above 35°C (rolling 30 days)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ERA5 Copernicus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24hr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co2_concentration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Atmospheric CO2 column (XCO2)</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OCO-2/3 satellite data</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no2_troposphere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Nitrogen dioxide tropospheric column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Sentinel-5P TROPOMI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methane_ch4</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Methane column (XCH4) — oil/gas leak detection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Sentinel-5P TROPOMI</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aerosol_aod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Aerosol Optical Depth (proxy for PM2.5)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MODIS Terra/Aqua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sea_surface_temp</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SST and SST anomaly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NOAA OISST / CoralTemp</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sea_ice_extent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Arctic/Antarctic sea ice concentration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NSIDC / SSMI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uv_index</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Surface UV-B index</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CAMS / NOAA</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6hr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3</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8.5  Ocean and Water Layers (New)</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60"/>
        <w:gridCol w:w="720"/>
        <w:gridCol w:w="108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 ID</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ESG Score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ocean_currents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Surface ocean current vectors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OSCAR (PODAAC/NASA)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Weekly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water_stress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Baseline water stress (WRI Aqueduct 4.0)</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WRI</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Annual update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water_quality_bod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River water quality (BOD/COD)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WHO / national agencies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Monthly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coral_bleaching</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Coral bleaching alert level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NOAA CoralWatch</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chlorophyll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Ocean chlorophyll-a (algae / ecosystem productivity)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MODIS Aqua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8-day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oil_slick_sar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Potential oil spill detection (SAR)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Copernicus EMS / EMSA</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ship_ais_dark</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AIS dark vessels (ships gone dark)</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Global Fishing Watch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illegal_fishing</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Apparent illegal fishing activity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Global Fishing Watch</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8.6  Land and Ecosystem Layers (New)</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60"/>
        <w:gridCol w:w="720"/>
        <w:gridCol w:w="108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 ID</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ESG Score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forest_loss_alerts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Near real-time deforestation alerts (GLAD/RADD)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Global Forest Watch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Weekly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ndvi_anomaly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Vegetation greenness vs. historical baseline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MODIS NDVI / Sentinel-2</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16-day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land_use_change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Annual land use change classification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ESA CCI Land Cover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Annual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mining_sites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Active and legacy mining sites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Global Mining Watch</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Annual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plastic_waste_rivers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Plastic waste river transport estimates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Lebreton et al. / UNEP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Annual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wildfire_risk</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30-day probabilistic wildfire risk</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GFS + Copernicus EFFIS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soil_moisture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Root zone soil moisture anomaly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SMAP satellite (NASA)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3-day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permafrost_thaw</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Permafrost extent and thaw risk</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IPA / NSIDC</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Annual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8.7  Biodiversity Layers (New)</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60"/>
        <w:gridCol w:w="720"/>
        <w:gridCol w:w="108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 ID</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ESG Score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biodiversity_richness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H3 species richness index</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GBIF bulk + H3 pre-computation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Monthly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iucn_threatened</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Threatened species occurrence density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IUCN Red List API</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Monthly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protected_areas_wdpa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Protected area boundaries (national parks, etc.)</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WDPA / Protected Planet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Monthly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kba_polygons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Key Biodiversity Area boundaries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KBA database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Annual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inaturalist_live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Live citizen science observations (last 30 days)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iNaturalist API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ebird_hotspots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eBird species observation hotspots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Cornell eBird API</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Weekly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3</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8.8  Socioeconomic and Infrastructure Layers (New)</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60"/>
        <w:gridCol w:w="720"/>
        <w:gridCol w:w="108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 ID</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ESG Score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population_density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Gridded population density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WorldPop / GPW v4</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Annual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energy_access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Population without electricity access (%)</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IEA / World Bank</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Annual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carbon_intensity_grid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Electricity grid carbon intensity (gCO2/kWh)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Electricity Maps API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Hourly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renewable_capacity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Installed renewable energy capacity by country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IRENA</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Annual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air_quality_pm25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PM2.5 ground sensor readings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OpenAQ v3 API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1hr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light_pollution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Artificial light at night (VIIRS DNB)</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NOAA / EOG VIIRS-DNB</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Annual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3</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conflict_zones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Active conflict event locations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ACLED API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sanctions_entities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Sanctioned entities with geo-footprint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OpenSanctions + OFAC</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5</w:t>
            </w:r>
          </w:p>
        </w:tc>
      </w:tr>
    </w:tbl>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9. Layer Architecture and Performance Engineering</w:t>
      </w:r>
    </w:p>
    <w:p>
      <w:pPr>
        <w:pStyle w:val="Heading2"/>
        <w:spacing w:before="360" w:after="160"/>
      </w:pPr>
      <w:r>
        <w:rPr>
          <w:rFonts w:ascii="Arial" w:cs="Arial" w:eastAsia="Arial" w:hAnsi="Arial"/>
          <w:b/>
          <w:bCs/>
          <w:color w:val="0A2540"/>
          <w:sz w:val="34"/>
          <w:szCs w:val="34"/>
        </w:rPr>
        <w:t xml:space="preserve">9.1  Extended layers.config.js Schema</w:t>
      </w:r>
    </w:p>
    <w:p>
      <w:pPr>
        <w:spacing w:before="80" w:after="120" w:line="320"/>
      </w:pPr>
      <w:r>
        <w:rPr>
          <w:rFonts w:ascii="Arial" w:cs="Arial" w:eastAsia="Arial" w:hAnsi="Arial"/>
          <w:b w:val="false"/>
          <w:bCs w:val="false"/>
          <w:i w:val="false"/>
          <w:iCs w:val="false"/>
          <w:color w:val="475569"/>
          <w:sz w:val="22"/>
          <w:szCs w:val="22"/>
        </w:rPr>
        <w:t xml:space="preserve">The current layers.config.js is a flat array of layer objects. With 52 layers, this must evolve into a structured configuration schema that supports grouping, dependencies, performance tiers, and ESG metadata:</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3A" w:sz="3"/>
              <w:left w:val="single" w:color="1B6B3A" w:sz="12"/>
              <w:bottom w:val="single" w:color="1B6B3A" w:sz="3"/>
              <w:right w:val="none"/>
            </w:tcBorders>
            <w:shd w:fill="F0FDF4" w:val="clear"/>
            <w:tcMar>
              <w:top w:type="dxa" w:w="120"/>
              <w:left w:type="dxa" w:w="200"/>
              <w:bottom w:type="dxa" w:w="120"/>
              <w:right w:type="dxa" w:w="200"/>
            </w:tcMar>
          </w:tcPr>
          <w:p>
            <w:pPr>
              <w:spacing w:before="0" w:after="60"/>
            </w:pPr>
            <w:r>
              <w:rPr>
                <w:rFonts w:ascii="Arial" w:cs="Arial" w:eastAsia="Arial" w:hAnsi="Arial"/>
                <w:b/>
                <w:bCs/>
                <w:color w:val="1B6B3A"/>
                <w:sz w:val="20"/>
                <w:szCs w:val="20"/>
              </w:rPr>
              <w:t xml:space="preserve">Config Schema Example</w:t>
            </w:r>
          </w:p>
          <w:p>
            <w:pPr>
              <w:spacing w:before="0" w:after="0"/>
            </w:pPr>
            <w:r>
              <w:rPr>
                <w:rFonts w:ascii="Arial" w:cs="Arial" w:eastAsia="Arial" w:hAnsi="Arial"/>
                <w:color w:val="475569"/>
                <w:sz w:val="21"/>
                <w:szCs w:val="21"/>
              </w:rPr>
              <w:t xml:space="preserve">Each layer entry now carries: id, name, group, subgroup, endpoint, ttl, cesiumLayerType ('imagery' | 'entity' | 'primitive' | 'h3hex' | 'vector'), renderPriority (1–5, where 1 = always on, 5 = user-activated only), esrScore (0–5 ESG relevance), defaultOn (boolean), requiresApiKey (boolean), dataFreshness, and a description string for the layer legend UI.</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9.2  Performance Tier System</w:t>
      </w:r>
    </w:p>
    <w:p>
      <w:pPr>
        <w:spacing w:before="80" w:after="120" w:line="320"/>
      </w:pPr>
      <w:r>
        <w:rPr>
          <w:rFonts w:ascii="Arial" w:cs="Arial" w:eastAsia="Arial" w:hAnsi="Arial"/>
          <w:b w:val="false"/>
          <w:bCs w:val="false"/>
          <w:i w:val="false"/>
          <w:iCs w:val="false"/>
          <w:color w:val="475569"/>
          <w:sz w:val="22"/>
          <w:szCs w:val="22"/>
        </w:rPr>
        <w:t xml:space="preserve">With 52 layers, naive activation of all layers simultaneously would destroy performance. Implement a three-tier activation model:</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1440"/>
        <w:gridCol w:w="432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Always Loaded?</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Tier 1 — Critical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Core ESG data + disaster alerts. Loaded at startup. Always visible.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Yes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companies, countries, fires_viirs, earthquake_realtime, air_quality_pm25, carbon_intensity_grid (~6 layers)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Tier 2 — On-Demand</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Activated when user clicks a layer group. Data pre-fetched on hover.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No — streamed</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All satellite layers, weather layers, biodiversity layers (~35 layers)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Tier 3 — Compute-Intensive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Requires heavy client-side computation (H3 aggregation, large polygon rendering). User explicitly activates.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No — user-triggered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biodiversity_richness, precip_anomaly, sat_starlink_density, coral_bleaching (~11 layers)</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9.3  Bootstrap Hydration — 52-Layer Edition</w:t>
      </w:r>
    </w:p>
    <w:p>
      <w:pPr>
        <w:spacing w:before="80" w:after="120" w:line="320"/>
      </w:pPr>
      <w:r>
        <w:rPr>
          <w:rFonts w:ascii="Arial" w:cs="Arial" w:eastAsia="Arial" w:hAnsi="Arial"/>
          <w:b w:val="false"/>
          <w:bCs w:val="false"/>
          <w:i w:val="false"/>
          <w:iCs w:val="false"/>
          <w:color w:val="475569"/>
          <w:sz w:val="22"/>
          <w:szCs w:val="22"/>
        </w:rPr>
        <w:t xml:space="preserve">Extending the World Monitor bootstrap hydration pattern to 52 layers requires a three-tier parallel bootstrap instead of two:</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Ultra-fast tier (30-second cache): Disaster alerts (earthquake, fire, tsunami, cyclone), air quality. Fired immediately on page load. These are the 'is the world on fire right now?' queries.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Fast tier (5-minute cache): Corporate data (companies, countries, trust alerts, news velocity), carbon grid, precipitation current. Fired 100ms after ultra-fast tier.</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Slow tier (1-hour to 24-hour cache): Satellite TLE sets, biodiversity richness, protected areas, land cover, water stress, forest alerts. Fired 500ms after fast tier. These are background-loaded and do not block initial render.</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Deferred tier (user-triggered): All Tier-3 compute-intensive layers. Never loaded on startup. Only fetched when user explicitly activates the layer.</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9.4  Adaptive Layer Quality</w:t>
      </w:r>
    </w:p>
    <w:p>
      <w:pPr>
        <w:spacing w:before="80" w:after="120" w:line="320"/>
      </w:pPr>
      <w:r>
        <w:rPr>
          <w:rFonts w:ascii="Arial" w:cs="Arial" w:eastAsia="Arial" w:hAnsi="Arial"/>
          <w:b w:val="false"/>
          <w:bCs w:val="false"/>
          <w:i w:val="false"/>
          <w:iCs w:val="false"/>
          <w:color w:val="475569"/>
          <w:sz w:val="22"/>
          <w:szCs w:val="22"/>
        </w:rPr>
        <w:t xml:space="preserve">On low-bandwidth connections (detected via Navigator.connection API), automatically downgrade rendering quality:</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Full quality: Individual TLE-propagated satellite positions, full-resolution precipitation rasters, H3 res-5 biodiversity hexagons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Mid quality: Satellite constellation as constellation-average orbital ring (no individual positions), precipitation as country-level choropleth, biodiversity as H3 res-3 hexagons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Low quality: No satellite layer, precipitation as single national average value, biodiversity as country-level flag only (in/out of KBA)</w:t>
      </w:r>
    </w:p>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10. Indore Smart City — From Prototype to Scalable SDK</w:t>
      </w:r>
    </w:p>
    <w:p>
      <w:pPr>
        <w:pStyle w:val="Heading2"/>
        <w:spacing w:before="360" w:after="160"/>
      </w:pPr>
      <w:r>
        <w:rPr>
          <w:rFonts w:ascii="Arial" w:cs="Arial" w:eastAsia="Arial" w:hAnsi="Arial"/>
          <w:b/>
          <w:bCs/>
          <w:color w:val="0A2540"/>
          <w:sz w:val="34"/>
          <w:szCs w:val="34"/>
        </w:rPr>
        <w:t xml:space="preserve">10.1  Current Gaps in the Prototype</w:t>
      </w:r>
    </w:p>
    <w:p>
      <w:pPr>
        <w:spacing w:before="80" w:after="120" w:line="320"/>
      </w:pPr>
      <w:r>
        <w:rPr>
          <w:rFonts w:ascii="Arial" w:cs="Arial" w:eastAsia="Arial" w:hAnsi="Arial"/>
          <w:b w:val="false"/>
          <w:bCs w:val="false"/>
          <w:i w:val="false"/>
          <w:iCs w:val="false"/>
          <w:color w:val="475569"/>
          <w:sz w:val="22"/>
          <w:szCs w:val="22"/>
        </w:rPr>
        <w:t xml:space="preserve">The current Indore tab shows static IoT widgets for waste, water, EV, and air quality. To become a production-grade city intelligence layer, it needs real data feeds, anomaly detection, predictive analytics, and a configuration model that can be replicated for any other city.</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10.2  Indore-Specific Real Data Sources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40"/>
        <w:gridCol w:w="132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Data Domain</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Local Source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API / Method</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Cadence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Air Quality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Indore CPCB stations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https://api.data.gov.in/resource/3b01bcb8-0b14-4abf-b6f2-c1bfd384ba69</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Hourly</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Weather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IMD Indore weather station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https://mausam.imd.gov.in/api/</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3-hourly</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Traffic</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MP SCRB Traffic Management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ITMS data portal (state-level API)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Real-time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Municipal Water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IMC (Indore Municipal Corporation)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IMC open data portal (limited)</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Daily</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EV Charging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MG Motor / Tata Power CSEZ network</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OCPP protocol / IRCTC EV portal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Real-time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Waste Management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Smart bin IoT sensors (if deployed)</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IMC IoT gateway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Real-time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River Health (Kahn/Saraswati)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State Pollution Control Board MP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MPPCB monitoring portal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Weekly</w:t>
            </w:r>
          </w:p>
        </w:tc>
      </w:tr>
    </w:tbl>
    <w:p>
      <w:pPr>
        <w:spacing w:before="0" w:after="100"/>
      </w:pPr>
      <w:r>
        <w:t xml:space="preserve"/>
      </w:r>
    </w:p>
    <w:p>
      <w:pPr>
        <w:pStyle w:val="Heading2"/>
        <w:spacing w:before="360" w:after="160"/>
      </w:pPr>
      <w:r>
        <w:rPr>
          <w:rFonts w:ascii="Arial" w:cs="Arial" w:eastAsia="Arial" w:hAnsi="Arial"/>
          <w:b/>
          <w:bCs/>
          <w:color w:val="0A2540"/>
          <w:sz w:val="34"/>
          <w:szCs w:val="34"/>
        </w:rPr>
        <w:t xml:space="preserve">10.3  City SDK — Replicable Configuration Model</w:t>
      </w:r>
    </w:p>
    <w:p>
      <w:pPr>
        <w:spacing w:before="80" w:after="120" w:line="320"/>
      </w:pPr>
      <w:r>
        <w:rPr>
          <w:rFonts w:ascii="Arial" w:cs="Arial" w:eastAsia="Arial" w:hAnsi="Arial"/>
          <w:b w:val="false"/>
          <w:bCs w:val="false"/>
          <w:i w:val="false"/>
          <w:iCs w:val="false"/>
          <w:color w:val="475569"/>
          <w:sz w:val="22"/>
          <w:szCs w:val="22"/>
        </w:rPr>
        <w:t xml:space="preserve">Every city deployment should require only a single configuration file (city.config.json) to instantiate a fully functional city dashboard. The SDK handles all rendering, anomaly detection, and AI summary generation generically. The config file defines: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City identity: name, lat/lng centroid, bounding box, timezone, population</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Data endpoints: a key-value map of domain (air_quality, water, traffic, waste, energy) to API endpoint URL + authentication method</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Alert thresholds: per domain per metric, when to trigger visual alert (e.g., AQI &gt; 150, waste bin fill &gt; 80%)</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BRSR mapping: which city metrics map to which BRSR Principle 6 sub-indicators for automated compliance reporting</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Language: the primary language for AI-generated summaries for this city (Indore → Hindi + English)</w:t>
      </w:r>
    </w:p>
    <w:p>
      <w:pPr>
        <w:spacing w:before="0" w:after="100"/>
      </w:pPr>
      <w:r>
        <w:t xml:space="preserve"/>
      </w:r>
    </w:p>
    <w:p>
      <w:pPr>
        <w:spacing w:before="80" w:after="120" w:line="320"/>
      </w:pPr>
      <w:r>
        <w:rPr>
          <w:rFonts w:ascii="Arial" w:cs="Arial" w:eastAsia="Arial" w:hAnsi="Arial"/>
          <w:b w:val="false"/>
          <w:bCs w:val="false"/>
          <w:i w:val="false"/>
          <w:iCs w:val="false"/>
          <w:color w:val="475569"/>
          <w:sz w:val="22"/>
          <w:szCs w:val="22"/>
        </w:rPr>
        <w:t xml:space="preserve">With this SDK, adding a new city (Mumbai, Chennai, Pune, or international expansion) is a single config file addition, not a development sprint.</w:t>
      </w:r>
    </w:p>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11. AI Intelligence Fusion — The Convergence Engine</w:t>
      </w:r>
    </w:p>
    <w:p>
      <w:pPr>
        <w:pStyle w:val="Heading2"/>
        <w:spacing w:before="360" w:after="160"/>
      </w:pPr>
      <w:r>
        <w:rPr>
          <w:rFonts w:ascii="Arial" w:cs="Arial" w:eastAsia="Arial" w:hAnsi="Arial"/>
          <w:b/>
          <w:bCs/>
          <w:color w:val="0A2540"/>
          <w:sz w:val="34"/>
          <w:szCs w:val="34"/>
        </w:rPr>
        <w:t xml:space="preserve">11.1  Multi-Domain Signal Correlation</w:t>
      </w:r>
    </w:p>
    <w:p>
      <w:pPr>
        <w:spacing w:before="80" w:after="120" w:line="320"/>
      </w:pPr>
      <w:r>
        <w:rPr>
          <w:rFonts w:ascii="Arial" w:cs="Arial" w:eastAsia="Arial" w:hAnsi="Arial"/>
          <w:b w:val="false"/>
          <w:bCs w:val="false"/>
          <w:i w:val="false"/>
          <w:iCs w:val="false"/>
          <w:color w:val="475569"/>
          <w:sz w:val="22"/>
          <w:szCs w:val="22"/>
        </w:rPr>
        <w:t xml:space="preserve">The convergence.worker.js Web Worker must be upgraded from a simple pattern-matcher to a multi-domain signal correlation engine. The upgrade adds three new fusion capabilities:</w:t>
      </w:r>
    </w:p>
    <w:p>
      <w:pPr>
        <w:spacing w:before="0" w:after="100"/>
      </w:pPr>
      <w:r>
        <w:t xml:space="preserve"/>
      </w:r>
    </w:p>
    <w:p>
      <w:pPr>
        <w:pStyle w:val="Heading3"/>
        <w:spacing w:before="280" w:after="120"/>
      </w:pPr>
      <w:r>
        <w:rPr>
          <w:rFonts w:ascii="Arial" w:cs="Arial" w:eastAsia="Arial" w:hAnsi="Arial"/>
          <w:b/>
          <w:bCs/>
          <w:color w:val="0A2540"/>
          <w:sz w:val="28"/>
          <w:szCs w:val="28"/>
        </w:rPr>
        <w:t xml:space="preserve">11.1.1  Physical-Financial-Media Convergence</w:t>
      </w:r>
    </w:p>
    <w:p>
      <w:pPr>
        <w:spacing w:before="80" w:after="120" w:line="320"/>
      </w:pPr>
      <w:r>
        <w:rPr>
          <w:rFonts w:ascii="Arial" w:cs="Arial" w:eastAsia="Arial" w:hAnsi="Arial"/>
          <w:b w:val="false"/>
          <w:bCs w:val="false"/>
          <w:i w:val="false"/>
          <w:iCs w:val="false"/>
          <w:color w:val="475569"/>
          <w:sz w:val="22"/>
          <w:szCs w:val="22"/>
        </w:rPr>
        <w:t xml:space="preserve">For each tracked company, continuously monitor all three signal domains and fire a Convergence Alert when all three show anomaly simultaneously:</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Physical: Satellite-detected anomaly near facility (fire FRP spike, NO2 column increase, NDVI decrease) OR disaster event within 100km</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Financial: Unusual options activity (if integrated with financial APIs) OR credit rating watch/outlook change (scrape from Moody's/S&amp;P announcements)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Media: GDELT negative ESG coverage velocity above 2σ from baseline AND tone score &lt; -3</w:t>
      </w:r>
    </w:p>
    <w:p>
      <w:pPr>
        <w:spacing w:before="80" w:after="120" w:line="320"/>
      </w:pPr>
      <w:r>
        <w:rPr>
          <w:rFonts w:ascii="Arial" w:cs="Arial" w:eastAsia="Arial" w:hAnsi="Arial"/>
          <w:b w:val="false"/>
          <w:bCs w:val="false"/>
          <w:i w:val="false"/>
          <w:iCs w:val="false"/>
          <w:color w:val="475569"/>
          <w:sz w:val="22"/>
          <w:szCs w:val="22"/>
        </w:rPr>
        <w:t xml:space="preserve">A single-domain anomaly is noise. All three domains anomalous simultaneously is a signal that warrants immediate Trust UI escalation and an AI-generated briefing.</w:t>
      </w:r>
    </w:p>
    <w:p>
      <w:pPr>
        <w:spacing w:before="0" w:after="100"/>
      </w:pPr>
      <w:r>
        <w:t xml:space="preserve"/>
      </w:r>
    </w:p>
    <w:p>
      <w:pPr>
        <w:pStyle w:val="Heading3"/>
        <w:spacing w:before="280" w:after="120"/>
      </w:pPr>
      <w:r>
        <w:rPr>
          <w:rFonts w:ascii="Arial" w:cs="Arial" w:eastAsia="Arial" w:hAnsi="Arial"/>
          <w:b/>
          <w:bCs/>
          <w:color w:val="0A2540"/>
          <w:sz w:val="28"/>
          <w:szCs w:val="28"/>
        </w:rPr>
        <w:t xml:space="preserve">11.1.2  Greenwash Velocity Index</w:t>
      </w:r>
    </w:p>
    <w:p>
      <w:pPr>
        <w:spacing w:before="80" w:after="120" w:line="320"/>
      </w:pPr>
      <w:r>
        <w:rPr>
          <w:rFonts w:ascii="Arial" w:cs="Arial" w:eastAsia="Arial" w:hAnsi="Arial"/>
          <w:b w:val="false"/>
          <w:bCs w:val="false"/>
          <w:i w:val="false"/>
          <w:iCs w:val="false"/>
          <w:color w:val="475569"/>
          <w:sz w:val="22"/>
          <w:szCs w:val="22"/>
        </w:rPr>
        <w:t xml:space="preserve">Compute per company, updated hourly:</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80"/>
        <w:gridCol w:w="492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Volume of positive self-published ESG content (press releases)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Negative contributor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Company IR page scrape + GDELT GKG GOVERNMENT_ANNOUNCEMENT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Volume of independent negative ESG coverage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Positive contributor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GDELT GKG ENE/ENV negative tone articles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Physical evidence contradiction score (existing Risk Agent output)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 weight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risk table contradiction_score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Absence signal count (metrics not disclosed vs. sector norm)</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1.5× weight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absence_detector.py output</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Regulatory investigation mentions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 weight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GDELT GKG GOVERNMENT_INVESTIGATION + company name</w:t>
            </w:r>
          </w:p>
        </w:tc>
      </w:tr>
    </w:tbl>
    <w:p>
      <w:pPr>
        <w:spacing w:before="0" w:after="100"/>
      </w:pPr>
      <w:r>
        <w:t xml:space="preserve"/>
      </w:r>
    </w:p>
    <w:p>
      <w:pPr>
        <w:pStyle w:val="Heading3"/>
        <w:spacing w:before="280" w:after="120"/>
      </w:pPr>
      <w:r>
        <w:rPr>
          <w:rFonts w:ascii="Arial" w:cs="Arial" w:eastAsia="Arial" w:hAnsi="Arial"/>
          <w:b/>
          <w:bCs/>
          <w:color w:val="0A2540"/>
          <w:sz w:val="28"/>
          <w:szCs w:val="28"/>
        </w:rPr>
        <w:t xml:space="preserve">11.1.3  Sector Climate Beta</w:t>
      </w:r>
    </w:p>
    <w:p>
      <w:pPr>
        <w:spacing w:before="80" w:after="120" w:line="320"/>
      </w:pPr>
      <w:r>
        <w:rPr>
          <w:rFonts w:ascii="Arial" w:cs="Arial" w:eastAsia="Arial" w:hAnsi="Arial"/>
          <w:b w:val="false"/>
          <w:bCs w:val="false"/>
          <w:i w:val="false"/>
          <w:iCs w:val="false"/>
          <w:color w:val="475569"/>
          <w:sz w:val="22"/>
          <w:szCs w:val="22"/>
        </w:rPr>
        <w:t xml:space="preserve">Compute per sector (not per company) using the Welford online algorithm applied to the convergence between physical climate data and sector Greendex scores over time. Sectors whose ESG performance is most correlated with physical climate signals (e.g., agriculture with drought anomaly, coastal manufacturing with flood frequency) get a high Climate Beta score. This metric is unique to GreenOrb and has direct value for TNFD scenario analysis and BRSR climate risk disclosure.</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11.2  AI Summary Generation — Five-Layer Chain</w:t>
      </w:r>
    </w:p>
    <w:p>
      <w:pPr>
        <w:spacing w:before="80" w:after="120" w:line="320"/>
      </w:pPr>
      <w:r>
        <w:rPr>
          <w:rFonts w:ascii="Arial" w:cs="Arial" w:eastAsia="Arial" w:hAnsi="Arial"/>
          <w:b w:val="false"/>
          <w:bCs w:val="false"/>
          <w:i w:val="false"/>
          <w:iCs w:val="false"/>
          <w:color w:val="475569"/>
          <w:sz w:val="22"/>
          <w:szCs w:val="22"/>
        </w:rPr>
        <w:t xml:space="preserve">Extending the current 4-tier LLM chain, the 52-layer platform requires a 5-layer AI summary architecture:</w:t>
      </w:r>
    </w:p>
    <w:p>
      <w:pPr>
        <w:spacing w:before="0" w:after="10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2160"/>
        <w:gridCol w:w="496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L1 — Instant Tooltip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Any globe element hover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T5-small (browser ONNX)</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 sentence: what this point represents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L2 — Feature Summary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Element click → right panel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Groq Llama 3.1 8B (fast)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3–5 sentences: what, why it matters, ESG implication</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L3 — Convergence Brief</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Multi-domain alert fires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Gemini Flash (large context)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Full paragraph: event, physical evidence, corporate exposure, recommended action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L4 — Daily Intelligence Report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Scheduled 06:00 UTC</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Gemini Pro (longest context)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2-page ESG intelligence briefing covering top 5 convergence events of past 24 hours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L5 — BRSR Filing Assistant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User triggers annual report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Gemini Pro 1M context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Complete BRSR Principle 6 draft from GreenOrb data for a specific company</w:t>
            </w:r>
          </w:p>
        </w:tc>
      </w:tr>
    </w:tbl>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12. Sector Taxonomy — What Is Happening and Where</w:t>
      </w:r>
    </w:p>
    <w:p>
      <w:pPr>
        <w:pStyle w:val="Heading2"/>
        <w:spacing w:before="360" w:after="160"/>
      </w:pPr>
      <w:r>
        <w:rPr>
          <w:rFonts w:ascii="Arial" w:cs="Arial" w:eastAsia="Arial" w:hAnsi="Arial"/>
          <w:b/>
          <w:bCs/>
          <w:color w:val="0A2540"/>
          <w:sz w:val="34"/>
          <w:szCs w:val="34"/>
        </w:rPr>
        <w:t xml:space="preserve">12.1  Universal Sector Tag System</w:t>
      </w:r>
    </w:p>
    <w:p>
      <w:pPr>
        <w:spacing w:before="80" w:after="120" w:line="320"/>
      </w:pPr>
      <w:r>
        <w:rPr>
          <w:rFonts w:ascii="Arial" w:cs="Arial" w:eastAsia="Arial" w:hAnsi="Arial"/>
          <w:b w:val="false"/>
          <w:bCs w:val="false"/>
          <w:i w:val="false"/>
          <w:iCs w:val="false"/>
          <w:color w:val="475569"/>
          <w:sz w:val="22"/>
          <w:szCs w:val="22"/>
        </w:rPr>
        <w:t xml:space="preserve">Every data point on the globe — whether a company facility, a disaster event, a satellite measurement, or a news article — should carry one or more standardised sector tags. This enables the globe to answer complex multi-dimensional queries like 'show me all ESG events affecting the pharmaceutical sector in South Asia' or 'where are the highest convergence events for the energy sector this week'.</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2880"/>
        <w:gridCol w:w="3480"/>
      </w:tblGrid>
      <w:tr>
        <w:trPr>
          <w:tblHeader/>
        </w:trPr>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Sector Tag</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BRSR Principle</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Key Physical Risk Layers</w:t>
            </w:r>
          </w:p>
        </w:tc>
        <w:tc>
          <w:tcPr>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Key Corporate Layers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ENERGY_FOSSIL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P6 Environmental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methane_ch4, co2_concentration, water_stress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Climate TRACE coal/gas assets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ENERGY_RENEWABLE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P6 Environmental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wind speed, solar irradiance, land_use_change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IRENA project registry</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AGRICULTURE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P6 Environmental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drought_index, precip_anomaly, ndvi_anomaly, pollinator_range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GHG emission companies agriculture sector</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MINING</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P6 Environmental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water_quality_bod, tailings dam risk, mining_sites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companies where sector = Mining</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MANUFACTURING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P4 Human Rights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heat_extreme, flood_forecast, air_quality_pm25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companies where sector = Manufacturing</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FINANCE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P9 Governance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All layers via portfolio exposure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companies where sector = Finance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PHARMA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P3 Employee Wellbeing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heat_extreme, water_stress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companies where sector = Pharma</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TEXTILE_APPAREL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P5 Human Rights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water_quality_bod, water_stress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companies where sector = Textile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SHIPPING_LOGISTICS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P6 Environmental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ship_ais_dark, illegal_fishing, cyclone_tracks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AIS vessel registry</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TECH_HARDWARE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P4 Responsible Supply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mining_sites (mineral sourcing), e-waste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companies where sector = Technology</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FMCG_FOOD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P6 Environmental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deforestation_alerts, drought_index, water_stress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companies where sector = FMCG</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REAL_ESTATE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P6 Environmental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flood_forecast, sea_level_rise, heat_extreme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companies where sector = Real Estate</w:t>
            </w:r>
          </w:p>
        </w:tc>
      </w:tr>
    </w:tbl>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13. Implementation Roadmap</w:t>
      </w:r>
    </w:p>
    <w:p>
      <w:pPr>
        <w:pStyle w:val="Heading2"/>
        <w:spacing w:before="360" w:after="160"/>
      </w:pPr>
      <w:r>
        <w:rPr>
          <w:rFonts w:ascii="Arial" w:cs="Arial" w:eastAsia="Arial" w:hAnsi="Arial"/>
          <w:b/>
          <w:bCs/>
          <w:color w:val="0A2540"/>
          <w:sz w:val="34"/>
          <w:szCs w:val="34"/>
        </w:rPr>
        <w:t xml:space="preserve">Sprint 0 (Week 1–2): Foundation</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Install CesiumJS + resium. Create CesiumGlobe.jsx to co-exist with existing GlobeTab.jsx.</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Set up GDELT 15-minute ingestion pipeline. Store in Postgres gdelt_events table with PostGIS geometry column.</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Integrate NASA FIRMS VIIRS endpoint. Create /api/disasters/fires route with 3hr TTL.</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Install satellite.js. Create satellite-propagator.worker.js. Test TLE fetch from CelesTrak for ISS.</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Sprint 1 (Week 3–4): Disaster Intelligence</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Go live with 6 disaster layers: fires, earthquakes, floods, cyclones, volcanoes, tsunamis.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Implement Disaster Intelligence Score (DIS) computation in convergence.worker.js.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Build disaster-to-company proximity engine. Wire up Trust UI queue for corporate proximity alerts.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Launch upgraded bootstrap hydration with 3-tier parallel fetch.</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Sprint 2 (Week 5–6): Weather and Satellites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Integrate GPM IMERG precipitation as CesiumJS WMS imagery layer.</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Go live with 5 atmospheric layers: NO2, methane, CO2, temperature anomaly, drought index.</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Launch 4 satellite layer groups (earth obs, climate, AIS, navigation) with live SGP4 propagation.</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Implement satellite-to-data-feed correlation (which satellite is generating which layer's data).</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Sprint 3 (Week 7–8): Biodiversity</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Process GBIF bulk download. Pre-compute H3 res-2 through res-5 biodiversity richness. Load to Postgres.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Integrate IUCN Red List API. Build facility-to-species proximity intersection. Store in new biodiversity_risks table.</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Load WDPA protected areas as CesiumJS polygon layer. Compute company-to-PA proximity.</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Launch TNFD risk score in Audit Tab company deep-dive panel.</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Sprint 4 (Week 9–10): Intelligence and AI</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Full GDELT integration with company name entity extraction and sector tagging.</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Launch Greenwash Velocity Index. Surface in globe ring colour.</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Build 5-layer AI summary chain. Wire L1 tooltips to ONNX in browser.</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Launch Daily Intelligence Report (L4) scheduled generation.</w:t>
      </w:r>
    </w:p>
    <w:p>
      <w:pPr>
        <w:spacing w:before="0" w:after="100"/>
      </w:pPr>
      <w:r>
        <w:t xml:space="preserve"/>
      </w:r>
    </w:p>
    <w:p>
      <w:pPr>
        <w:pStyle w:val="Heading2"/>
        <w:spacing w:before="360" w:after="160"/>
      </w:pPr>
      <w:r>
        <w:rPr>
          <w:rFonts w:ascii="Arial" w:cs="Arial" w:eastAsia="Arial" w:hAnsi="Arial"/>
          <w:b/>
          <w:bCs/>
          <w:color w:val="0A2540"/>
          <w:sz w:val="34"/>
          <w:szCs w:val="34"/>
        </w:rPr>
        <w:t xml:space="preserve">Sprint 5 (Week 11–12): Smart City SDK</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Refactor Indore tab into city SDK. Test config-driven deployment with Mumbai as second city.</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Integrate IMD and CPCB Indore-specific feeds as real data sources.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BRSR Filing Assistant (L5) beta — generate P6 draft from GreenOrb data for 3 pilot companies.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Full performance audit. Layer tier enforcement. Adaptive quality on slow connections.</w:t>
      </w:r>
    </w:p>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14. Data Ethics and Responsible Use Guidelines</w:t>
      </w:r>
    </w:p>
    <w:p>
      <w:pPr>
        <w:spacing w:before="80" w:after="120" w:line="320"/>
      </w:pPr>
      <w:r>
        <w:rPr>
          <w:rFonts w:ascii="Arial" w:cs="Arial" w:eastAsia="Arial" w:hAnsi="Arial"/>
          <w:b w:val="false"/>
          <w:bCs w:val="false"/>
          <w:i w:val="false"/>
          <w:iCs w:val="false"/>
          <w:color w:val="475569"/>
          <w:sz w:val="22"/>
          <w:szCs w:val="22"/>
        </w:rPr>
        <w:t xml:space="preserve">GreenOrb's expanded data coverage raises important questions about responsible data use. As a platform claiming to expose greenwashing and corporate environmental harm, GreenOrb must hold itself to the same standard of evidence and epistemic honesty it demands of the companies it audits.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3A" w:sz="3"/>
              <w:left w:val="single" w:color="1B6B3A" w:sz="12"/>
              <w:bottom w:val="single" w:color="1B6B3A" w:sz="3"/>
              <w:right w:val="none"/>
            </w:tcBorders>
            <w:shd w:fill="F0FDF4" w:val="clear"/>
            <w:tcMar>
              <w:top w:type="dxa" w:w="120"/>
              <w:left w:type="dxa" w:w="200"/>
              <w:bottom w:type="dxa" w:w="120"/>
              <w:right w:type="dxa" w:w="200"/>
            </w:tcMar>
          </w:tcPr>
          <w:p>
            <w:pPr>
              <w:spacing w:before="0" w:after="60"/>
            </w:pPr>
            <w:r>
              <w:rPr>
                <w:rFonts w:ascii="Arial" w:cs="Arial" w:eastAsia="Arial" w:hAnsi="Arial"/>
                <w:b/>
                <w:bCs/>
                <w:color w:val="1B6B3A"/>
                <w:sz w:val="20"/>
                <w:szCs w:val="20"/>
              </w:rPr>
              <w:t xml:space="preserve">Core Principle</w:t>
            </w:r>
          </w:p>
          <w:p>
            <w:pPr>
              <w:spacing w:before="0" w:after="0"/>
            </w:pPr>
            <w:r>
              <w:rPr>
                <w:rFonts w:ascii="Arial" w:cs="Arial" w:eastAsia="Arial" w:hAnsi="Arial"/>
                <w:color w:val="475569"/>
                <w:sz w:val="21"/>
                <w:szCs w:val="21"/>
              </w:rPr>
              <w:t xml:space="preserve">GreenOrb is an intelligence platform, not an enforcement platform. Every verdict, risk score, and convergence alert must carry an explicit confidence level, a traceable evidence chain, and a human-auditor override mechanism. The Trust UI is not optional — it is the epistemic backbone of the entire system.</w:t>
            </w:r>
          </w:p>
        </w:tc>
      </w:tr>
    </w:tbl>
    <w:p>
      <w:pPr>
        <w:spacing w:before="0" w:after="100"/>
      </w:pPr>
      <w:r>
        <w:t xml:space="preserve"/>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Accuracy-before-speed: When satellite data shows a potential emissions anomaly near a facility, the AI summary must state the detection method, the satellite and overpass time, the confidence of the attribution, and any known confounders (e.g., dust storm vs. industrial emission).</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Attribution uncertainty: GDELT articles may misattribute events to companies, especially in low-resource languages. All GDELT-derived findings must be flagged with 'requires human verification' until a Trust UI auditor confirms.</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Biodiversity data limitations: GBIF species occurrence data has massive geographic biases — well-sampled regions (Europe, North America) will show artificially high richness compared to under-sampled regions (Central Africa, Central Asia). All biodiversity metrics must display a sampling bias indicator.</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No weaponisation: GreenOrb data must not be used to enable discrimination against employees, to coordinate market manipulation (short-selling triggered by GreenOrb alerts), or to identify individuals based on GPS/location data. All spatial data is aggregated at minimum H3 resolution-6 before display.</w:t>
      </w:r>
    </w:p>
    <w:p>
      <w:pPr>
        <w:spacing w:before="60" w:after="60"/>
        <w:ind w:left="440" w:hanging="300"/>
      </w:pPr>
      <w:r>
        <w:rPr>
          <w:rFonts w:ascii="Arial" w:cs="Arial" w:eastAsia="Arial" w:hAnsi="Arial"/>
          <w:color w:val="1B72BE"/>
          <w:sz w:val="22"/>
          <w:szCs w:val="22"/>
        </w:rPr>
        <w:t xml:space="preserve">▸  </w:t>
      </w:r>
      <w:r>
        <w:rPr>
          <w:rFonts w:ascii="Arial" w:cs="Arial" w:eastAsia="Arial" w:hAnsi="Arial"/>
          <w:color w:val="475569"/>
          <w:sz w:val="22"/>
          <w:szCs w:val="22"/>
        </w:rPr>
        <w:t xml:space="preserve">Right to respond: Any company with an active audit in GreenOrb has the right to submit a response to any AI-generated finding via the Trust UI. This response is displayed alongside the finding and incorporated into the final verdict.</w:t>
      </w:r>
    </w:p>
    <w:p>
      <w:pPr>
        <w:spacing w:before="0" w:after="100"/>
      </w:pPr>
      <w:r>
        <w:t xml:space="preserve"/>
      </w:r>
    </w:p>
    <w:p>
      <w:pPr>
        <w:pBdr>
          <w:bottom w:val="single" w:color="CBD5E1" w:sz="4" w:space="1"/>
        </w:pBdr>
        <w:spacing w:before="240" w:after="240"/>
      </w:pPr>
    </w:p>
    <w:p>
      <w:pPr>
        <w:pStyle w:val="Heading1"/>
        <w:spacing w:before="480" w:after="200"/>
      </w:pPr>
      <w:r>
        <w:rPr>
          <w:rFonts w:ascii="Arial" w:cs="Arial" w:eastAsia="Arial" w:hAnsi="Arial"/>
          <w:b/>
          <w:bCs/>
          <w:color w:val="0A2540"/>
          <w:sz w:val="44"/>
          <w:szCs w:val="44"/>
        </w:rPr>
        <w:t xml:space="preserve">15. Closing — The Platform Only GreenOrb Can Build</w:t>
      </w:r>
    </w:p>
    <w:p>
      <w:pPr>
        <w:spacing w:before="80" w:after="120" w:line="320"/>
      </w:pPr>
      <w:r>
        <w:rPr>
          <w:rFonts w:ascii="Arial" w:cs="Arial" w:eastAsia="Arial" w:hAnsi="Arial"/>
          <w:b w:val="false"/>
          <w:bCs w:val="false"/>
          <w:i w:val="false"/>
          <w:iCs w:val="false"/>
          <w:color w:val="475569"/>
          <w:sz w:val="22"/>
          <w:szCs w:val="22"/>
        </w:rPr>
        <w:t xml:space="preserve">Every data source described in this document is free, open, or low-cost. CesiumJS is open source. GBIF is CC BY 4.0. GDELT is free. GPM IMERG is free. USGS earthquake data is free. The data infrastructure cost of building the platform described here is under $500/month in cloud compute and API costs.</w:t>
      </w:r>
    </w:p>
    <w:p>
      <w:pPr>
        <w:spacing w:before="0" w:after="100"/>
      </w:pPr>
      <w:r>
        <w:t xml:space="preserve"/>
      </w:r>
    </w:p>
    <w:p>
      <w:pPr>
        <w:spacing w:before="80" w:after="120" w:line="320"/>
      </w:pPr>
      <w:r>
        <w:rPr>
          <w:rFonts w:ascii="Arial" w:cs="Arial" w:eastAsia="Arial" w:hAnsi="Arial"/>
          <w:b w:val="false"/>
          <w:bCs w:val="false"/>
          <w:i w:val="false"/>
          <w:iCs w:val="false"/>
          <w:color w:val="475569"/>
          <w:sz w:val="22"/>
          <w:szCs w:val="22"/>
        </w:rPr>
        <w:t xml:space="preserve">What makes GreenOrb unique is not the data sources — it is the synthesis. No other product simultaneously ingests corporate ESG disclosures, satellite physical evidence, species range data, disaster event streams, precipitation anomalies, and news media velocity, and applies machine learning to find convergences across all of them. That synthesis — the automated cross-domain intelligence that asks 'what does the rain data, the satellite imagery, the news coverage, and the company's Scope 3 disclosure together tell us about what this company is actually doing to the planet?' — is a capability that currently requires a team of 20 analysts to produce manually.</w:t>
      </w:r>
    </w:p>
    <w:p>
      <w:pPr>
        <w:spacing w:before="0" w:after="100"/>
      </w:pPr>
      <w:r>
        <w:t xml:space="preserve"/>
      </w:r>
    </w:p>
    <w:p>
      <w:pPr>
        <w:spacing w:before="80" w:after="120" w:line="320"/>
      </w:pPr>
      <w:r>
        <w:rPr>
          <w:rFonts w:ascii="Arial" w:cs="Arial" w:eastAsia="Arial" w:hAnsi="Arial"/>
          <w:b w:val="false"/>
          <w:bCs w:val="false"/>
          <w:i w:val="false"/>
          <w:iCs w:val="false"/>
          <w:color w:val="475569"/>
          <w:sz w:val="22"/>
          <w:szCs w:val="22"/>
        </w:rPr>
        <w:t xml:space="preserve">GreenOrb automates that team. And it does so transparently, with every finding traceable to a primary source, every verdict subject to human override, and every data limitation disclosed to the user.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3"/>
              <w:left w:val="single" w:color="D97706" w:sz="12"/>
              <w:bottom w:val="single" w:color="D97706" w:sz="3"/>
              <w:right w:val="none"/>
            </w:tcBorders>
            <w:shd w:fill="FFFBEB" w:val="clear"/>
            <w:tcMar>
              <w:top w:type="dxa" w:w="120"/>
              <w:left w:type="dxa" w:w="200"/>
              <w:bottom w:type="dxa" w:w="120"/>
              <w:right w:type="dxa" w:w="200"/>
            </w:tcMar>
          </w:tcPr>
          <w:p>
            <w:pPr>
              <w:spacing w:before="0" w:after="60"/>
            </w:pPr>
            <w:r>
              <w:rPr>
                <w:rFonts w:ascii="Arial" w:cs="Arial" w:eastAsia="Arial" w:hAnsi="Arial"/>
                <w:b/>
                <w:bCs/>
                <w:color w:val="D97706"/>
                <w:sz w:val="20"/>
                <w:szCs w:val="20"/>
              </w:rPr>
              <w:t xml:space="preserve">Final Recommendation</w:t>
            </w:r>
          </w:p>
          <w:p>
            <w:pPr>
              <w:spacing w:before="0" w:after="0"/>
            </w:pPr>
            <w:r>
              <w:rPr>
                <w:rFonts w:ascii="Arial" w:cs="Arial" w:eastAsia="Arial" w:hAnsi="Arial"/>
                <w:color w:val="475569"/>
                <w:sz w:val="21"/>
                <w:szCs w:val="21"/>
              </w:rPr>
              <w:t xml:space="preserve">Prioritise Sprint 0 + Sprint 1 above all else. A globe with real disaster intelligence, company-proximity alerts, and working satellite orbits is already a product that no existing ESG tool has. The additional layers described in Sprints 2–5 compound value on top of that foundation. Ship the foundation first.</w:t>
            </w:r>
          </w:p>
        </w:tc>
      </w:tr>
    </w:tbl>
    <w:p>
      <w:pPr>
        <w:spacing w:before="0" w:after="200"/>
      </w:pPr>
      <w:r>
        <w:t xml:space="preserve"/>
      </w:r>
    </w:p>
    <w:p>
      <w:pPr>
        <w:spacing w:before="240" w:after="0"/>
        <w:jc w:val="center"/>
      </w:pPr>
      <w:r>
        <w:rPr>
          <w:rFonts w:ascii="Arial" w:cs="Arial" w:eastAsia="Arial" w:hAnsi="Arial"/>
          <w:i/>
          <w:iCs/>
          <w:color w:val="64748B"/>
          <w:sz w:val="20"/>
          <w:szCs w:val="20"/>
        </w:rPr>
        <w:t xml:space="preserve">— END OF DOCUMENT —</w:t>
      </w:r>
    </w:p>
    <w:p>
      <w:pPr>
        <w:spacing w:before="80" w:after="0"/>
        <w:jc w:val="center"/>
      </w:pPr>
      <w:r>
        <w:rPr>
          <w:rFonts w:ascii="Arial" w:cs="Arial" w:eastAsia="Arial" w:hAnsi="Arial"/>
          <w:color w:val="64748B"/>
          <w:sz w:val="18"/>
          <w:szCs w:val="18"/>
        </w:rPr>
        <w:t xml:space="preserve">GreenOrb Planetary Intelligence Platform  |  Version 2.0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A2540"/>
      <w:sz w:val="44"/>
      <w:szCs w:val="44"/>
    </w:rPr>
  </w:style>
  <w:style w:type="paragraph" w:styleId="Heading2">
    <w:name w:val="Heading 2"/>
    <w:basedOn w:val="Normal"/>
    <w:next w:val="Normal"/>
    <w:qFormat/>
    <w:pPr>
      <w:spacing w:before="360" w:after="160"/>
      <w:outlineLvl w:val="1"/>
    </w:pPr>
    <w:rPr>
      <w:rFonts w:ascii="Arial" w:cs="Arial" w:eastAsia="Arial" w:hAnsi="Arial"/>
      <w:b/>
      <w:bCs/>
      <w:color w:val="1A4E7A"/>
      <w:sz w:val="34"/>
      <w:szCs w:val="34"/>
    </w:rPr>
  </w:style>
  <w:style w:type="paragraph" w:styleId="Heading3">
    <w:name w:val="Heading 3"/>
    <w:basedOn w:val="Normal"/>
    <w:next w:val="Normal"/>
    <w:qFormat/>
    <w:pPr>
      <w:spacing w:before="280" w:after="120"/>
      <w:outlineLvl w:val="2"/>
    </w:pPr>
    <w:rPr>
      <w:rFonts w:ascii="Arial" w:cs="Arial" w:eastAsia="Arial" w:hAnsi="Arial"/>
      <w:b/>
      <w:bCs/>
      <w:color w:val="1B72BE"/>
      <w:sz w:val="28"/>
      <w:szCs w:val="28"/>
    </w:rPr>
  </w:style>
  <w:style w:type="paragraph" w:styleId="Heading4">
    <w:name w:val="Heading 4"/>
    <w:basedOn w:val="Normal"/>
    <w:next w:val="Normal"/>
    <w:qFormat/>
    <w:pPr>
      <w:spacing w:before="200" w:after="80"/>
      <w:outlineLvl w:val="3"/>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2026-03-21T18:49:10.785Z</dcterms:created>
  <dcterms:modified xsi:type="dcterms:W3CDTF">2026-03-21T18:49:10.786Z</dcterms:modified>
</cp:coreProperties>
</file>

<file path=docProps/custom.xml><?xml version="1.0" encoding="utf-8"?>
<Properties xmlns="http://schemas.openxmlformats.org/officeDocument/2006/custom-properties" xmlns:vt="http://schemas.openxmlformats.org/officeDocument/2006/docPropsVTypes"/>
</file>