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LearnPulse AI</w:t>
      </w:r>
    </w:p>
    <w:p>
      <w:pPr>
        <w:jc w:val="center"/>
      </w:pPr>
      <w:r>
        <w:rPr>
          <w:b/>
          <w:sz w:val="28"/>
        </w:rPr>
        <w:t>Week 5 Report: API Development, Logging, and Docker Deployment</w:t>
      </w:r>
    </w:p>
    <w:p>
      <w:pPr>
        <w:jc w:val="center"/>
      </w:pPr>
      <w:r>
        <w:rPr>
          <w:i/>
        </w:rPr>
        <w:t>Early Warning System for Student Engagement and Dropout Risk Prediction</w:t>
      </w:r>
    </w:p>
    <w:p>
      <w:pPr>
        <w:pStyle w:val="Heading1"/>
      </w:pPr>
      <w:r>
        <w:t>1. Executive Summary</w:t>
      </w:r>
    </w:p>
    <w:p>
      <w:r>
        <w:t>Week 5 focused on packaging the LearnPulse AI prediction workflow as a backend service that other software can call. The implementation work included exposing prediction functionality through FastAPI, documenting the API with automatically generated interactive documentation, adding root and health endpoints, validating prediction requests, preparing logging, and packaging the service in Docker.</w:t>
      </w:r>
    </w:p>
    <w:p>
      <w:r>
        <w:t>The API was run locally and its interactive documentation was accessed at http://127.0.0.1:8000/docs. The root endpoint returned a service message and documentation reference. A prediction request with missing fields returned a 422 validation response indicating missing features; a complete sample request subsequently returned a prediction. The Docker image was built successfully with `docker build -t learnpulse-api:1.0 "./week 5"`. These results show local implementation and image-build checks, not public production deployment or independently measured model accuracy.</w:t>
      </w:r>
    </w:p>
    <w:p>
      <w:pPr>
        <w:pStyle w:val="Heading1"/>
      </w:pPr>
      <w:r>
        <w:t>2. Project Background</w:t>
      </w:r>
    </w:p>
    <w:p>
      <w:r>
        <w:t>LearnPulse AI is an early warning system prototype intended to help educational institutions identify students who may benefit from timely academic support. The project uses the Open University Learning Analytics Dataset (OULAD), which includes student information, registration records, assessment data, and virtual learning environment activity. Earlier stages prepared data and trained a classifier. Week 5 moved the workflow from notebook-based experimentation toward an API that can be integrated with another application.</w:t>
      </w:r>
    </w:p>
    <w:p>
      <w:r>
        <w:t>A prediction is only a model-generated estimate based on supplied features. It should be treated as a decision-support signal, not a definitive statement about a student's ability or future. A real deployment would require careful evaluation, privacy safeguards, monitoring, and human review.</w:t>
      </w:r>
    </w:p>
    <w:p>
      <w:pPr>
        <w:pStyle w:val="Heading1"/>
      </w:pPr>
      <w:r>
        <w:t>3. Objectives</w:t>
      </w:r>
    </w:p>
    <w:p>
      <w:pPr>
        <w:pStyle w:val="ListBullet"/>
      </w:pPr>
      <w:r>
        <w:t>Expose prediction functionality through a FastAPI application.</w:t>
      </w:r>
    </w:p>
    <w:p>
      <w:pPr>
        <w:pStyle w:val="ListBullet"/>
      </w:pPr>
      <w:r>
        <w:t>Provide a root endpoint describing the service and pointing to the API documentation.</w:t>
      </w:r>
    </w:p>
    <w:p>
      <w:pPr>
        <w:pStyle w:val="ListBullet"/>
      </w:pPr>
      <w:r>
        <w:t>Provide a health endpoint for a basic availability check.</w:t>
      </w:r>
    </w:p>
    <w:p>
      <w:pPr>
        <w:pStyle w:val="ListBullet"/>
      </w:pPr>
      <w:r>
        <w:t>Provide a POST prediction endpoint with structured request validation.</w:t>
      </w:r>
    </w:p>
    <w:p>
      <w:pPr>
        <w:pStyle w:val="ListBullet"/>
      </w:pPr>
      <w:r>
        <w:t>Return useful validation errors for missing or invalid input.</w:t>
      </w:r>
    </w:p>
    <w:p>
      <w:pPr>
        <w:pStyle w:val="ListBullet"/>
      </w:pPr>
      <w:r>
        <w:t>Capture operational events and errors in logs.</w:t>
      </w:r>
    </w:p>
    <w:p>
      <w:pPr>
        <w:pStyle w:val="ListBullet"/>
      </w:pPr>
      <w:r>
        <w:t>Package the API and dependencies into a Docker image.</w:t>
      </w:r>
    </w:p>
    <w:p>
      <w:pPr>
        <w:pStyle w:val="ListBullet"/>
      </w:pPr>
      <w:r>
        <w:t>Document setup, testing, limitations, and next steps.</w:t>
      </w:r>
    </w:p>
    <w:p>
      <w:pPr>
        <w:pStyle w:val="Heading1"/>
      </w:pPr>
      <w:r>
        <w:t>4. Technology Stack and Project Files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sz w:val="20"/>
              </w:rPr>
              <w:t>Component</w:t>
            </w:r>
          </w:p>
        </w:tc>
        <w:tc>
          <w:tcPr>
            <w:tcW w:type="dxa" w:w="4896"/>
          </w:tcPr>
          <w:p>
            <w:r>
              <w:rPr>
                <w:rFonts w:ascii="Times New Roman" w:hAnsi="Times New Roman"/>
                <w:sz w:val="20"/>
              </w:rPr>
              <w:t>Purpose</w:t>
            </w:r>
          </w:p>
        </w:tc>
      </w:tr>
      <w:tr>
        <w:tc>
          <w:tcPr>
            <w:tcW w:type="dxa" w:w="4896"/>
          </w:tcPr>
          <w:p>
            <w:r>
              <w:rPr>
                <w:rFonts w:ascii="Times New Roman" w:hAnsi="Times New Roman"/>
                <w:sz w:val="20"/>
              </w:rPr>
              <w:t>Python</w:t>
            </w:r>
          </w:p>
        </w:tc>
        <w:tc>
          <w:tcPr>
            <w:tcW w:type="dxa" w:w="4896"/>
          </w:tcPr>
          <w:p>
            <w:r>
              <w:rPr>
                <w:rFonts w:ascii="Times New Roman" w:hAnsi="Times New Roman"/>
                <w:sz w:val="20"/>
              </w:rPr>
              <w:t>Application language and model-serving logic.</w:t>
            </w:r>
          </w:p>
        </w:tc>
      </w:tr>
      <w:tr>
        <w:tc>
          <w:tcPr>
            <w:tcW w:type="dxa" w:w="4896"/>
          </w:tcPr>
          <w:p>
            <w:r>
              <w:rPr>
                <w:rFonts w:ascii="Times New Roman" w:hAnsi="Times New Roman"/>
                <w:sz w:val="20"/>
              </w:rPr>
              <w:t>FastAPI</w:t>
            </w:r>
          </w:p>
        </w:tc>
        <w:tc>
          <w:tcPr>
            <w:tcW w:type="dxa" w:w="4896"/>
          </w:tcPr>
          <w:p>
            <w:r>
              <w:rPr>
                <w:rFonts w:ascii="Times New Roman" w:hAnsi="Times New Roman"/>
                <w:sz w:val="20"/>
              </w:rPr>
              <w:t>HTTP routes, request handling, and API schema.</w:t>
            </w:r>
          </w:p>
        </w:tc>
      </w:tr>
      <w:tr>
        <w:tc>
          <w:tcPr>
            <w:tcW w:type="dxa" w:w="4896"/>
          </w:tcPr>
          <w:p>
            <w:r>
              <w:rPr>
                <w:rFonts w:ascii="Times New Roman" w:hAnsi="Times New Roman"/>
                <w:sz w:val="20"/>
              </w:rPr>
              <w:t>Uvicorn</w:t>
            </w:r>
          </w:p>
        </w:tc>
        <w:tc>
          <w:tcPr>
            <w:tcW w:type="dxa" w:w="4896"/>
          </w:tcPr>
          <w:p>
            <w:r>
              <w:rPr>
                <w:rFonts w:ascii="Times New Roman" w:hAnsi="Times New Roman"/>
                <w:sz w:val="20"/>
              </w:rPr>
              <w:t>ASGI server used to run the app locally.</w:t>
            </w:r>
          </w:p>
        </w:tc>
      </w:tr>
      <w:tr>
        <w:tc>
          <w:tcPr>
            <w:tcW w:type="dxa" w:w="4896"/>
          </w:tcPr>
          <w:p>
            <w:r>
              <w:rPr>
                <w:rFonts w:ascii="Times New Roman" w:hAnsi="Times New Roman"/>
                <w:sz w:val="20"/>
              </w:rPr>
              <w:t>Pydantic/FastAPI validation</w:t>
            </w:r>
          </w:p>
        </w:tc>
        <w:tc>
          <w:tcPr>
            <w:tcW w:type="dxa" w:w="4896"/>
          </w:tcPr>
          <w:p>
            <w:r>
              <w:rPr>
                <w:rFonts w:ascii="Times New Roman" w:hAnsi="Times New Roman"/>
                <w:sz w:val="20"/>
              </w:rPr>
              <w:t>Checks request structure and required fields.</w:t>
            </w:r>
          </w:p>
        </w:tc>
      </w:tr>
      <w:tr>
        <w:tc>
          <w:tcPr>
            <w:tcW w:type="dxa" w:w="4896"/>
          </w:tcPr>
          <w:p>
            <w:r>
              <w:rPr>
                <w:rFonts w:ascii="Times New Roman" w:hAnsi="Times New Roman"/>
                <w:sz w:val="20"/>
              </w:rPr>
              <w:t>Joblib model artifact</w:t>
            </w:r>
          </w:p>
        </w:tc>
        <w:tc>
          <w:tcPr>
            <w:tcW w:type="dxa" w:w="4896"/>
          </w:tcPr>
          <w:p>
            <w:r>
              <w:rPr>
                <w:rFonts w:ascii="Times New Roman" w:hAnsi="Times New Roman"/>
                <w:sz w:val="20"/>
              </w:rPr>
              <w:t>Saved model at `models/learnpulse_model.joblib`.</w:t>
            </w:r>
          </w:p>
        </w:tc>
      </w:tr>
      <w:tr>
        <w:tc>
          <w:tcPr>
            <w:tcW w:type="dxa" w:w="4896"/>
          </w:tcPr>
          <w:p>
            <w:r>
              <w:rPr>
                <w:rFonts w:ascii="Times New Roman" w:hAnsi="Times New Roman"/>
                <w:sz w:val="20"/>
              </w:rPr>
              <w:t>Docker</w:t>
            </w:r>
          </w:p>
        </w:tc>
        <w:tc>
          <w:tcPr>
            <w:tcW w:type="dxa" w:w="4896"/>
          </w:tcPr>
          <w:p>
            <w:r>
              <w:rPr>
                <w:rFonts w:ascii="Times New Roman" w:hAnsi="Times New Roman"/>
                <w:sz w:val="20"/>
              </w:rPr>
              <w:t>Packages runtime and application dependencies.</w:t>
            </w:r>
          </w:p>
        </w:tc>
      </w:tr>
      <w:tr>
        <w:tc>
          <w:tcPr>
            <w:tcW w:type="dxa" w:w="4896"/>
          </w:tcPr>
          <w:p>
            <w:r>
              <w:rPr>
                <w:rFonts w:ascii="Times New Roman" w:hAnsi="Times New Roman"/>
                <w:sz w:val="20"/>
              </w:rPr>
              <w:t>app.py</w:t>
            </w:r>
          </w:p>
        </w:tc>
        <w:tc>
          <w:tcPr>
            <w:tcW w:type="dxa" w:w="4896"/>
          </w:tcPr>
          <w:p>
            <w:r>
              <w:rPr>
                <w:rFonts w:ascii="Times New Roman" w:hAnsi="Times New Roman"/>
                <w:sz w:val="20"/>
              </w:rPr>
              <w:t>API routes and application logic.</w:t>
            </w:r>
          </w:p>
        </w:tc>
      </w:tr>
      <w:tr>
        <w:tc>
          <w:tcPr>
            <w:tcW w:type="dxa" w:w="4896"/>
          </w:tcPr>
          <w:p>
            <w:r>
              <w:rPr>
                <w:rFonts w:ascii="Times New Roman" w:hAnsi="Times New Roman"/>
                <w:sz w:val="20"/>
              </w:rPr>
              <w:t>requirements.txt</w:t>
            </w:r>
          </w:p>
        </w:tc>
        <w:tc>
          <w:tcPr>
            <w:tcW w:type="dxa" w:w="4896"/>
          </w:tcPr>
          <w:p>
            <w:r>
              <w:rPr>
                <w:rFonts w:ascii="Times New Roman" w:hAnsi="Times New Roman"/>
                <w:sz w:val="20"/>
              </w:rPr>
              <w:t>Python dependency list.</w:t>
            </w:r>
          </w:p>
        </w:tc>
      </w:tr>
      <w:tr>
        <w:tc>
          <w:tcPr>
            <w:tcW w:type="dxa" w:w="4896"/>
          </w:tcPr>
          <w:p>
            <w:r>
              <w:rPr>
                <w:rFonts w:ascii="Times New Roman" w:hAnsi="Times New Roman"/>
                <w:sz w:val="20"/>
              </w:rPr>
              <w:t>Dockerfile</w:t>
            </w:r>
          </w:p>
        </w:tc>
        <w:tc>
          <w:tcPr>
            <w:tcW w:type="dxa" w:w="4896"/>
          </w:tcPr>
          <w:p>
            <w:r>
              <w:rPr>
                <w:rFonts w:ascii="Times New Roman" w:hAnsi="Times New Roman"/>
                <w:sz w:val="20"/>
              </w:rPr>
              <w:t>Instructions for building the image.</w:t>
            </w:r>
          </w:p>
        </w:tc>
      </w:tr>
      <w:tr>
        <w:tc>
          <w:tcPr>
            <w:tcW w:type="dxa" w:w="4896"/>
          </w:tcPr>
          <w:p>
            <w:r>
              <w:rPr>
                <w:rFonts w:ascii="Times New Roman" w:hAnsi="Times New Roman"/>
                <w:sz w:val="20"/>
              </w:rPr>
              <w:t>.dockerignore</w:t>
            </w:r>
          </w:p>
        </w:tc>
        <w:tc>
          <w:tcPr>
            <w:tcW w:type="dxa" w:w="4896"/>
          </w:tcPr>
          <w:p>
            <w:r>
              <w:rPr>
                <w:rFonts w:ascii="Times New Roman" w:hAnsi="Times New Roman"/>
                <w:sz w:val="20"/>
              </w:rPr>
              <w:t>Excludes unnecessary local files from build context.</w:t>
            </w:r>
          </w:p>
        </w:tc>
      </w:tr>
      <w:tr>
        <w:tc>
          <w:tcPr>
            <w:tcW w:type="dxa" w:w="4896"/>
          </w:tcPr>
          <w:p>
            <w:r>
              <w:rPr>
                <w:rFonts w:ascii="Times New Roman" w:hAnsi="Times New Roman"/>
                <w:sz w:val="20"/>
              </w:rPr>
              <w:t>logs/</w:t>
            </w:r>
          </w:p>
        </w:tc>
        <w:tc>
          <w:tcPr>
            <w:tcW w:type="dxa" w:w="4896"/>
          </w:tcPr>
          <w:p>
            <w:r>
              <w:rPr>
                <w:rFonts w:ascii="Times New Roman" w:hAnsi="Times New Roman"/>
                <w:sz w:val="20"/>
              </w:rPr>
              <w:t>Location intended for application/model/error logs.</w:t>
            </w:r>
          </w:p>
        </w:tc>
      </w:tr>
      <w:tr>
        <w:tc>
          <w:tcPr>
            <w:tcW w:type="dxa" w:w="4896"/>
          </w:tcPr>
          <w:p>
            <w:r>
              <w:rPr>
                <w:rFonts w:ascii="Times New Roman" w:hAnsi="Times New Roman"/>
                <w:sz w:val="20"/>
              </w:rPr>
              <w:t>save_model.py</w:t>
            </w:r>
          </w:p>
        </w:tc>
        <w:tc>
          <w:tcPr>
            <w:tcW w:type="dxa" w:w="4896"/>
          </w:tcPr>
          <w:p>
            <w:r>
              <w:rPr>
                <w:rFonts w:ascii="Times New Roman" w:hAnsi="Times New Roman"/>
                <w:sz w:val="20"/>
              </w:rPr>
              <w:t>Utility for saving/exporting the model artifact.</w:t>
            </w:r>
          </w:p>
        </w:tc>
      </w:tr>
    </w:tbl>
    <w:p>
      <w:pPr>
        <w:pStyle w:val="Heading1"/>
      </w:pPr>
      <w:r>
        <w:t>5. API Design</w:t>
      </w:r>
    </w:p>
    <w:p>
      <w:pPr>
        <w:pStyle w:val="Heading2"/>
      </w:pPr>
      <w:r>
        <w:t>5.1 Root endpoint — GET /</w:t>
      </w:r>
    </w:p>
    <w:p>
      <w:r>
        <w:t>The root endpoint provides a small service description. During local testing it returned JSON identifying the service as LearnPulse AI, describing it as a student-outcome prediction API, and pointing users to `/docs`. This gives developers a quick indication that the application is responding.</w:t>
      </w:r>
    </w:p>
    <w:p>
      <w:pPr>
        <w:pStyle w:val="Heading2"/>
      </w:pPr>
      <w:r>
        <w:t>5.2 Health endpoint — GET /health</w:t>
      </w:r>
    </w:p>
    <w:p>
      <w:r>
        <w:t>The health route is intended to provide a basic service availability check. For stronger operational confidence, it can be extended to verify that the model artifact loaded and that required dependencies are available. A successful HTTP response alone does not prove every dependency is healthy.</w:t>
      </w:r>
    </w:p>
    <w:p>
      <w:pPr>
        <w:pStyle w:val="Heading2"/>
      </w:pPr>
      <w:r>
        <w:t>5.3 Prediction endpoint — POST /predict</w:t>
      </w:r>
    </w:p>
    <w:p>
      <w:r>
        <w:t>The prediction endpoint accepts student-related input and returns the model's predicted outcome. The known feature names used by the project include `code_module`, `code_presentation`, `id_student`, `gender`, `region`, `highest_education`, `imd_band`, `age_band`, `num_of_prev_attempts`, `studied_credits`, `disability`, `average_score`, `assessment_count`, `total_clicks`, and `avg_clicks`.</w:t>
      </w:r>
    </w:p>
    <w:p>
      <w:r>
        <w:t>The feature names and types must match what the model expects. An incomplete request returned HTTP 422 and a `missing_features` indication. After a complete sample request was submitted, the prediction path succeeded. This is evidence of a functional smoke test, not a measurement of predictive quality. Model accuracy must be evaluated separately using an appropriate held-out dataset and suitable metrics.</w:t>
      </w:r>
    </w:p>
    <w:p>
      <w:pPr>
        <w:pStyle w:val="Heading1"/>
      </w:pPr>
      <w:r>
        <w:t>6. Local Testing and Observed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Times New Roman" w:hAnsi="Times New Roman"/>
                <w:sz w:val="18"/>
              </w:rPr>
              <w:t>Test</w:t>
            </w:r>
          </w:p>
        </w:tc>
        <w:tc>
          <w:tcPr>
            <w:tcW w:type="dxa" w:w="3264"/>
          </w:tcPr>
          <w:p>
            <w:r>
              <w:rPr>
                <w:rFonts w:ascii="Times New Roman" w:hAnsi="Times New Roman"/>
                <w:sz w:val="18"/>
              </w:rPr>
              <w:t>Observed result</w:t>
            </w:r>
          </w:p>
        </w:tc>
        <w:tc>
          <w:tcPr>
            <w:tcW w:type="dxa" w:w="3264"/>
          </w:tcPr>
          <w:p>
            <w:r>
              <w:rPr>
                <w:rFonts w:ascii="Times New Roman" w:hAnsi="Times New Roman"/>
                <w:sz w:val="18"/>
              </w:rPr>
              <w:t>Interpretation</w:t>
            </w:r>
          </w:p>
        </w:tc>
      </w:tr>
      <w:tr>
        <w:tc>
          <w:tcPr>
            <w:tcW w:type="dxa" w:w="3264"/>
          </w:tcPr>
          <w:p>
            <w:r>
              <w:rPr>
                <w:rFonts w:ascii="Times New Roman" w:hAnsi="Times New Roman"/>
                <w:sz w:val="18"/>
              </w:rPr>
              <w:t>Interactive documentation</w:t>
            </w:r>
          </w:p>
        </w:tc>
        <w:tc>
          <w:tcPr>
            <w:tcW w:type="dxa" w:w="3264"/>
          </w:tcPr>
          <w:p>
            <w:r>
              <w:rPr>
                <w:rFonts w:ascii="Times New Roman" w:hAnsi="Times New Roman"/>
                <w:sz w:val="18"/>
              </w:rPr>
              <w:t>Opened at `http://127.0.0.1:8000/docs`.</w:t>
            </w:r>
          </w:p>
        </w:tc>
        <w:tc>
          <w:tcPr>
            <w:tcW w:type="dxa" w:w="3264"/>
          </w:tcPr>
          <w:p>
            <w:r>
              <w:rPr>
                <w:rFonts w:ascii="Times New Roman" w:hAnsi="Times New Roman"/>
                <w:sz w:val="18"/>
              </w:rPr>
              <w:t>Local API schema was accessible.</w:t>
            </w:r>
          </w:p>
        </w:tc>
      </w:tr>
      <w:tr>
        <w:tc>
          <w:tcPr>
            <w:tcW w:type="dxa" w:w="3264"/>
          </w:tcPr>
          <w:p>
            <w:r>
              <w:rPr>
                <w:rFonts w:ascii="Times New Roman" w:hAnsi="Times New Roman"/>
                <w:sz w:val="18"/>
              </w:rPr>
              <w:t>GET /</w:t>
            </w:r>
          </w:p>
        </w:tc>
        <w:tc>
          <w:tcPr>
            <w:tcW w:type="dxa" w:w="3264"/>
          </w:tcPr>
          <w:p>
            <w:r>
              <w:rPr>
                <w:rFonts w:ascii="Times New Roman" w:hAnsi="Times New Roman"/>
                <w:sz w:val="18"/>
              </w:rPr>
              <w:t>Returned service name, message, and `/docs` reference.</w:t>
            </w:r>
          </w:p>
        </w:tc>
        <w:tc>
          <w:tcPr>
            <w:tcW w:type="dxa" w:w="3264"/>
          </w:tcPr>
          <w:p>
            <w:r>
              <w:rPr>
                <w:rFonts w:ascii="Times New Roman" w:hAnsi="Times New Roman"/>
                <w:sz w:val="18"/>
              </w:rPr>
              <w:t>Root route responded.</w:t>
            </w:r>
          </w:p>
        </w:tc>
      </w:tr>
      <w:tr>
        <w:tc>
          <w:tcPr>
            <w:tcW w:type="dxa" w:w="3264"/>
          </w:tcPr>
          <w:p>
            <w:r>
              <w:rPr>
                <w:rFonts w:ascii="Times New Roman" w:hAnsi="Times New Roman"/>
                <w:sz w:val="18"/>
              </w:rPr>
              <w:t>GET /health</w:t>
            </w:r>
          </w:p>
        </w:tc>
        <w:tc>
          <w:tcPr>
            <w:tcW w:type="dxa" w:w="3264"/>
          </w:tcPr>
          <w:p>
            <w:r>
              <w:rPr>
                <w:rFonts w:ascii="Times New Roman" w:hAnsi="Times New Roman"/>
                <w:sz w:val="18"/>
              </w:rPr>
              <w:t>Health route was implemented for service checks.</w:t>
            </w:r>
          </w:p>
        </w:tc>
        <w:tc>
          <w:tcPr>
            <w:tcW w:type="dxa" w:w="3264"/>
          </w:tcPr>
          <w:p>
            <w:r>
              <w:rPr>
                <w:rFonts w:ascii="Times New Roman" w:hAnsi="Times New Roman"/>
                <w:sz w:val="18"/>
              </w:rPr>
              <w:t>Rerun and capture its exact response before submission.</w:t>
            </w:r>
          </w:p>
        </w:tc>
      </w:tr>
      <w:tr>
        <w:tc>
          <w:tcPr>
            <w:tcW w:type="dxa" w:w="3264"/>
          </w:tcPr>
          <w:p>
            <w:r>
              <w:rPr>
                <w:rFonts w:ascii="Times New Roman" w:hAnsi="Times New Roman"/>
                <w:sz w:val="18"/>
              </w:rPr>
              <w:t>POST / with missing prediction fields</w:t>
            </w:r>
          </w:p>
        </w:tc>
        <w:tc>
          <w:tcPr>
            <w:tcW w:type="dxa" w:w="3264"/>
          </w:tcPr>
          <w:p>
            <w:r>
              <w:rPr>
                <w:rFonts w:ascii="Times New Roman" w:hAnsi="Times New Roman"/>
                <w:sz w:val="18"/>
              </w:rPr>
              <w:t>Returned HTTP 422 and missing-features information.</w:t>
            </w:r>
          </w:p>
        </w:tc>
        <w:tc>
          <w:tcPr>
            <w:tcW w:type="dxa" w:w="3264"/>
          </w:tcPr>
          <w:p>
            <w:r>
              <w:rPr>
                <w:rFonts w:ascii="Times New Roman" w:hAnsi="Times New Roman"/>
                <w:sz w:val="18"/>
              </w:rPr>
              <w:t>Validation caught incomplete input.</w:t>
            </w:r>
          </w:p>
        </w:tc>
      </w:tr>
      <w:tr>
        <w:tc>
          <w:tcPr>
            <w:tcW w:type="dxa" w:w="3264"/>
          </w:tcPr>
          <w:p>
            <w:r>
              <w:rPr>
                <w:rFonts w:ascii="Times New Roman" w:hAnsi="Times New Roman"/>
                <w:sz w:val="18"/>
              </w:rPr>
              <w:t>POST /predict with complete sample</w:t>
            </w:r>
          </w:p>
        </w:tc>
        <w:tc>
          <w:tcPr>
            <w:tcW w:type="dxa" w:w="3264"/>
          </w:tcPr>
          <w:p>
            <w:r>
              <w:rPr>
                <w:rFonts w:ascii="Times New Roman" w:hAnsi="Times New Roman"/>
                <w:sz w:val="18"/>
              </w:rPr>
              <w:t>A sample request returned a prediction.</w:t>
            </w:r>
          </w:p>
        </w:tc>
        <w:tc>
          <w:tcPr>
            <w:tcW w:type="dxa" w:w="3264"/>
          </w:tcPr>
          <w:p>
            <w:r>
              <w:rPr>
                <w:rFonts w:ascii="Times New Roman" w:hAnsi="Times New Roman"/>
                <w:sz w:val="18"/>
              </w:rPr>
              <w:t>Prediction path was exercised locally.</w:t>
            </w:r>
          </w:p>
        </w:tc>
      </w:tr>
      <w:tr>
        <w:tc>
          <w:tcPr>
            <w:tcW w:type="dxa" w:w="3264"/>
          </w:tcPr>
          <w:p>
            <w:r>
              <w:rPr>
                <w:rFonts w:ascii="Times New Roman" w:hAnsi="Times New Roman"/>
                <w:sz w:val="18"/>
              </w:rPr>
              <w:t>Docker build</w:t>
            </w:r>
          </w:p>
        </w:tc>
        <w:tc>
          <w:tcPr>
            <w:tcW w:type="dxa" w:w="3264"/>
          </w:tcPr>
          <w:p>
            <w:r>
              <w:rPr>
                <w:rFonts w:ascii="Times New Roman" w:hAnsi="Times New Roman"/>
                <w:sz w:val="18"/>
              </w:rPr>
              <w:t>`docker build -t learnpulse-api:1.0 "./week 5"` completed successfully.</w:t>
            </w:r>
          </w:p>
        </w:tc>
        <w:tc>
          <w:tcPr>
            <w:tcW w:type="dxa" w:w="3264"/>
          </w:tcPr>
          <w:p>
            <w:r>
              <w:rPr>
                <w:rFonts w:ascii="Times New Roman" w:hAnsi="Times New Roman"/>
                <w:sz w:val="18"/>
              </w:rPr>
              <w:t>Docker produced an image from the project build context.</w:t>
            </w:r>
          </w:p>
        </w:tc>
      </w:tr>
    </w:tbl>
    <w:p>
      <w:r>
        <w:t>The Docker build used a Python 3.11 slim base image and a build context of approximately 215.91 MB. This confirms the image build completed, but it does not establish that the container was launched or deployed to a production server. For a complete container test, run the image with port mapping and verify `/`, `/health`, `/docs`, and `/predict` from the running container.</w:t>
      </w:r>
    </w:p>
    <w:p>
      <w:pPr>
        <w:pStyle w:val="Heading1"/>
      </w:pPr>
      <w:r>
        <w:t>7. Logging and Error Handling</w:t>
      </w:r>
    </w:p>
    <w:p>
      <w:r>
        <w:t>Logs help developers understand how an API behaves outside a notebook. Useful events include application startup, request receipt, prediction completion, validation failures, unexpected exceptions, and model-loading errors. The project includes a logs directory and logging was part of the Week 5 requirements. Before submission, verify that the final code actually creates the expected log files during test requests.</w:t>
      </w:r>
    </w:p>
    <w:p>
      <w:r>
        <w:t>A validation problem should be reported as a client input error, while an unexpected exception should be logged for diagnosis and returned as a safe error response. Public responses should not expose stack traces, local file paths, secrets, or sensitive student details. Logs should avoid storing unnecessary personal information or complete student records. The exact logging behavior should be checked against the final version of `app.py` before claiming that every event type is fully covered.</w:t>
      </w:r>
    </w:p>
    <w:p>
      <w:pPr>
        <w:pStyle w:val="Heading1"/>
      </w:pPr>
      <w:r>
        <w:t>8. Docker Packaging</w:t>
      </w:r>
    </w:p>
    <w:p>
      <w:r>
        <w:t>Docker packages an application and its runtime dependencies into an image, making it easier to reproduce the environment on another machine. The Week 5 Dockerfile used `python:3.11-slim`, installed packages from `requirements.txt`, and prepared the application to run in a container. The `.dockerignore` file helps keep irrelevant files—such as caches and local virtual environments—out of the build context.</w:t>
      </w:r>
    </w:p>
    <w:p>
      <w:r>
        <w:t>The recorded build command was `docker build -t learnpulse-api:1.0 "./week 5"`. The successful build means Docker could process the Dockerfile and create an image. The next verification step is to launch the image and test the endpoints through the mapped host port. If the model artifact or log directory is needed at runtime, confirm that the container can read or write those paths as appropriate.</w:t>
      </w:r>
    </w:p>
    <w:p>
      <w:pPr>
        <w:pStyle w:val="Heading1"/>
      </w:pPr>
      <w:r>
        <w:t>9. Security, Privacy, and Responsible Use</w:t>
      </w:r>
    </w:p>
    <w:p>
      <w:pPr>
        <w:pStyle w:val="ListBullet"/>
      </w:pPr>
      <w:r>
        <w:t>Process only data the project is authorized to use and minimize the information sent to the API.</w:t>
      </w:r>
    </w:p>
    <w:p>
      <w:pPr>
        <w:pStyle w:val="ListBullet"/>
      </w:pPr>
      <w:r>
        <w:t>Avoid placing student identifiers or full request bodies in routine logs; use redaction or pseudonymous identifiers where possible.</w:t>
      </w:r>
    </w:p>
    <w:p>
      <w:pPr>
        <w:pStyle w:val="ListBullet"/>
      </w:pPr>
      <w:r>
        <w:t>Never commit secrets, credentials, private records, or sensitive raw data to GitHub.</w:t>
      </w:r>
    </w:p>
    <w:p>
      <w:pPr>
        <w:pStyle w:val="ListBullet"/>
      </w:pPr>
      <w:r>
        <w:t>Use authentication, rate limits, HTTPS, and access controls before exposing the service beyond a trusted local environment.</w:t>
      </w:r>
    </w:p>
    <w:p>
      <w:pPr>
        <w:pStyle w:val="ListBullet"/>
      </w:pPr>
      <w:r>
        <w:t>Document dependency and model versions to support reproducibility.</w:t>
      </w:r>
    </w:p>
    <w:p>
      <w:pPr>
        <w:pStyle w:val="ListBullet"/>
      </w:pPr>
      <w:r>
        <w:t>Treat predictions as prompts for supportive human review, not as automatic grounds for punishment or denial of opportunities.</w:t>
      </w:r>
    </w:p>
    <w:p>
      <w:pPr>
        <w:pStyle w:val="ListBullet"/>
      </w:pPr>
      <w:r>
        <w:t>Monitor performance across groups and over time; a working endpoint does not prove fairness or accuracy.</w:t>
      </w:r>
    </w:p>
    <w:p>
      <w:pPr>
        <w:pStyle w:val="Heading1"/>
      </w:pPr>
      <w:r>
        <w:t>10. Limitations and Future Improvements</w:t>
      </w:r>
    </w:p>
    <w:p>
      <w:r>
        <w:t>The completed work demonstrates local API development, a successful sample prediction, and successful Docker image construction. It does not prove public hosting, production readiness, high availability, load capacity, authentication, or a formal service-level objective. One successful sample request is a functional check, not a full evaluation of predictive quality. The underlying dataset and feature engineering also require review because engagement data can be delayed, incomplete, or misinterpreted.</w:t>
      </w:r>
    </w:p>
    <w:p>
      <w:pPr>
        <w:pStyle w:val="ListBullet"/>
      </w:pPr>
      <w:r>
        <w:t>Add automated unit and integration tests for valid and invalid requests.</w:t>
      </w:r>
    </w:p>
    <w:p>
      <w:pPr>
        <w:pStyle w:val="ListBullet"/>
      </w:pPr>
      <w:r>
        <w:t>Run the built Docker image and test every endpoint inside the container.</w:t>
      </w:r>
    </w:p>
    <w:p>
      <w:pPr>
        <w:pStyle w:val="ListBullet"/>
      </w:pPr>
      <w:r>
        <w:t>Use structured logs with timestamps, severity levels, and request identifiers.</w:t>
      </w:r>
    </w:p>
    <w:p>
      <w:pPr>
        <w:pStyle w:val="ListBullet"/>
      </w:pPr>
      <w:r>
        <w:t>Check model loading at startup and implement safe exception handling.</w:t>
      </w:r>
    </w:p>
    <w:p>
      <w:pPr>
        <w:pStyle w:val="ListBullet"/>
      </w:pPr>
      <w:r>
        <w:t>Pin dependency versions and check dependencies for known vulnerabilities.</w:t>
      </w:r>
    </w:p>
    <w:p>
      <w:pPr>
        <w:pStyle w:val="ListBullet"/>
      </w:pPr>
      <w:r>
        <w:t>Document every feature, accepted value, type, and example request.</w:t>
      </w:r>
    </w:p>
    <w:p>
      <w:pPr>
        <w:pStyle w:val="ListBullet"/>
      </w:pPr>
      <w:r>
        <w:t>Add authentication and transport security before any external deployment.</w:t>
      </w:r>
    </w:p>
    <w:p>
      <w:pPr>
        <w:pStyle w:val="ListBullet"/>
      </w:pPr>
      <w:r>
        <w:t>Monitor latency, errors, request volume, and changes in prediction distributions.</w:t>
      </w:r>
    </w:p>
    <w:p>
      <w:pPr>
        <w:pStyle w:val="ListBullet"/>
      </w:pPr>
      <w:r>
        <w:t>Document model versioning, retraining, rollback, and data-retention procedures.</w:t>
      </w:r>
    </w:p>
    <w:p>
      <w:pPr>
        <w:pStyle w:val="Heading1"/>
      </w:pPr>
      <w:r>
        <w:t>11. Conclusion</w:t>
      </w:r>
    </w:p>
    <w:p>
      <w:r>
        <w:t>Week 5 moved LearnPulse AI from a model-focused workflow toward a service that other software can call. The FastAPI application exposed root, health, and prediction routes; interactive documentation was accessible locally; request validation identified incomplete input; a complete sample request returned a prediction; and the Docker image build completed successfully. These are meaningful implementation milestones. The next step is to verify the built container end to end, confirm logging and error handling, add repeatable tests, and document limitations honestly. LearnPulse AI should remain a responsible decision-support prototype until its technical performance, fairness, privacy, and operational controls have been evaluated more thoroughly.</w:t>
      </w:r>
    </w:p>
    <w:p>
      <w:pPr>
        <w:pStyle w:val="Heading1"/>
      </w:pPr>
      <w:r>
        <w:t>Appendix A. Evidence to Include</w:t>
      </w:r>
    </w:p>
    <w:p>
      <w:pPr>
        <w:pStyle w:val="ListBullet"/>
      </w:pPr>
      <w:r>
        <w:t>Screenshot of FastAPI interactive documentation at `/docs`.</w:t>
      </w:r>
    </w:p>
    <w:p>
      <w:pPr>
        <w:pStyle w:val="ListBullet"/>
      </w:pPr>
      <w:r>
        <w:t>Screenshot of GET `/` response.</w:t>
      </w:r>
    </w:p>
    <w:p>
      <w:pPr>
        <w:pStyle w:val="ListBullet"/>
      </w:pPr>
      <w:r>
        <w:t>Screenshot of GET `/health` response from the final code.</w:t>
      </w:r>
    </w:p>
    <w:p>
      <w:pPr>
        <w:pStyle w:val="ListBullet"/>
      </w:pPr>
      <w:r>
        <w:t>Screenshot of a valid POST `/predict` request and response using a non-sensitive sample.</w:t>
      </w:r>
    </w:p>
    <w:p>
      <w:pPr>
        <w:pStyle w:val="ListBullet"/>
      </w:pPr>
      <w:r>
        <w:t>Screenshot of HTTP 422 validation response for incomplete input.</w:t>
      </w:r>
    </w:p>
    <w:p>
      <w:pPr>
        <w:pStyle w:val="ListBullet"/>
      </w:pPr>
      <w:r>
        <w:t>Screenshot showing the successful Docker image build.</w:t>
      </w:r>
    </w:p>
    <w:p>
      <w:pPr>
        <w:pStyle w:val="ListBullet"/>
      </w:pPr>
      <w:r>
        <w:t>If tested, screenshot showing the container running and the API responding through the mapped port.</w:t>
      </w:r>
    </w:p>
    <w:p>
      <w:pPr>
        <w:pStyle w:val="Heading1"/>
      </w:pPr>
      <w:r>
        <w:t>Appendix B. Reproducibility Notes</w:t>
      </w:r>
    </w:p>
    <w:p>
      <w:r>
        <w:t>The known Week 5 project files included `app.py`, `requirements.txt`, `Dockerfile`, `.dockerignore`, `logs/`, `models/learnpulse_model.joblib`, and `save_model.py`. The recorded image tag was `learnpulse-api:1.0`; the local documentation URL was `http://127.0.0.1:8000/docs`. Exact responses can change when code or dependencies change, so rerun the checks before making final submission claims.</w:t>
      </w:r>
    </w:p>
    <w:p>
      <w:pPr>
        <w:pStyle w:val="Heading1"/>
      </w:pPr>
      <w:r>
        <w:t>Submission Note</w:t>
      </w:r>
    </w:p>
    <w:p>
      <w:r>
        <w:t>This report summarizes the implementation and observations available from the project work. Review it against the final repository before uploading. Include screenshots only for tests actually performed, and revise any statement that no longer matches the current code.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LearnPulse AI — Week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LEARNPULSE AI | WEEK 5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