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t>LEARNPULSE AI</w:t>
      </w:r>
    </w:p>
    <w:p>
      <w:pPr>
        <w:jc w:val="center"/>
      </w:pPr>
      <w:r>
        <w:rPr>
          <w:rFonts w:ascii="Times New Roman" w:hAnsi="Times New Roman"/>
          <w:b/>
          <w:sz w:val="30"/>
        </w:rPr>
        <w:t>Week 6: AI Ethics, Bias Analysis, and Fairness Assessment</w:t>
      </w:r>
    </w:p>
    <w:p>
      <w:pPr>
        <w:jc w:val="center"/>
      </w:pPr>
      <w:r>
        <w:rPr>
          <w:i/>
        </w:rPr>
        <w:t>Project: Early Warning System for Student Engagement and Dropout Risk Prediction</w:t>
      </w:r>
    </w:p>
    <w:p/>
    <w:p>
      <w:pPr>
        <w:pStyle w:val="Heading1"/>
      </w:pPr>
      <w:r>
        <w:t>1. Executive Summary</w:t>
      </w:r>
    </w:p>
    <w:p>
      <w:r>
        <w:t>LearnPulse AI is an educational analytics project intended to identify patterns associated with student engagement and course outcomes. The purpose of this Week 6 audit is to examine model performance, investigate whether performance differs across gender and recorded-disability groups, and identify ethical and methodological risks before any real-world use. The audit uses the Open University Learning Analytics Dataset (OULAD) and evaluates four outcome classes: Distinction, Fail, Pass, and Withdrawn.</w:t>
      </w:r>
    </w:p>
    <w:p>
      <w:r>
        <w:t>The initial fairness audit retrained a Random Forest classifier using the processed dataset, excluded the student identifier from model inputs, and used a group-based train/test split so the same student identifier did not appear in both sets. It achieved 69.17% accuracy on 6,471 test records. However, its features included whole-course assessment and engagement aggregates without a defined prediction cutoff. These aggregates may include information that would not be available at an early-warning decision point.</w:t>
      </w:r>
    </w:p>
    <w:p>
      <w:r>
        <w:t>A second, time-aware audit was therefore performed with an experimental cutoff at course day 60. It used VLE activity and assessment submissions dated on or before that cutoff, excluded records whose unregistration date was on or before day 60, and again split by student identifier. On 5,294 test records, accuracy was 57.14%. Most importantly, withdrawal recall was 11.2%: the model identified 90 of 801 actual Withdrawn cases and missed 711. This is a serious limitation for an early-warning tool because missed cases may not receive timely support.</w:t>
      </w:r>
    </w:p>
    <w:p>
      <w:r>
        <w:t>Group results also differed. In the day-60 audit, withdrawal recall was 12.8% for female-coded records and 10.1% for male-coded records. It was 9.2% for records with no recorded disability and 23.5% for records with a recorded disability. The latter group also had a higher withdrawal false-positive rate. These observed differences warrant investigation, but they do not by themselves prove discrimination or establish statistical significance. The project should remain a research prototype until temporal validity, subgroup uncertainty, and practical consequences are investigated further.</w:t>
      </w:r>
    </w:p>
    <w:p>
      <w:pPr>
        <w:pStyle w:val="Heading1"/>
      </w:pPr>
      <w:r>
        <w:t>2. Project Background and Audit Objectives</w:t>
      </w:r>
    </w:p>
    <w:p>
      <w:r>
        <w:t>LearnPulse AI is designed as an early-warning system rather than a system that makes final decisions about students. Its intended purpose is to help educators notice students who may benefit from timely academic guidance, engagement support, or a conversation about barriers to participation. The prediction target is the eventual course result recorded in OULAD.</w:t>
      </w:r>
    </w:p>
    <w:p>
      <w:r>
        <w:t>The Week 6 audit has five objectives:</w:t>
      </w:r>
    </w:p>
    <w:p>
      <w:pPr>
        <w:pStyle w:val="ListBullet"/>
      </w:pPr>
      <w:r>
        <w:t>Measure overall model performance across Distinction, Fail, Pass, and Withdrawn outcomes.</w:t>
      </w:r>
    </w:p>
    <w:p>
      <w:pPr>
        <w:pStyle w:val="ListBullet"/>
      </w:pPr>
      <w:r>
        <w:t>Compare classification performance across gender and recorded-disability groups.</w:t>
      </w:r>
    </w:p>
    <w:p>
      <w:pPr>
        <w:pStyle w:val="ListBullet"/>
      </w:pPr>
      <w:r>
        <w:t>Check whether feature construction uses information that would be unavailable at the intended prediction time.</w:t>
      </w:r>
    </w:p>
    <w:p>
      <w:pPr>
        <w:pStyle w:val="ListBullet"/>
      </w:pPr>
      <w:r>
        <w:t>Reduce evaluation contamination by splitting records at student level and fitting categorical preprocessing only on training data.</w:t>
      </w:r>
    </w:p>
    <w:p>
      <w:pPr>
        <w:pStyle w:val="ListBullet"/>
      </w:pPr>
      <w:r>
        <w:t>Recommend safeguards so predictions support students rather than stigmatize or automatically penalize them.</w:t>
      </w:r>
    </w:p>
    <w:p>
      <w:pPr>
        <w:pStyle w:val="Heading1"/>
      </w:pPr>
      <w:r>
        <w:t>3. Dataset and Outcome Labels</w:t>
      </w:r>
    </w:p>
    <w:p>
      <w:r>
        <w:t>The project uses OULAD files including studentInfo.csv, studentVle.csv, studentAssessment.csv, assessments.csv, and studentRegistration.csv. The processed dataset contains 32,593 course records. The verified outcome-label mapping produced by the preprocessing LabelEncoder is shown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8"/>
              </w:rPr>
              <w:t>Encoded value</w:t>
            </w:r>
          </w:p>
        </w:tc>
        <w:tc>
          <w:tcPr>
            <w:tcW w:type="dxa" w:w="3312"/>
            <w:vAlign w:val="center"/>
            <w:shd w:fill="D9EAF7"/>
          </w:tcPr>
          <w:p>
            <w:pPr>
              <w:spacing w:after="0"/>
            </w:pPr>
            <w:r/>
            <w:r>
              <w:rPr>
                <w:rFonts w:ascii="Times New Roman" w:hAnsi="Times New Roman"/>
                <w:b/>
                <w:sz w:val="18"/>
              </w:rPr>
              <w:t>Outcome</w:t>
            </w:r>
          </w:p>
        </w:tc>
        <w:tc>
          <w:tcPr>
            <w:tcW w:type="dxa" w:w="3312"/>
            <w:vAlign w:val="center"/>
            <w:shd w:fill="D9EAF7"/>
          </w:tcPr>
          <w:p>
            <w:pPr>
              <w:spacing w:after="0"/>
            </w:pPr>
            <w:r/>
            <w:r>
              <w:rPr>
                <w:rFonts w:ascii="Times New Roman" w:hAnsi="Times New Roman"/>
                <w:b/>
                <w:sz w:val="18"/>
              </w:rPr>
              <w:t>Record count</w:t>
            </w:r>
          </w:p>
        </w:tc>
      </w:tr>
      <w:tr>
        <w:tc>
          <w:tcPr>
            <w:tcW w:type="dxa" w:w="3312"/>
            <w:vAlign w:val="center"/>
          </w:tcPr>
          <w:p>
            <w:pPr>
              <w:spacing w:after="0"/>
            </w:pPr>
            <w:r/>
            <w:r>
              <w:rPr>
                <w:rFonts w:ascii="Times New Roman" w:hAnsi="Times New Roman"/>
                <w:b w:val="0"/>
                <w:sz w:val="18"/>
              </w:rPr>
              <w:t>0</w:t>
            </w:r>
          </w:p>
        </w:tc>
        <w:tc>
          <w:tcPr>
            <w:tcW w:type="dxa" w:w="3312"/>
            <w:vAlign w:val="center"/>
          </w:tcPr>
          <w:p>
            <w:pPr>
              <w:spacing w:after="0"/>
            </w:pPr>
            <w:r/>
            <w:r>
              <w:rPr>
                <w:rFonts w:ascii="Times New Roman" w:hAnsi="Times New Roman"/>
                <w:b w:val="0"/>
                <w:sz w:val="18"/>
              </w:rPr>
              <w:t>Distinction</w:t>
            </w:r>
          </w:p>
        </w:tc>
        <w:tc>
          <w:tcPr>
            <w:tcW w:type="dxa" w:w="3312"/>
            <w:vAlign w:val="center"/>
          </w:tcPr>
          <w:p>
            <w:pPr>
              <w:spacing w:after="0"/>
            </w:pPr>
            <w:r/>
            <w:r>
              <w:rPr>
                <w:rFonts w:ascii="Times New Roman" w:hAnsi="Times New Roman"/>
                <w:b w:val="0"/>
                <w:sz w:val="18"/>
              </w:rPr>
              <w:t>3,024</w:t>
            </w:r>
          </w:p>
        </w:tc>
      </w:tr>
      <w:tr>
        <w:tc>
          <w:tcPr>
            <w:tcW w:type="dxa" w:w="3312"/>
            <w:vAlign w:val="center"/>
          </w:tcPr>
          <w:p>
            <w:pPr>
              <w:spacing w:after="0"/>
            </w:pPr>
            <w:r/>
            <w:r>
              <w:rPr>
                <w:rFonts w:ascii="Times New Roman" w:hAnsi="Times New Roman"/>
                <w:b w:val="0"/>
                <w:sz w:val="18"/>
              </w:rPr>
              <w:t>1</w:t>
            </w:r>
          </w:p>
        </w:tc>
        <w:tc>
          <w:tcPr>
            <w:tcW w:type="dxa" w:w="3312"/>
            <w:vAlign w:val="center"/>
          </w:tcPr>
          <w:p>
            <w:pPr>
              <w:spacing w:after="0"/>
            </w:pPr>
            <w:r/>
            <w:r>
              <w:rPr>
                <w:rFonts w:ascii="Times New Roman" w:hAnsi="Times New Roman"/>
                <w:b w:val="0"/>
                <w:sz w:val="18"/>
              </w:rPr>
              <w:t>Fail</w:t>
            </w:r>
          </w:p>
        </w:tc>
        <w:tc>
          <w:tcPr>
            <w:tcW w:type="dxa" w:w="3312"/>
            <w:vAlign w:val="center"/>
          </w:tcPr>
          <w:p>
            <w:pPr>
              <w:spacing w:after="0"/>
            </w:pPr>
            <w:r/>
            <w:r>
              <w:rPr>
                <w:rFonts w:ascii="Times New Roman" w:hAnsi="Times New Roman"/>
                <w:b w:val="0"/>
                <w:sz w:val="18"/>
              </w:rPr>
              <w:t>7,052</w:t>
            </w:r>
          </w:p>
        </w:tc>
      </w:tr>
      <w:tr>
        <w:tc>
          <w:tcPr>
            <w:tcW w:type="dxa" w:w="3312"/>
            <w:vAlign w:val="center"/>
          </w:tcPr>
          <w:p>
            <w:pPr>
              <w:spacing w:after="0"/>
            </w:pPr>
            <w:r/>
            <w:r>
              <w:rPr>
                <w:rFonts w:ascii="Times New Roman" w:hAnsi="Times New Roman"/>
                <w:b w:val="0"/>
                <w:sz w:val="18"/>
              </w:rPr>
              <w:t>2</w:t>
            </w:r>
          </w:p>
        </w:tc>
        <w:tc>
          <w:tcPr>
            <w:tcW w:type="dxa" w:w="3312"/>
            <w:vAlign w:val="center"/>
          </w:tcPr>
          <w:p>
            <w:pPr>
              <w:spacing w:after="0"/>
            </w:pPr>
            <w:r/>
            <w:r>
              <w:rPr>
                <w:rFonts w:ascii="Times New Roman" w:hAnsi="Times New Roman"/>
                <w:b w:val="0"/>
                <w:sz w:val="18"/>
              </w:rPr>
              <w:t>Pass</w:t>
            </w:r>
          </w:p>
        </w:tc>
        <w:tc>
          <w:tcPr>
            <w:tcW w:type="dxa" w:w="3312"/>
            <w:vAlign w:val="center"/>
          </w:tcPr>
          <w:p>
            <w:pPr>
              <w:spacing w:after="0"/>
            </w:pPr>
            <w:r/>
            <w:r>
              <w:rPr>
                <w:rFonts w:ascii="Times New Roman" w:hAnsi="Times New Roman"/>
                <w:b w:val="0"/>
                <w:sz w:val="18"/>
              </w:rPr>
              <w:t>12,361</w:t>
            </w:r>
          </w:p>
        </w:tc>
      </w:tr>
      <w:tr>
        <w:tc>
          <w:tcPr>
            <w:tcW w:type="dxa" w:w="3312"/>
            <w:vAlign w:val="center"/>
          </w:tcPr>
          <w:p>
            <w:pPr>
              <w:spacing w:after="0"/>
            </w:pPr>
            <w:r/>
            <w:r>
              <w:rPr>
                <w:rFonts w:ascii="Times New Roman" w:hAnsi="Times New Roman"/>
                <w:b w:val="0"/>
                <w:sz w:val="18"/>
              </w:rPr>
              <w:t>3</w:t>
            </w:r>
          </w:p>
        </w:tc>
        <w:tc>
          <w:tcPr>
            <w:tcW w:type="dxa" w:w="3312"/>
            <w:vAlign w:val="center"/>
          </w:tcPr>
          <w:p>
            <w:pPr>
              <w:spacing w:after="0"/>
            </w:pPr>
            <w:r/>
            <w:r>
              <w:rPr>
                <w:rFonts w:ascii="Times New Roman" w:hAnsi="Times New Roman"/>
                <w:b w:val="0"/>
                <w:sz w:val="18"/>
              </w:rPr>
              <w:t>Withdrawn</w:t>
            </w:r>
          </w:p>
        </w:tc>
        <w:tc>
          <w:tcPr>
            <w:tcW w:type="dxa" w:w="3312"/>
            <w:vAlign w:val="center"/>
          </w:tcPr>
          <w:p>
            <w:pPr>
              <w:spacing w:after="0"/>
            </w:pPr>
            <w:r/>
            <w:r>
              <w:rPr>
                <w:rFonts w:ascii="Times New Roman" w:hAnsi="Times New Roman"/>
                <w:b w:val="0"/>
                <w:sz w:val="18"/>
              </w:rPr>
              <w:t>10,156</w:t>
            </w:r>
          </w:p>
        </w:tc>
      </w:tr>
    </w:tbl>
    <w:p/>
    <w:p>
      <w:r>
        <w:t>The classes are not evenly represented. Distinction has fewer records than Pass or Withdrawn. For that reason, overall accuracy alone is not sufficient: a model could achieve a seemingly acceptable accuracy while performing poorly on a less common or more important class. Precision, recall, F1-score, false-positive rate, false-negative rate, and the confusion matrix provide additional information.</w:t>
      </w:r>
    </w:p>
    <w:p>
      <w:r>
        <w:t>The raw studentInfo.csv contained 32,593 rows and 28,785 unique student IDs; 3,538 IDs appeared in multiple records. This is expected to be important when a student has records for more than one course presentation. A record-level random split could place records for the same student in both training and test data. Both audits therefore used GroupShuffleSplit grouped by id_student, and both reported zero student-ID overlap.</w:t>
      </w:r>
    </w:p>
    <w:p>
      <w:pPr>
        <w:pStyle w:val="Heading1"/>
      </w:pPr>
      <w:r>
        <w:t>4. Methodology</w:t>
      </w:r>
    </w:p>
    <w:p>
      <w:pPr>
        <w:pStyle w:val="Heading2"/>
      </w:pPr>
      <w:r>
        <w:t>4.1 Initial fairness audit</w:t>
      </w:r>
    </w:p>
    <w:p>
      <w:r>
        <w:t>The initial audit trained a RandomForestClassifier with 100 trees and random_state=42 on the processed dataset. The target was final_result. The student identifier and target were excluded from model inputs. The group split assigned 26,122 records to training and 6,471 to testing. The test set contained 5,757 unique students, while the training set contained 23,028 unique students. No student ID overlapped between the sets.</w:t>
      </w:r>
    </w:p>
    <w:p>
      <w:r>
        <w:t>This audit used the existing processed features, including average_score, assessment_count, total_clicks, and avg_clicks. The preprocessing notebook showed that these were aggregated by id_student without an explicit time cutoff. Consequently, the initial results are useful as a diagnostic baseline but should not be treated as a validated early-warning performance estimate.</w:t>
      </w:r>
    </w:p>
    <w:p>
      <w:pPr>
        <w:pStyle w:val="Heading2"/>
      </w:pPr>
      <w:r>
        <w:t>4.2 Time-aware audit</w:t>
      </w:r>
    </w:p>
    <w:p>
      <w:r>
        <w:t>The second audit used an experimental prediction cutoff at course day 60. The VLE features total_clicks_early and avg_clicks_early were calculated from activity dated on or before day 60. Assessment features average_score_early and assessment_count_early were calculated from submissions with date_submitted on or before day 60, after matching assessment records to the assessment schedule and course identifiers.</w:t>
      </w:r>
    </w:p>
    <w:p>
      <w:r>
        <w:t>Course records with a recorded date_unregistration on or before day 60 were excluded because they were no longer registered at the intended prediction point. This removed 6,232 records, leaving 26,361 eligible course records before the final train/test split. The test set contained 5,294 records and the training set contained 21,067. The split again had zero student-ID overlap. The categorical encoder was placed in a scikit-learn pipeline so it was fitted on training data only. The model used a 100-tree Random Forest with random_state=42.</w:t>
      </w:r>
    </w:p>
    <w:p>
      <w:r>
        <w:t>Day 60 is a project-defined experimental cutoff, not a universal or institutionally validated threshold. The results describe prediction for records still registered after day 60; they do not evaluate students who had already unregistered by that point. This distinction is essential when interpreting the target and the population covered by the audit.</w:t>
      </w:r>
    </w:p>
    <w:p>
      <w:pPr>
        <w:pStyle w:val="Heading1"/>
      </w:pPr>
      <w:r>
        <w:t>5. Overall Model Results</w:t>
      </w:r>
    </w:p>
    <w:p>
      <w:pPr>
        <w:pStyle w:val="Heading2"/>
      </w:pPr>
      <w:r>
        <w:t>5.1 Initial audit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rFonts w:ascii="Times New Roman" w:hAnsi="Times New Roman"/>
                <w:b/>
                <w:sz w:val="18"/>
              </w:rPr>
              <w:t>Outcome</w:t>
            </w:r>
          </w:p>
        </w:tc>
        <w:tc>
          <w:tcPr>
            <w:tcW w:type="dxa" w:w="1987"/>
            <w:vAlign w:val="center"/>
            <w:shd w:fill="D9EAF7"/>
          </w:tcPr>
          <w:p>
            <w:pPr>
              <w:spacing w:after="0"/>
            </w:pPr>
            <w:r/>
            <w:r>
              <w:rPr>
                <w:rFonts w:ascii="Times New Roman" w:hAnsi="Times New Roman"/>
                <w:b/>
                <w:sz w:val="18"/>
              </w:rPr>
              <w:t>Precision</w:t>
            </w:r>
          </w:p>
        </w:tc>
        <w:tc>
          <w:tcPr>
            <w:tcW w:type="dxa" w:w="1987"/>
            <w:vAlign w:val="center"/>
            <w:shd w:fill="D9EAF7"/>
          </w:tcPr>
          <w:p>
            <w:pPr>
              <w:spacing w:after="0"/>
            </w:pPr>
            <w:r/>
            <w:r>
              <w:rPr>
                <w:rFonts w:ascii="Times New Roman" w:hAnsi="Times New Roman"/>
                <w:b/>
                <w:sz w:val="18"/>
              </w:rPr>
              <w:t>Recall</w:t>
            </w:r>
          </w:p>
        </w:tc>
        <w:tc>
          <w:tcPr>
            <w:tcW w:type="dxa" w:w="1987"/>
            <w:vAlign w:val="center"/>
            <w:shd w:fill="D9EAF7"/>
          </w:tcPr>
          <w:p>
            <w:pPr>
              <w:spacing w:after="0"/>
            </w:pPr>
            <w:r/>
            <w:r>
              <w:rPr>
                <w:rFonts w:ascii="Times New Roman" w:hAnsi="Times New Roman"/>
                <w:b/>
                <w:sz w:val="18"/>
              </w:rPr>
              <w:t>F1-score</w:t>
            </w:r>
          </w:p>
        </w:tc>
        <w:tc>
          <w:tcPr>
            <w:tcW w:type="dxa" w:w="1987"/>
            <w:vAlign w:val="center"/>
            <w:shd w:fill="D9EAF7"/>
          </w:tcPr>
          <w:p>
            <w:pPr>
              <w:spacing w:after="0"/>
            </w:pPr>
            <w:r/>
            <w:r>
              <w:rPr>
                <w:rFonts w:ascii="Times New Roman" w:hAnsi="Times New Roman"/>
                <w:b/>
                <w:sz w:val="18"/>
              </w:rPr>
              <w:t>Test support</w:t>
            </w:r>
          </w:p>
        </w:tc>
      </w:tr>
      <w:tr>
        <w:tc>
          <w:tcPr>
            <w:tcW w:type="dxa" w:w="1987"/>
            <w:vAlign w:val="center"/>
          </w:tcPr>
          <w:p>
            <w:pPr>
              <w:spacing w:after="0"/>
            </w:pPr>
            <w:r/>
            <w:r>
              <w:rPr>
                <w:rFonts w:ascii="Times New Roman" w:hAnsi="Times New Roman"/>
                <w:b w:val="0"/>
                <w:sz w:val="18"/>
              </w:rPr>
              <w:t>Distinction</w:t>
            </w:r>
          </w:p>
        </w:tc>
        <w:tc>
          <w:tcPr>
            <w:tcW w:type="dxa" w:w="1987"/>
            <w:vAlign w:val="center"/>
          </w:tcPr>
          <w:p>
            <w:pPr>
              <w:spacing w:after="0"/>
            </w:pPr>
            <w:r/>
            <w:r>
              <w:rPr>
                <w:rFonts w:ascii="Times New Roman" w:hAnsi="Times New Roman"/>
                <w:b w:val="0"/>
                <w:sz w:val="18"/>
              </w:rPr>
              <w:t>0.63</w:t>
            </w:r>
          </w:p>
        </w:tc>
        <w:tc>
          <w:tcPr>
            <w:tcW w:type="dxa" w:w="1987"/>
            <w:vAlign w:val="center"/>
          </w:tcPr>
          <w:p>
            <w:pPr>
              <w:spacing w:after="0"/>
            </w:pPr>
            <w:r/>
            <w:r>
              <w:rPr>
                <w:rFonts w:ascii="Times New Roman" w:hAnsi="Times New Roman"/>
                <w:b w:val="0"/>
                <w:sz w:val="18"/>
              </w:rPr>
              <w:t>0.45</w:t>
            </w:r>
          </w:p>
        </w:tc>
        <w:tc>
          <w:tcPr>
            <w:tcW w:type="dxa" w:w="1987"/>
            <w:vAlign w:val="center"/>
          </w:tcPr>
          <w:p>
            <w:pPr>
              <w:spacing w:after="0"/>
            </w:pPr>
            <w:r/>
            <w:r>
              <w:rPr>
                <w:rFonts w:ascii="Times New Roman" w:hAnsi="Times New Roman"/>
                <w:b w:val="0"/>
                <w:sz w:val="18"/>
              </w:rPr>
              <w:t>0.52</w:t>
            </w:r>
          </w:p>
        </w:tc>
        <w:tc>
          <w:tcPr>
            <w:tcW w:type="dxa" w:w="1987"/>
            <w:vAlign w:val="center"/>
          </w:tcPr>
          <w:p>
            <w:pPr>
              <w:spacing w:after="0"/>
            </w:pPr>
            <w:r/>
            <w:r>
              <w:rPr>
                <w:rFonts w:ascii="Times New Roman" w:hAnsi="Times New Roman"/>
                <w:b w:val="0"/>
                <w:sz w:val="18"/>
              </w:rPr>
              <w:t>591</w:t>
            </w:r>
          </w:p>
        </w:tc>
      </w:tr>
      <w:tr>
        <w:tc>
          <w:tcPr>
            <w:tcW w:type="dxa" w:w="1987"/>
            <w:vAlign w:val="center"/>
          </w:tcPr>
          <w:p>
            <w:pPr>
              <w:spacing w:after="0"/>
            </w:pPr>
            <w:r/>
            <w:r>
              <w:rPr>
                <w:rFonts w:ascii="Times New Roman" w:hAnsi="Times New Roman"/>
                <w:b w:val="0"/>
                <w:sz w:val="18"/>
              </w:rPr>
              <w:t>Fail</w:t>
            </w:r>
          </w:p>
        </w:tc>
        <w:tc>
          <w:tcPr>
            <w:tcW w:type="dxa" w:w="1987"/>
            <w:vAlign w:val="center"/>
          </w:tcPr>
          <w:p>
            <w:pPr>
              <w:spacing w:after="0"/>
            </w:pPr>
            <w:r/>
            <w:r>
              <w:rPr>
                <w:rFonts w:ascii="Times New Roman" w:hAnsi="Times New Roman"/>
                <w:b w:val="0"/>
                <w:sz w:val="18"/>
              </w:rPr>
              <w:t>0.57</w:t>
            </w:r>
          </w:p>
        </w:tc>
        <w:tc>
          <w:tcPr>
            <w:tcW w:type="dxa" w:w="1987"/>
            <w:vAlign w:val="center"/>
          </w:tcPr>
          <w:p>
            <w:pPr>
              <w:spacing w:after="0"/>
            </w:pPr>
            <w:r/>
            <w:r>
              <w:rPr>
                <w:rFonts w:ascii="Times New Roman" w:hAnsi="Times New Roman"/>
                <w:b w:val="0"/>
                <w:sz w:val="18"/>
              </w:rPr>
              <w:t>0.38</w:t>
            </w:r>
          </w:p>
        </w:tc>
        <w:tc>
          <w:tcPr>
            <w:tcW w:type="dxa" w:w="1987"/>
            <w:vAlign w:val="center"/>
          </w:tcPr>
          <w:p>
            <w:pPr>
              <w:spacing w:after="0"/>
            </w:pPr>
            <w:r/>
            <w:r>
              <w:rPr>
                <w:rFonts w:ascii="Times New Roman" w:hAnsi="Times New Roman"/>
                <w:b w:val="0"/>
                <w:sz w:val="18"/>
              </w:rPr>
              <w:t>0.46</w:t>
            </w:r>
          </w:p>
        </w:tc>
        <w:tc>
          <w:tcPr>
            <w:tcW w:type="dxa" w:w="1987"/>
            <w:vAlign w:val="center"/>
          </w:tcPr>
          <w:p>
            <w:pPr>
              <w:spacing w:after="0"/>
            </w:pPr>
            <w:r/>
            <w:r>
              <w:rPr>
                <w:rFonts w:ascii="Times New Roman" w:hAnsi="Times New Roman"/>
                <w:b w:val="0"/>
                <w:sz w:val="18"/>
              </w:rPr>
              <w:t>1,443</w:t>
            </w:r>
          </w:p>
        </w:tc>
      </w:tr>
      <w:tr>
        <w:tc>
          <w:tcPr>
            <w:tcW w:type="dxa" w:w="1987"/>
            <w:vAlign w:val="center"/>
          </w:tcPr>
          <w:p>
            <w:pPr>
              <w:spacing w:after="0"/>
            </w:pPr>
            <w:r/>
            <w:r>
              <w:rPr>
                <w:rFonts w:ascii="Times New Roman" w:hAnsi="Times New Roman"/>
                <w:b w:val="0"/>
                <w:sz w:val="18"/>
              </w:rPr>
              <w:t>Pass</w:t>
            </w:r>
          </w:p>
        </w:tc>
        <w:tc>
          <w:tcPr>
            <w:tcW w:type="dxa" w:w="1987"/>
            <w:vAlign w:val="center"/>
          </w:tcPr>
          <w:p>
            <w:pPr>
              <w:spacing w:after="0"/>
            </w:pPr>
            <w:r/>
            <w:r>
              <w:rPr>
                <w:rFonts w:ascii="Times New Roman" w:hAnsi="Times New Roman"/>
                <w:b w:val="0"/>
                <w:sz w:val="18"/>
              </w:rPr>
              <w:t>0.72</w:t>
            </w:r>
          </w:p>
        </w:tc>
        <w:tc>
          <w:tcPr>
            <w:tcW w:type="dxa" w:w="1987"/>
            <w:vAlign w:val="center"/>
          </w:tcPr>
          <w:p>
            <w:pPr>
              <w:spacing w:after="0"/>
            </w:pPr>
            <w:r/>
            <w:r>
              <w:rPr>
                <w:rFonts w:ascii="Times New Roman" w:hAnsi="Times New Roman"/>
                <w:b w:val="0"/>
                <w:sz w:val="18"/>
              </w:rPr>
              <w:t>0.90</w:t>
            </w:r>
          </w:p>
        </w:tc>
        <w:tc>
          <w:tcPr>
            <w:tcW w:type="dxa" w:w="1987"/>
            <w:vAlign w:val="center"/>
          </w:tcPr>
          <w:p>
            <w:pPr>
              <w:spacing w:after="0"/>
            </w:pPr>
            <w:r/>
            <w:r>
              <w:rPr>
                <w:rFonts w:ascii="Times New Roman" w:hAnsi="Times New Roman"/>
                <w:b w:val="0"/>
                <w:sz w:val="18"/>
              </w:rPr>
              <w:t>0.80</w:t>
            </w:r>
          </w:p>
        </w:tc>
        <w:tc>
          <w:tcPr>
            <w:tcW w:type="dxa" w:w="1987"/>
            <w:vAlign w:val="center"/>
          </w:tcPr>
          <w:p>
            <w:pPr>
              <w:spacing w:after="0"/>
            </w:pPr>
            <w:r/>
            <w:r>
              <w:rPr>
                <w:rFonts w:ascii="Times New Roman" w:hAnsi="Times New Roman"/>
                <w:b w:val="0"/>
                <w:sz w:val="18"/>
              </w:rPr>
              <w:t>2,482</w:t>
            </w:r>
          </w:p>
        </w:tc>
      </w:tr>
      <w:tr>
        <w:tc>
          <w:tcPr>
            <w:tcW w:type="dxa" w:w="1987"/>
            <w:vAlign w:val="center"/>
          </w:tcPr>
          <w:p>
            <w:pPr>
              <w:spacing w:after="0"/>
            </w:pPr>
            <w:r/>
            <w:r>
              <w:rPr>
                <w:rFonts w:ascii="Times New Roman" w:hAnsi="Times New Roman"/>
                <w:b w:val="0"/>
                <w:sz w:val="18"/>
              </w:rPr>
              <w:t>Withdrawn</w:t>
            </w:r>
          </w:p>
        </w:tc>
        <w:tc>
          <w:tcPr>
            <w:tcW w:type="dxa" w:w="1987"/>
            <w:vAlign w:val="center"/>
          </w:tcPr>
          <w:p>
            <w:pPr>
              <w:spacing w:after="0"/>
            </w:pPr>
            <w:r/>
            <w:r>
              <w:rPr>
                <w:rFonts w:ascii="Times New Roman" w:hAnsi="Times New Roman"/>
                <w:b w:val="0"/>
                <w:sz w:val="18"/>
              </w:rPr>
              <w:t>0.73</w:t>
            </w:r>
          </w:p>
        </w:tc>
        <w:tc>
          <w:tcPr>
            <w:tcW w:type="dxa" w:w="1987"/>
            <w:vAlign w:val="center"/>
          </w:tcPr>
          <w:p>
            <w:pPr>
              <w:spacing w:after="0"/>
            </w:pPr>
            <w:r/>
            <w:r>
              <w:rPr>
                <w:rFonts w:ascii="Times New Roman" w:hAnsi="Times New Roman"/>
                <w:b w:val="0"/>
                <w:sz w:val="18"/>
              </w:rPr>
              <w:t>0.73</w:t>
            </w:r>
          </w:p>
        </w:tc>
        <w:tc>
          <w:tcPr>
            <w:tcW w:type="dxa" w:w="1987"/>
            <w:vAlign w:val="center"/>
          </w:tcPr>
          <w:p>
            <w:pPr>
              <w:spacing w:after="0"/>
            </w:pPr>
            <w:r/>
            <w:r>
              <w:rPr>
                <w:rFonts w:ascii="Times New Roman" w:hAnsi="Times New Roman"/>
                <w:b w:val="0"/>
                <w:sz w:val="18"/>
              </w:rPr>
              <w:t>0.73</w:t>
            </w:r>
          </w:p>
        </w:tc>
        <w:tc>
          <w:tcPr>
            <w:tcW w:type="dxa" w:w="1987"/>
            <w:vAlign w:val="center"/>
          </w:tcPr>
          <w:p>
            <w:pPr>
              <w:spacing w:after="0"/>
            </w:pPr>
            <w:r/>
            <w:r>
              <w:rPr>
                <w:rFonts w:ascii="Times New Roman" w:hAnsi="Times New Roman"/>
                <w:b w:val="0"/>
                <w:sz w:val="18"/>
              </w:rPr>
              <w:t>1,955</w:t>
            </w:r>
          </w:p>
        </w:tc>
      </w:tr>
    </w:tbl>
    <w:p/>
    <w:p>
      <w:r>
        <w:t>Initial audit accuracy was 69.17%. The model performed best on Pass recall (0.90) and less well on Fail recall (0.38). Withdrawn recall was 0.73 in this audit.</w:t>
      </w:r>
    </w:p>
    <w:p>
      <w:pPr>
        <w:pStyle w:val="Heading2"/>
      </w:pPr>
      <w:r>
        <w:t>5.2 Time-aware audit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rFonts w:ascii="Times New Roman" w:hAnsi="Times New Roman"/>
                <w:b/>
                <w:sz w:val="18"/>
              </w:rPr>
              <w:t>Outcome</w:t>
            </w:r>
          </w:p>
        </w:tc>
        <w:tc>
          <w:tcPr>
            <w:tcW w:type="dxa" w:w="1987"/>
            <w:vAlign w:val="center"/>
            <w:shd w:fill="D9EAF7"/>
          </w:tcPr>
          <w:p>
            <w:pPr>
              <w:spacing w:after="0"/>
            </w:pPr>
            <w:r/>
            <w:r>
              <w:rPr>
                <w:rFonts w:ascii="Times New Roman" w:hAnsi="Times New Roman"/>
                <w:b/>
                <w:sz w:val="18"/>
              </w:rPr>
              <w:t>Precision</w:t>
            </w:r>
          </w:p>
        </w:tc>
        <w:tc>
          <w:tcPr>
            <w:tcW w:type="dxa" w:w="1987"/>
            <w:vAlign w:val="center"/>
            <w:shd w:fill="D9EAF7"/>
          </w:tcPr>
          <w:p>
            <w:pPr>
              <w:spacing w:after="0"/>
            </w:pPr>
            <w:r/>
            <w:r>
              <w:rPr>
                <w:rFonts w:ascii="Times New Roman" w:hAnsi="Times New Roman"/>
                <w:b/>
                <w:sz w:val="18"/>
              </w:rPr>
              <w:t>Recall</w:t>
            </w:r>
          </w:p>
        </w:tc>
        <w:tc>
          <w:tcPr>
            <w:tcW w:type="dxa" w:w="1987"/>
            <w:vAlign w:val="center"/>
            <w:shd w:fill="D9EAF7"/>
          </w:tcPr>
          <w:p>
            <w:pPr>
              <w:spacing w:after="0"/>
            </w:pPr>
            <w:r/>
            <w:r>
              <w:rPr>
                <w:rFonts w:ascii="Times New Roman" w:hAnsi="Times New Roman"/>
                <w:b/>
                <w:sz w:val="18"/>
              </w:rPr>
              <w:t>F1-score</w:t>
            </w:r>
          </w:p>
        </w:tc>
        <w:tc>
          <w:tcPr>
            <w:tcW w:type="dxa" w:w="1987"/>
            <w:vAlign w:val="center"/>
            <w:shd w:fill="D9EAF7"/>
          </w:tcPr>
          <w:p>
            <w:pPr>
              <w:spacing w:after="0"/>
            </w:pPr>
            <w:r/>
            <w:r>
              <w:rPr>
                <w:rFonts w:ascii="Times New Roman" w:hAnsi="Times New Roman"/>
                <w:b/>
                <w:sz w:val="18"/>
              </w:rPr>
              <w:t>Test support</w:t>
            </w:r>
          </w:p>
        </w:tc>
      </w:tr>
      <w:tr>
        <w:tc>
          <w:tcPr>
            <w:tcW w:type="dxa" w:w="1987"/>
            <w:vAlign w:val="center"/>
          </w:tcPr>
          <w:p>
            <w:pPr>
              <w:spacing w:after="0"/>
            </w:pPr>
            <w:r/>
            <w:r>
              <w:rPr>
                <w:rFonts w:ascii="Times New Roman" w:hAnsi="Times New Roman"/>
                <w:b w:val="0"/>
                <w:sz w:val="18"/>
              </w:rPr>
              <w:t>Distinction</w:t>
            </w:r>
          </w:p>
        </w:tc>
        <w:tc>
          <w:tcPr>
            <w:tcW w:type="dxa" w:w="1987"/>
            <w:vAlign w:val="center"/>
          </w:tcPr>
          <w:p>
            <w:pPr>
              <w:spacing w:after="0"/>
            </w:pPr>
            <w:r/>
            <w:r>
              <w:rPr>
                <w:rFonts w:ascii="Times New Roman" w:hAnsi="Times New Roman"/>
                <w:b w:val="0"/>
                <w:sz w:val="18"/>
              </w:rPr>
              <w:t>0.58</w:t>
            </w:r>
          </w:p>
        </w:tc>
        <w:tc>
          <w:tcPr>
            <w:tcW w:type="dxa" w:w="1987"/>
            <w:vAlign w:val="center"/>
          </w:tcPr>
          <w:p>
            <w:pPr>
              <w:spacing w:after="0"/>
            </w:pPr>
            <w:r/>
            <w:r>
              <w:rPr>
                <w:rFonts w:ascii="Times New Roman" w:hAnsi="Times New Roman"/>
                <w:b w:val="0"/>
                <w:sz w:val="18"/>
              </w:rPr>
              <w:t>0.21</w:t>
            </w:r>
          </w:p>
        </w:tc>
        <w:tc>
          <w:tcPr>
            <w:tcW w:type="dxa" w:w="1987"/>
            <w:vAlign w:val="center"/>
          </w:tcPr>
          <w:p>
            <w:pPr>
              <w:spacing w:after="0"/>
            </w:pPr>
            <w:r/>
            <w:r>
              <w:rPr>
                <w:rFonts w:ascii="Times New Roman" w:hAnsi="Times New Roman"/>
                <w:b w:val="0"/>
                <w:sz w:val="18"/>
              </w:rPr>
              <w:t>0.31</w:t>
            </w:r>
          </w:p>
        </w:tc>
        <w:tc>
          <w:tcPr>
            <w:tcW w:type="dxa" w:w="1987"/>
            <w:vAlign w:val="center"/>
          </w:tcPr>
          <w:p>
            <w:pPr>
              <w:spacing w:after="0"/>
            </w:pPr>
            <w:r/>
            <w:r>
              <w:rPr>
                <w:rFonts w:ascii="Times New Roman" w:hAnsi="Times New Roman"/>
                <w:b w:val="0"/>
                <w:sz w:val="18"/>
              </w:rPr>
              <w:t>614</w:t>
            </w:r>
          </w:p>
        </w:tc>
      </w:tr>
      <w:tr>
        <w:tc>
          <w:tcPr>
            <w:tcW w:type="dxa" w:w="1987"/>
            <w:vAlign w:val="center"/>
          </w:tcPr>
          <w:p>
            <w:pPr>
              <w:spacing w:after="0"/>
            </w:pPr>
            <w:r/>
            <w:r>
              <w:rPr>
                <w:rFonts w:ascii="Times New Roman" w:hAnsi="Times New Roman"/>
                <w:b w:val="0"/>
                <w:sz w:val="18"/>
              </w:rPr>
              <w:t>Fail</w:t>
            </w:r>
          </w:p>
        </w:tc>
        <w:tc>
          <w:tcPr>
            <w:tcW w:type="dxa" w:w="1987"/>
            <w:vAlign w:val="center"/>
          </w:tcPr>
          <w:p>
            <w:pPr>
              <w:spacing w:after="0"/>
            </w:pPr>
            <w:r/>
            <w:r>
              <w:rPr>
                <w:rFonts w:ascii="Times New Roman" w:hAnsi="Times New Roman"/>
                <w:b w:val="0"/>
                <w:sz w:val="18"/>
              </w:rPr>
              <w:t>0.56</w:t>
            </w:r>
          </w:p>
        </w:tc>
        <w:tc>
          <w:tcPr>
            <w:tcW w:type="dxa" w:w="1987"/>
            <w:vAlign w:val="center"/>
          </w:tcPr>
          <w:p>
            <w:pPr>
              <w:spacing w:after="0"/>
            </w:pPr>
            <w:r/>
            <w:r>
              <w:rPr>
                <w:rFonts w:ascii="Times New Roman" w:hAnsi="Times New Roman"/>
                <w:b w:val="0"/>
                <w:sz w:val="18"/>
              </w:rPr>
              <w:t>0.50</w:t>
            </w:r>
          </w:p>
        </w:tc>
        <w:tc>
          <w:tcPr>
            <w:tcW w:type="dxa" w:w="1987"/>
            <w:vAlign w:val="center"/>
          </w:tcPr>
          <w:p>
            <w:pPr>
              <w:spacing w:after="0"/>
            </w:pPr>
            <w:r/>
            <w:r>
              <w:rPr>
                <w:rFonts w:ascii="Times New Roman" w:hAnsi="Times New Roman"/>
                <w:b w:val="0"/>
                <w:sz w:val="18"/>
              </w:rPr>
              <w:t>0.53</w:t>
            </w:r>
          </w:p>
        </w:tc>
        <w:tc>
          <w:tcPr>
            <w:tcW w:type="dxa" w:w="1987"/>
            <w:vAlign w:val="center"/>
          </w:tcPr>
          <w:p>
            <w:pPr>
              <w:spacing w:after="0"/>
            </w:pPr>
            <w:r/>
            <w:r>
              <w:rPr>
                <w:rFonts w:ascii="Times New Roman" w:hAnsi="Times New Roman"/>
                <w:b w:val="0"/>
                <w:sz w:val="18"/>
              </w:rPr>
              <w:t>1,429</w:t>
            </w:r>
          </w:p>
        </w:tc>
      </w:tr>
      <w:tr>
        <w:tc>
          <w:tcPr>
            <w:tcW w:type="dxa" w:w="1987"/>
            <w:vAlign w:val="center"/>
          </w:tcPr>
          <w:p>
            <w:pPr>
              <w:spacing w:after="0"/>
            </w:pPr>
            <w:r/>
            <w:r>
              <w:rPr>
                <w:rFonts w:ascii="Times New Roman" w:hAnsi="Times New Roman"/>
                <w:b w:val="0"/>
                <w:sz w:val="18"/>
              </w:rPr>
              <w:t>Pass</w:t>
            </w:r>
          </w:p>
        </w:tc>
        <w:tc>
          <w:tcPr>
            <w:tcW w:type="dxa" w:w="1987"/>
            <w:vAlign w:val="center"/>
          </w:tcPr>
          <w:p>
            <w:pPr>
              <w:spacing w:after="0"/>
            </w:pPr>
            <w:r/>
            <w:r>
              <w:rPr>
                <w:rFonts w:ascii="Times New Roman" w:hAnsi="Times New Roman"/>
                <w:b w:val="0"/>
                <w:sz w:val="18"/>
              </w:rPr>
              <w:t>0.58</w:t>
            </w:r>
          </w:p>
        </w:tc>
        <w:tc>
          <w:tcPr>
            <w:tcW w:type="dxa" w:w="1987"/>
            <w:vAlign w:val="center"/>
          </w:tcPr>
          <w:p>
            <w:pPr>
              <w:spacing w:after="0"/>
            </w:pPr>
            <w:r/>
            <w:r>
              <w:rPr>
                <w:rFonts w:ascii="Times New Roman" w:hAnsi="Times New Roman"/>
                <w:b w:val="0"/>
                <w:sz w:val="18"/>
              </w:rPr>
              <w:t>0.85</w:t>
            </w:r>
          </w:p>
        </w:tc>
        <w:tc>
          <w:tcPr>
            <w:tcW w:type="dxa" w:w="1987"/>
            <w:vAlign w:val="center"/>
          </w:tcPr>
          <w:p>
            <w:pPr>
              <w:spacing w:after="0"/>
            </w:pPr>
            <w:r/>
            <w:r>
              <w:rPr>
                <w:rFonts w:ascii="Times New Roman" w:hAnsi="Times New Roman"/>
                <w:b w:val="0"/>
                <w:sz w:val="18"/>
              </w:rPr>
              <w:t>0.69</w:t>
            </w:r>
          </w:p>
        </w:tc>
        <w:tc>
          <w:tcPr>
            <w:tcW w:type="dxa" w:w="1987"/>
            <w:vAlign w:val="center"/>
          </w:tcPr>
          <w:p>
            <w:pPr>
              <w:spacing w:after="0"/>
            </w:pPr>
            <w:r/>
            <w:r>
              <w:rPr>
                <w:rFonts w:ascii="Times New Roman" w:hAnsi="Times New Roman"/>
                <w:b w:val="0"/>
                <w:sz w:val="18"/>
              </w:rPr>
              <w:t>2,450</w:t>
            </w:r>
          </w:p>
        </w:tc>
      </w:tr>
      <w:tr>
        <w:tc>
          <w:tcPr>
            <w:tcW w:type="dxa" w:w="1987"/>
            <w:vAlign w:val="center"/>
          </w:tcPr>
          <w:p>
            <w:pPr>
              <w:spacing w:after="0"/>
            </w:pPr>
            <w:r/>
            <w:r>
              <w:rPr>
                <w:rFonts w:ascii="Times New Roman" w:hAnsi="Times New Roman"/>
                <w:b w:val="0"/>
                <w:sz w:val="18"/>
              </w:rPr>
              <w:t>Withdrawn</w:t>
            </w:r>
          </w:p>
        </w:tc>
        <w:tc>
          <w:tcPr>
            <w:tcW w:type="dxa" w:w="1987"/>
            <w:vAlign w:val="center"/>
          </w:tcPr>
          <w:p>
            <w:pPr>
              <w:spacing w:after="0"/>
            </w:pPr>
            <w:r/>
            <w:r>
              <w:rPr>
                <w:rFonts w:ascii="Times New Roman" w:hAnsi="Times New Roman"/>
                <w:b w:val="0"/>
                <w:sz w:val="18"/>
              </w:rPr>
              <w:t>0.41</w:t>
            </w:r>
          </w:p>
        </w:tc>
        <w:tc>
          <w:tcPr>
            <w:tcW w:type="dxa" w:w="1987"/>
            <w:vAlign w:val="center"/>
          </w:tcPr>
          <w:p>
            <w:pPr>
              <w:spacing w:after="0"/>
            </w:pPr>
            <w:r/>
            <w:r>
              <w:rPr>
                <w:rFonts w:ascii="Times New Roman" w:hAnsi="Times New Roman"/>
                <w:b w:val="0"/>
                <w:sz w:val="18"/>
              </w:rPr>
              <w:t>0.11</w:t>
            </w:r>
          </w:p>
        </w:tc>
        <w:tc>
          <w:tcPr>
            <w:tcW w:type="dxa" w:w="1987"/>
            <w:vAlign w:val="center"/>
          </w:tcPr>
          <w:p>
            <w:pPr>
              <w:spacing w:after="0"/>
            </w:pPr>
            <w:r/>
            <w:r>
              <w:rPr>
                <w:rFonts w:ascii="Times New Roman" w:hAnsi="Times New Roman"/>
                <w:b w:val="0"/>
                <w:sz w:val="18"/>
              </w:rPr>
              <w:t>0.18</w:t>
            </w:r>
          </w:p>
        </w:tc>
        <w:tc>
          <w:tcPr>
            <w:tcW w:type="dxa" w:w="1987"/>
            <w:vAlign w:val="center"/>
          </w:tcPr>
          <w:p>
            <w:pPr>
              <w:spacing w:after="0"/>
            </w:pPr>
            <w:r/>
            <w:r>
              <w:rPr>
                <w:rFonts w:ascii="Times New Roman" w:hAnsi="Times New Roman"/>
                <w:b w:val="0"/>
                <w:sz w:val="18"/>
              </w:rPr>
              <w:t>801</w:t>
            </w:r>
          </w:p>
        </w:tc>
      </w:tr>
    </w:tbl>
    <w:p/>
    <w:p>
      <w:r>
        <w:t>Time-aware accuracy was 57.14%, with a macro-average F1-score of 0.43. Pass recall remained relatively high at 0.85, but Distinction recall was 0.21 and Withdrawn recall was 0.11. Of 801 actual Withdrawn cases in the time-aware test set, 90 were correctly classified as Withdrawn and 711 were missed. This corresponds to a false-negative rate of approximately 88.8% for the Withdrawn class.</w:t>
      </w:r>
    </w:p>
    <w:p>
      <w:r>
        <w:t>The accuracy difference between the two audits is 12.03 percentage points, and withdrawal recall fell from 73.1% in the initial audit's male subgroup / 72.0% in its female subgroup (overall withdrawal recall 73%) to 11.2% in the time-aware audit. The comparison is diagnostic, not a controlled experiment isolating the effect of leakage: the eligible population and feature definitions differ between audits. The drop supports further investigation into temporal feature validity, but it does not quantify leakage on its own.</w:t>
      </w:r>
    </w:p>
    <w:p>
      <w:pPr>
        <w:pStyle w:val="Heading1"/>
      </w:pPr>
      <w:r>
        <w:t>6. Fairness Analysis by Gender</w:t>
      </w:r>
    </w:p>
    <w:p>
      <w:r>
        <w:t>The verified gender encoding was 0 = F and 1 = M. In the initial audit, withdrawal recall was 72.0% for the female-coded group and 73.1% for the male-coded group. Their withdrawal false-positive rates were 9.1% and 14.2%, respectively.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rFonts w:ascii="Times New Roman" w:hAnsi="Times New Roman"/>
                <w:b/>
                <w:sz w:val="18"/>
              </w:rPr>
              <w:t>Day-60 gender group</w:t>
            </w:r>
          </w:p>
        </w:tc>
        <w:tc>
          <w:tcPr>
            <w:tcW w:type="dxa" w:w="1987"/>
            <w:vAlign w:val="center"/>
            <w:shd w:fill="D9EAF7"/>
          </w:tcPr>
          <w:p>
            <w:pPr>
              <w:spacing w:after="0"/>
            </w:pPr>
            <w:r/>
            <w:r>
              <w:rPr>
                <w:rFonts w:ascii="Times New Roman" w:hAnsi="Times New Roman"/>
                <w:b/>
                <w:sz w:val="18"/>
              </w:rPr>
              <w:t>Test records</w:t>
            </w:r>
          </w:p>
        </w:tc>
        <w:tc>
          <w:tcPr>
            <w:tcW w:type="dxa" w:w="1987"/>
            <w:vAlign w:val="center"/>
            <w:shd w:fill="D9EAF7"/>
          </w:tcPr>
          <w:p>
            <w:pPr>
              <w:spacing w:after="0"/>
            </w:pPr>
            <w:r/>
            <w:r>
              <w:rPr>
                <w:rFonts w:ascii="Times New Roman" w:hAnsi="Times New Roman"/>
                <w:b/>
                <w:sz w:val="18"/>
              </w:rPr>
              <w:t>Withdrawn precision</w:t>
            </w:r>
          </w:p>
        </w:tc>
        <w:tc>
          <w:tcPr>
            <w:tcW w:type="dxa" w:w="1987"/>
            <w:vAlign w:val="center"/>
            <w:shd w:fill="D9EAF7"/>
          </w:tcPr>
          <w:p>
            <w:pPr>
              <w:spacing w:after="0"/>
            </w:pPr>
            <w:r/>
            <w:r>
              <w:rPr>
                <w:rFonts w:ascii="Times New Roman" w:hAnsi="Times New Roman"/>
                <w:b/>
                <w:sz w:val="18"/>
              </w:rPr>
              <w:t>Withdrawn recall</w:t>
            </w:r>
          </w:p>
        </w:tc>
        <w:tc>
          <w:tcPr>
            <w:tcW w:type="dxa" w:w="1987"/>
            <w:vAlign w:val="center"/>
            <w:shd w:fill="D9EAF7"/>
          </w:tcPr>
          <w:p>
            <w:pPr>
              <w:spacing w:after="0"/>
            </w:pPr>
            <w:r/>
            <w:r>
              <w:rPr>
                <w:rFonts w:ascii="Times New Roman" w:hAnsi="Times New Roman"/>
                <w:b/>
                <w:sz w:val="18"/>
              </w:rPr>
              <w:t>Withdrawn FPR</w:t>
            </w:r>
          </w:p>
        </w:tc>
      </w:tr>
      <w:tr>
        <w:tc>
          <w:tcPr>
            <w:tcW w:type="dxa" w:w="1987"/>
            <w:vAlign w:val="center"/>
          </w:tcPr>
          <w:p>
            <w:pPr>
              <w:spacing w:after="0"/>
            </w:pPr>
            <w:r/>
            <w:r>
              <w:rPr>
                <w:rFonts w:ascii="Times New Roman" w:hAnsi="Times New Roman"/>
                <w:b w:val="0"/>
                <w:sz w:val="18"/>
              </w:rPr>
              <w:t>F</w:t>
            </w:r>
          </w:p>
        </w:tc>
        <w:tc>
          <w:tcPr>
            <w:tcW w:type="dxa" w:w="1987"/>
            <w:vAlign w:val="center"/>
          </w:tcPr>
          <w:p>
            <w:pPr>
              <w:spacing w:after="0"/>
            </w:pPr>
            <w:r/>
            <w:r>
              <w:rPr>
                <w:rFonts w:ascii="Times New Roman" w:hAnsi="Times New Roman"/>
                <w:b w:val="0"/>
                <w:sz w:val="18"/>
              </w:rPr>
              <w:t>2,389</w:t>
            </w:r>
          </w:p>
        </w:tc>
        <w:tc>
          <w:tcPr>
            <w:tcW w:type="dxa" w:w="1987"/>
            <w:vAlign w:val="center"/>
          </w:tcPr>
          <w:p>
            <w:pPr>
              <w:spacing w:after="0"/>
            </w:pPr>
            <w:r/>
            <w:r>
              <w:rPr>
                <w:rFonts w:ascii="Times New Roman" w:hAnsi="Times New Roman"/>
                <w:b w:val="0"/>
                <w:sz w:val="18"/>
              </w:rPr>
              <w:t>44.8%</w:t>
            </w:r>
          </w:p>
        </w:tc>
        <w:tc>
          <w:tcPr>
            <w:tcW w:type="dxa" w:w="1987"/>
            <w:vAlign w:val="center"/>
          </w:tcPr>
          <w:p>
            <w:pPr>
              <w:spacing w:after="0"/>
            </w:pPr>
            <w:r/>
            <w:r>
              <w:rPr>
                <w:rFonts w:ascii="Times New Roman" w:hAnsi="Times New Roman"/>
                <w:b w:val="0"/>
                <w:sz w:val="18"/>
              </w:rPr>
              <w:t>12.8%</w:t>
            </w:r>
          </w:p>
        </w:tc>
        <w:tc>
          <w:tcPr>
            <w:tcW w:type="dxa" w:w="1987"/>
            <w:vAlign w:val="center"/>
          </w:tcPr>
          <w:p>
            <w:pPr>
              <w:spacing w:after="0"/>
            </w:pPr>
            <w:r/>
            <w:r>
              <w:rPr>
                <w:rFonts w:ascii="Times New Roman" w:hAnsi="Times New Roman"/>
                <w:b w:val="0"/>
                <w:sz w:val="18"/>
              </w:rPr>
              <w:t>2.6%</w:t>
            </w:r>
          </w:p>
        </w:tc>
      </w:tr>
      <w:tr>
        <w:tc>
          <w:tcPr>
            <w:tcW w:type="dxa" w:w="1987"/>
            <w:vAlign w:val="center"/>
          </w:tcPr>
          <w:p>
            <w:pPr>
              <w:spacing w:after="0"/>
            </w:pPr>
            <w:r/>
            <w:r>
              <w:rPr>
                <w:rFonts w:ascii="Times New Roman" w:hAnsi="Times New Roman"/>
                <w:b w:val="0"/>
                <w:sz w:val="18"/>
              </w:rPr>
              <w:t>M</w:t>
            </w:r>
          </w:p>
        </w:tc>
        <w:tc>
          <w:tcPr>
            <w:tcW w:type="dxa" w:w="1987"/>
            <w:vAlign w:val="center"/>
          </w:tcPr>
          <w:p>
            <w:pPr>
              <w:spacing w:after="0"/>
            </w:pPr>
            <w:r/>
            <w:r>
              <w:rPr>
                <w:rFonts w:ascii="Times New Roman" w:hAnsi="Times New Roman"/>
                <w:b w:val="0"/>
                <w:sz w:val="18"/>
              </w:rPr>
              <w:t>2,905</w:t>
            </w:r>
          </w:p>
        </w:tc>
        <w:tc>
          <w:tcPr>
            <w:tcW w:type="dxa" w:w="1987"/>
            <w:vAlign w:val="center"/>
          </w:tcPr>
          <w:p>
            <w:pPr>
              <w:spacing w:after="0"/>
            </w:pPr>
            <w:r/>
            <w:r>
              <w:rPr>
                <w:rFonts w:ascii="Times New Roman" w:hAnsi="Times New Roman"/>
                <w:b w:val="0"/>
                <w:sz w:val="18"/>
              </w:rPr>
              <w:t>38.2%</w:t>
            </w:r>
          </w:p>
        </w:tc>
        <w:tc>
          <w:tcPr>
            <w:tcW w:type="dxa" w:w="1987"/>
            <w:vAlign w:val="center"/>
          </w:tcPr>
          <w:p>
            <w:pPr>
              <w:spacing w:after="0"/>
            </w:pPr>
            <w:r/>
            <w:r>
              <w:rPr>
                <w:rFonts w:ascii="Times New Roman" w:hAnsi="Times New Roman"/>
                <w:b w:val="0"/>
                <w:sz w:val="18"/>
              </w:rPr>
              <w:t>10.1%</w:t>
            </w:r>
          </w:p>
        </w:tc>
        <w:tc>
          <w:tcPr>
            <w:tcW w:type="dxa" w:w="1987"/>
            <w:vAlign w:val="center"/>
          </w:tcPr>
          <w:p>
            <w:pPr>
              <w:spacing w:after="0"/>
            </w:pPr>
            <w:r/>
            <w:r>
              <w:rPr>
                <w:rFonts w:ascii="Times New Roman" w:hAnsi="Times New Roman"/>
                <w:b w:val="0"/>
                <w:sz w:val="18"/>
              </w:rPr>
              <w:t>3.1%</w:t>
            </w:r>
          </w:p>
        </w:tc>
      </w:tr>
    </w:tbl>
    <w:p/>
    <w:p>
      <w:r>
        <w:t>In the time-aware audit, female-coded records had a withdrawal recall of 12.8%, compared with 10.1% for male-coded records. The false-positive rates were 2.6% and 3.1%, respectively. Both groups had very low withdrawal recall, so the most urgent concern is poor detection overall rather than declaring one group fairly or unfairly treated based on a small difference.</w:t>
      </w:r>
    </w:p>
    <w:p>
      <w:r>
        <w:t>The audit reports group-level rates but does not yet calculate confidence intervals or conduct significance tests. It also does not establish the reasons for differences. Differences can reflect sample variation, feature distributions, unequal access to learning resources, outcome prevalence, or limitations in the data and model. Further analysis is required before making a causal or legal conclusion.</w:t>
      </w:r>
    </w:p>
    <w:p>
      <w:pPr>
        <w:pStyle w:val="Heading1"/>
      </w:pPr>
      <w:r>
        <w:t>7. Fairness Analysis by Recorded Disability</w:t>
      </w:r>
    </w:p>
    <w:p>
      <w:r>
        <w:t>The verified disability encoding was 0 = N and 1 = Y. The label indicates recorded disability status in the dataset and should not be interpreted as a complete description of a student's needs or circumstances.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rFonts w:ascii="Times New Roman" w:hAnsi="Times New Roman"/>
                <w:b/>
                <w:sz w:val="18"/>
              </w:rPr>
              <w:t>Day-60 disability group</w:t>
            </w:r>
          </w:p>
        </w:tc>
        <w:tc>
          <w:tcPr>
            <w:tcW w:type="dxa" w:w="1987"/>
            <w:vAlign w:val="center"/>
            <w:shd w:fill="D9EAF7"/>
          </w:tcPr>
          <w:p>
            <w:pPr>
              <w:spacing w:after="0"/>
            </w:pPr>
            <w:r/>
            <w:r>
              <w:rPr>
                <w:rFonts w:ascii="Times New Roman" w:hAnsi="Times New Roman"/>
                <w:b/>
                <w:sz w:val="18"/>
              </w:rPr>
              <w:t>Test records</w:t>
            </w:r>
          </w:p>
        </w:tc>
        <w:tc>
          <w:tcPr>
            <w:tcW w:type="dxa" w:w="1987"/>
            <w:vAlign w:val="center"/>
            <w:shd w:fill="D9EAF7"/>
          </w:tcPr>
          <w:p>
            <w:pPr>
              <w:spacing w:after="0"/>
            </w:pPr>
            <w:r/>
            <w:r>
              <w:rPr>
                <w:rFonts w:ascii="Times New Roman" w:hAnsi="Times New Roman"/>
                <w:b/>
                <w:sz w:val="18"/>
              </w:rPr>
              <w:t>Withdrawn precision</w:t>
            </w:r>
          </w:p>
        </w:tc>
        <w:tc>
          <w:tcPr>
            <w:tcW w:type="dxa" w:w="1987"/>
            <w:vAlign w:val="center"/>
            <w:shd w:fill="D9EAF7"/>
          </w:tcPr>
          <w:p>
            <w:pPr>
              <w:spacing w:after="0"/>
            </w:pPr>
            <w:r/>
            <w:r>
              <w:rPr>
                <w:rFonts w:ascii="Times New Roman" w:hAnsi="Times New Roman"/>
                <w:b/>
                <w:sz w:val="18"/>
              </w:rPr>
              <w:t>Withdrawn recall</w:t>
            </w:r>
          </w:p>
        </w:tc>
        <w:tc>
          <w:tcPr>
            <w:tcW w:type="dxa" w:w="1987"/>
            <w:vAlign w:val="center"/>
            <w:shd w:fill="D9EAF7"/>
          </w:tcPr>
          <w:p>
            <w:pPr>
              <w:spacing w:after="0"/>
            </w:pPr>
            <w:r/>
            <w:r>
              <w:rPr>
                <w:rFonts w:ascii="Times New Roman" w:hAnsi="Times New Roman"/>
                <w:b/>
                <w:sz w:val="18"/>
              </w:rPr>
              <w:t>Withdrawn FPR</w:t>
            </w:r>
          </w:p>
        </w:tc>
      </w:tr>
      <w:tr>
        <w:tc>
          <w:tcPr>
            <w:tcW w:type="dxa" w:w="1987"/>
            <w:vAlign w:val="center"/>
          </w:tcPr>
          <w:p>
            <w:pPr>
              <w:spacing w:after="0"/>
            </w:pPr>
            <w:r/>
            <w:r>
              <w:rPr>
                <w:rFonts w:ascii="Times New Roman" w:hAnsi="Times New Roman"/>
                <w:b w:val="0"/>
                <w:sz w:val="18"/>
              </w:rPr>
              <w:t>N: no recorded disability</w:t>
            </w:r>
          </w:p>
        </w:tc>
        <w:tc>
          <w:tcPr>
            <w:tcW w:type="dxa" w:w="1987"/>
            <w:vAlign w:val="center"/>
          </w:tcPr>
          <w:p>
            <w:pPr>
              <w:spacing w:after="0"/>
            </w:pPr>
            <w:r/>
            <w:r>
              <w:rPr>
                <w:rFonts w:ascii="Times New Roman" w:hAnsi="Times New Roman"/>
                <w:b w:val="0"/>
                <w:sz w:val="18"/>
              </w:rPr>
              <w:t>4,793</w:t>
            </w:r>
          </w:p>
        </w:tc>
        <w:tc>
          <w:tcPr>
            <w:tcW w:type="dxa" w:w="1987"/>
            <w:vAlign w:val="center"/>
          </w:tcPr>
          <w:p>
            <w:pPr>
              <w:spacing w:after="0"/>
            </w:pPr>
            <w:r/>
            <w:r>
              <w:rPr>
                <w:rFonts w:ascii="Times New Roman" w:hAnsi="Times New Roman"/>
                <w:b w:val="0"/>
                <w:sz w:val="18"/>
              </w:rPr>
              <w:t>37.5%</w:t>
            </w:r>
          </w:p>
        </w:tc>
        <w:tc>
          <w:tcPr>
            <w:tcW w:type="dxa" w:w="1987"/>
            <w:vAlign w:val="center"/>
          </w:tcPr>
          <w:p>
            <w:pPr>
              <w:spacing w:after="0"/>
            </w:pPr>
            <w:r/>
            <w:r>
              <w:rPr>
                <w:rFonts w:ascii="Times New Roman" w:hAnsi="Times New Roman"/>
                <w:b w:val="0"/>
                <w:sz w:val="18"/>
              </w:rPr>
              <w:t>9.2%</w:t>
            </w:r>
          </w:p>
        </w:tc>
        <w:tc>
          <w:tcPr>
            <w:tcW w:type="dxa" w:w="1987"/>
            <w:vAlign w:val="center"/>
          </w:tcPr>
          <w:p>
            <w:pPr>
              <w:spacing w:after="0"/>
            </w:pPr>
            <w:r/>
            <w:r>
              <w:rPr>
                <w:rFonts w:ascii="Times New Roman" w:hAnsi="Times New Roman"/>
                <w:b w:val="0"/>
                <w:sz w:val="18"/>
              </w:rPr>
              <w:t>2.6%</w:t>
            </w:r>
          </w:p>
        </w:tc>
      </w:tr>
      <w:tr>
        <w:tc>
          <w:tcPr>
            <w:tcW w:type="dxa" w:w="1987"/>
            <w:vAlign w:val="center"/>
          </w:tcPr>
          <w:p>
            <w:pPr>
              <w:spacing w:after="0"/>
            </w:pPr>
            <w:r/>
            <w:r>
              <w:rPr>
                <w:rFonts w:ascii="Times New Roman" w:hAnsi="Times New Roman"/>
                <w:b w:val="0"/>
                <w:sz w:val="18"/>
              </w:rPr>
              <w:t>Y: disability recorded</w:t>
            </w:r>
          </w:p>
        </w:tc>
        <w:tc>
          <w:tcPr>
            <w:tcW w:type="dxa" w:w="1987"/>
            <w:vAlign w:val="center"/>
          </w:tcPr>
          <w:p>
            <w:pPr>
              <w:spacing w:after="0"/>
            </w:pPr>
            <w:r/>
            <w:r>
              <w:rPr>
                <w:rFonts w:ascii="Times New Roman" w:hAnsi="Times New Roman"/>
                <w:b w:val="0"/>
                <w:sz w:val="18"/>
              </w:rPr>
              <w:t>501</w:t>
            </w:r>
          </w:p>
        </w:tc>
        <w:tc>
          <w:tcPr>
            <w:tcW w:type="dxa" w:w="1987"/>
            <w:vAlign w:val="center"/>
          </w:tcPr>
          <w:p>
            <w:pPr>
              <w:spacing w:after="0"/>
            </w:pPr>
            <w:r/>
            <w:r>
              <w:rPr>
                <w:rFonts w:ascii="Times New Roman" w:hAnsi="Times New Roman"/>
                <w:b w:val="0"/>
                <w:sz w:val="18"/>
              </w:rPr>
              <w:t>52.9%</w:t>
            </w:r>
          </w:p>
        </w:tc>
        <w:tc>
          <w:tcPr>
            <w:tcW w:type="dxa" w:w="1987"/>
            <w:vAlign w:val="center"/>
          </w:tcPr>
          <w:p>
            <w:pPr>
              <w:spacing w:after="0"/>
            </w:pPr>
            <w:r/>
            <w:r>
              <w:rPr>
                <w:rFonts w:ascii="Times New Roman" w:hAnsi="Times New Roman"/>
                <w:b w:val="0"/>
                <w:sz w:val="18"/>
              </w:rPr>
              <w:t>23.5%</w:t>
            </w:r>
          </w:p>
        </w:tc>
        <w:tc>
          <w:tcPr>
            <w:tcW w:type="dxa" w:w="1987"/>
            <w:vAlign w:val="center"/>
          </w:tcPr>
          <w:p>
            <w:pPr>
              <w:spacing w:after="0"/>
            </w:pPr>
            <w:r/>
            <w:r>
              <w:rPr>
                <w:rFonts w:ascii="Times New Roman" w:hAnsi="Times New Roman"/>
                <w:b w:val="0"/>
                <w:sz w:val="18"/>
              </w:rPr>
              <w:t>6.2%</w:t>
            </w:r>
          </w:p>
        </w:tc>
      </w:tr>
    </w:tbl>
    <w:p/>
    <w:p>
      <w:r>
        <w:t>The disability-recorded group had higher withdrawal recall (23.5%) than the no-recorded-disability group (9.2%). However, withdrawal recall was still low in both groups. The disability-recorded group also had a higher withdrawal false-positive rate (6.2% compared with 2.6%) and lower overall group accuracy (53.5% compared with 57.5%).</w:t>
      </w:r>
    </w:p>
    <w:p>
      <w:r>
        <w:t>These metrics illustrate why fairness cannot be assessed with one number. A higher recall can mean that more actual withdrawal cases are detected, while a higher false-positive rate can mean more students who do not ultimately withdraw are flagged. Unnecessary alerts may cause stress, stigma, or wasted support resources. The disability-recorded test group was smaller, with 501 records, so uncertainty around its estimates may be larger. Confidence intervals and repeated validation are required before drawing firm conclusions.</w:t>
      </w:r>
    </w:p>
    <w:p>
      <w:pPr>
        <w:pStyle w:val="Heading1"/>
      </w:pPr>
      <w:r>
        <w:t>8. Ethical Risks and Limitations</w:t>
      </w:r>
    </w:p>
    <w:p>
      <w:pPr>
        <w:pStyle w:val="Heading2"/>
      </w:pPr>
      <w:r>
        <w:t>8.1 Temporal leakage and prediction validity</w:t>
      </w:r>
    </w:p>
    <w:p>
      <w:r>
        <w:t>The original preprocessing aggregated assessment scores and VLE activity across all available records by student ID, then joined these features to final outcomes. It did not define a prediction date. These aggregates may include information from later in a course and may make the model appear more useful than it would be at an early-warning point. This is a potential temporal leakage problem. The current evidence confirms the absence of a cutoff in the shown feature aggregation code, but it does not isolate or quantify the impact of leakage.</w:t>
      </w:r>
    </w:p>
    <w:p>
      <w:pPr>
        <w:pStyle w:val="Heading2"/>
      </w:pPr>
      <w:r>
        <w:t>8.2 Course-level feature mixing</w:t>
      </w:r>
    </w:p>
    <w:p>
      <w:r>
        <w:t>The original aggregates grouped by id_student rather than by id_student, code_module, and code_presentation. Since the same student ID can appear in multiple course records, activity or assessment information could be combined across course presentations. The time-aware audit instead groups features by student, module, and presentation. Future versions should preserve this course-level key throughout data preparation.</w:t>
      </w:r>
    </w:p>
    <w:p>
      <w:pPr>
        <w:pStyle w:val="Heading2"/>
      </w:pPr>
      <w:r>
        <w:t>8.3 Unequal class performance</w:t>
      </w:r>
    </w:p>
    <w:p>
      <w:r>
        <w:t>The time-aware model misses most Withdrawn cases and has weak Distinction recall. A system that emphasizes overall accuracy could conceal these weaknesses. In a student-support setting, false negatives may mean a student who needs help is not flagged, while false positives may lead to unnecessary outreach or stigma. Both error types should be considered when setting thresholds and designing interventions.</w:t>
      </w:r>
    </w:p>
    <w:p>
      <w:pPr>
        <w:pStyle w:val="Heading2"/>
      </w:pPr>
      <w:r>
        <w:t>8.4 Group fairness is incomplete</w:t>
      </w:r>
    </w:p>
    <w:p>
      <w:r>
        <w:t>Only gender and recorded disability were evaluated in this audit. Other attributes such as age band, region, and highest education were not included in the group fairness tables, and intersections such as gender combined with disability were not assessed. The current results do not establish that the model is fair or unfair across all relevant groups.</w:t>
      </w:r>
    </w:p>
    <w:p>
      <w:pPr>
        <w:pStyle w:val="Heading2"/>
      </w:pPr>
      <w:r>
        <w:t>8.5 Privacy and responsible use</w:t>
      </w:r>
    </w:p>
    <w:p>
      <w:r>
        <w:t>Student records are sensitive educational data. Any operational system should use access controls, data minimization, secure storage, limited retention, and a clear explanation of how data is used. Predictions should not be exposed publicly or used to shame students. Only authorized staff should see individual-level alerts, and students should have a suitable way to ask questions or correct inaccurate information.</w:t>
      </w:r>
    </w:p>
    <w:p>
      <w:pPr>
        <w:pStyle w:val="Heading2"/>
      </w:pPr>
      <w:r>
        <w:t>8.6 Risk of labeling and automation bias</w:t>
      </w:r>
    </w:p>
    <w:p>
      <w:r>
        <w:t>A prediction is a probabilistic estimate, not a fixed statement about a student's ability or future. Staff may over-trust a model output, and students may be treated differently after receiving a risk label. LearnPulse AI should not make automatic decisions about grades, access to courses, discipline, scholarships, or eligibility. Any alert should be used as a prompt for supportive human review.</w:t>
      </w:r>
    </w:p>
    <w:p>
      <w:pPr>
        <w:pStyle w:val="Heading1"/>
      </w:pPr>
      <w:r>
        <w:t>9. Recommendations and Mitigation Plan</w:t>
      </w:r>
    </w:p>
    <w:p>
      <w:pPr>
        <w:pStyle w:val="ListNumber"/>
      </w:pPr>
      <w:r>
        <w:t>Keep the day-60 feature cutoff explicit and validate it with educators. If another prediction date is selected, rebuild features and evaluate it separately.</w:t>
      </w:r>
    </w:p>
    <w:p>
      <w:pPr>
        <w:pStyle w:val="ListNumber"/>
      </w:pPr>
      <w:r>
        <w:t>Build features using student ID, module, and presentation together. Never combine engagement or assessment records across course presentations.</w:t>
      </w:r>
    </w:p>
    <w:p>
      <w:pPr>
        <w:pStyle w:val="ListNumber"/>
      </w:pPr>
      <w:r>
        <w:t>Fit every data-dependent preprocessing step on training data only. Preserve a held-out test set and use grouped validation to prevent student overlap.</w:t>
      </w:r>
    </w:p>
    <w:p>
      <w:pPr>
        <w:pStyle w:val="ListNumber"/>
      </w:pPr>
      <w:r>
        <w:t>Report macro-F1, per-class recall, precision, confusion matrices, and group-level false-positive and false-negative rates alongside accuracy.</w:t>
      </w:r>
    </w:p>
    <w:p>
      <w:pPr>
        <w:pStyle w:val="ListNumber"/>
      </w:pPr>
      <w:r>
        <w:t>Add confidence intervals or bootstrap uncertainty estimates for subgroup metrics, especially for smaller groups, and repeat validation across different splits or course presentations.</w:t>
      </w:r>
    </w:p>
    <w:p>
      <w:pPr>
        <w:pStyle w:val="ListNumber"/>
      </w:pPr>
      <w:r>
        <w:t>Investigate the low withdrawal recall before considering deployment. Explore class weighting, threshold tuning, and alternative models, but evaluate all changes on held-out data and check whether any group is harmed.</w:t>
      </w:r>
    </w:p>
    <w:p>
      <w:pPr>
        <w:pStyle w:val="ListNumber"/>
      </w:pPr>
      <w:r>
        <w:t>Review feature availability, missingness, and data quality. Do not use features that would only become available after the intended intervention point.</w:t>
      </w:r>
    </w:p>
    <w:p>
      <w:pPr>
        <w:pStyle w:val="ListNumber"/>
      </w:pPr>
      <w:r>
        <w:t>Use alerts only to offer voluntary, proportionate support such as tutoring, a check-in, or information about available resources. Avoid punitive use and automatic high-impact decisions.</w:t>
      </w:r>
    </w:p>
    <w:p>
      <w:pPr>
        <w:pStyle w:val="ListNumber"/>
      </w:pPr>
      <w:r>
        <w:t>Keep a human in the loop, document the uncertainty of predictions, and monitor outcomes and group metrics after any pilot.</w:t>
      </w:r>
    </w:p>
    <w:p>
      <w:pPr>
        <w:pStyle w:val="ListNumber"/>
      </w:pPr>
      <w:r>
        <w:t>Create a process for staff and students to challenge an inaccurate record or report a harmful alert, and regularly review whether the system is actually helping students.</w:t>
      </w:r>
    </w:p>
    <w:p>
      <w:pPr>
        <w:pStyle w:val="Heading1"/>
      </w:pPr>
      <w:r>
        <w:t>10. Conclusion</w:t>
      </w:r>
    </w:p>
    <w:p>
      <w:r>
        <w:t>The Week 6 audit shows that responsible evaluation of LearnPulse AI requires more than an overall accuracy score. The initial audit achieved 69.17% accuracy, but its whole-course aggregates did not enforce a prediction cutoff. The time-aware day-60 audit achieved 57.14% accuracy and detected only 11.2% of actual Withdrawn cases in its test set. This is not adequate evidence for deployment as a dependable early-warning system.</w:t>
      </w:r>
    </w:p>
    <w:p>
      <w:r>
        <w:t>Differences were observed across gender and recorded-disability groups, including differences in withdrawal recall and false-positive rates. Those differences are signals for further investigation rather than proof of discrimination. The dataset's repeated student IDs, unequal class distribution, limited subgroup sample sizes, and potential temporal leakage all affect interpretation.</w:t>
      </w:r>
    </w:p>
    <w:p>
      <w:r>
        <w:t>The recommended next step is to improve and validate the time-aware model, measure uncertainty, expand the fairness review, and test whether the alerts lead to beneficial support without creating stigma or unequal treatment. Until that work is complete, LearnPulse AI should remain a research prototype. Its ethical purpose must be to help educators offer timely support, not to label students or automate consequential decisions.</w:t>
      </w:r>
    </w:p>
    <w:p>
      <w:pPr>
        <w:pStyle w:val="Heading1"/>
      </w:pPr>
      <w:r>
        <w:t>Appendix A. Audit Outputs</w:t>
      </w:r>
    </w:p>
    <w:p>
      <w:r>
        <w:t>The following generated files support the results reported above and are located in the project's week 6 folder:</w:t>
      </w:r>
    </w:p>
    <w:p>
      <w:pPr>
        <w:pStyle w:val="ListBullet"/>
      </w:pPr>
      <w:r>
        <w:t>classification_report.txt — initial audit classification metrics and confusion matrix.</w:t>
      </w:r>
    </w:p>
    <w:p>
      <w:pPr>
        <w:pStyle w:val="ListBullet"/>
      </w:pPr>
      <w:r>
        <w:t>fairness_metrics.csv — initial group-level metrics for gender and recorded disability.</w:t>
      </w:r>
    </w:p>
    <w:p>
      <w:pPr>
        <w:pStyle w:val="ListBullet"/>
      </w:pPr>
      <w:r>
        <w:t>recall_by_gender.png and recall_by_disability.png — initial audit recall charts.</w:t>
      </w:r>
    </w:p>
    <w:p>
      <w:pPr>
        <w:pStyle w:val="ListBullet"/>
      </w:pPr>
      <w:r>
        <w:t>confusion_matrix.png — initial audit confusion matrix.</w:t>
      </w:r>
    </w:p>
    <w:p>
      <w:pPr>
        <w:pStyle w:val="ListBullet"/>
      </w:pPr>
      <w:r>
        <w:t>audit_metadata.json — initial audit configuration and split details.</w:t>
      </w:r>
    </w:p>
    <w:p>
      <w:pPr>
        <w:pStyle w:val="ListBullet"/>
      </w:pPr>
      <w:r>
        <w:t>temporal_classification_report.txt — day-60 audit classification report and confusion matrix.</w:t>
      </w:r>
    </w:p>
    <w:p>
      <w:pPr>
        <w:pStyle w:val="ListBullet"/>
      </w:pPr>
      <w:r>
        <w:t>temporal_fairness_metrics.csv — day-60 group-level metrics.</w:t>
      </w:r>
    </w:p>
    <w:p>
      <w:pPr>
        <w:pStyle w:val="ListBullet"/>
      </w:pPr>
      <w:r>
        <w:t>temporal_confusion_matrix.png — day-60 audit confusion matrix.</w:t>
      </w:r>
    </w:p>
    <w:p>
      <w:pPr>
        <w:pStyle w:val="ListBullet"/>
      </w:pPr>
      <w:r>
        <w:t>temporal_audit_metadata.json — day-60 audit configuration and split details.</w:t>
      </w:r>
    </w:p>
    <w:p>
      <w:pPr>
        <w:pStyle w:val="Heading1"/>
      </w:pPr>
      <w:r>
        <w:t>Appendix B. Scope and Interpretation</w:t>
      </w:r>
    </w:p>
    <w:p>
      <w:r>
        <w:t>All numerical results in this report come from the terminal outputs supplied for the LearnPulse AI audits. The comparison between the initial and time-aware audits is not a controlled ablation study because the eligible cohort and features changed. The report does not claim that observed group differences are statistically significant, that the model is legally discriminatory, or that the time-aware model is ready for deployment. Further validation is needed.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