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48"/>
        </w:rPr>
        <w:t>BLUEPRINT ARSITEKTUR &amp; PENGEMBANGAN</w:t>
      </w:r>
    </w:p>
    <w:p>
      <w:pPr>
        <w:jc w:val="center"/>
      </w:pPr>
      <w:r>
        <w:rPr>
          <w:color w:val="1F4E78"/>
          <w:sz w:val="26"/>
        </w:rPr>
        <w:t>SIMT DJBK - Modul Manajemen Talenta</w:t>
      </w:r>
    </w:p>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8"/>
          </w:tcPr>
          <w:p>
            <w:r/>
            <w:r>
              <w:rPr>
                <w:b/>
                <w:color w:val="FFFFFF"/>
                <w:sz w:val="18"/>
              </w:rPr>
              <w:t>Instansi</w:t>
            </w:r>
          </w:p>
        </w:tc>
        <w:tc>
          <w:tcPr>
            <w:tcW w:type="dxa" w:w="5112"/>
            <w:vAlign w:val="center"/>
          </w:tcPr>
          <w:p>
            <w:r/>
            <w:r>
              <w:rPr>
                <w:b w:val="0"/>
                <w:color w:val="000000"/>
                <w:sz w:val="18"/>
              </w:rPr>
              <w:t>Direktorat Jenderal Bina Konstruksi - Kementerian Pekerjaan Umum</w:t>
            </w:r>
          </w:p>
        </w:tc>
      </w:tr>
      <w:tr>
        <w:tc>
          <w:tcPr>
            <w:tcW w:type="dxa" w:w="5112"/>
            <w:vAlign w:val="center"/>
            <w:shd w:fill="1F4E78"/>
          </w:tcPr>
          <w:p>
            <w:r/>
            <w:r>
              <w:rPr>
                <w:b/>
                <w:color w:val="FFFFFF"/>
                <w:sz w:val="18"/>
              </w:rPr>
              <w:t>Sistem</w:t>
            </w:r>
          </w:p>
        </w:tc>
        <w:tc>
          <w:tcPr>
            <w:tcW w:type="dxa" w:w="5112"/>
            <w:vAlign w:val="center"/>
          </w:tcPr>
          <w:p>
            <w:r/>
            <w:r>
              <w:rPr>
                <w:b w:val="0"/>
                <w:color w:val="000000"/>
                <w:sz w:val="18"/>
              </w:rPr>
              <w:t>SIMT DJBK - Modul Manajemen Talenta</w:t>
            </w:r>
          </w:p>
        </w:tc>
      </w:tr>
      <w:tr>
        <w:tc>
          <w:tcPr>
            <w:tcW w:type="dxa" w:w="5112"/>
            <w:vAlign w:val="center"/>
            <w:shd w:fill="1F4E78"/>
          </w:tcPr>
          <w:p>
            <w:r/>
            <w:r>
              <w:rPr>
                <w:b/>
                <w:color w:val="FFFFFF"/>
                <w:sz w:val="18"/>
              </w:rPr>
              <w:t>Arsitektur</w:t>
            </w:r>
          </w:p>
        </w:tc>
        <w:tc>
          <w:tcPr>
            <w:tcW w:type="dxa" w:w="5112"/>
            <w:vAlign w:val="center"/>
          </w:tcPr>
          <w:p>
            <w:r/>
            <w:r>
              <w:rPr>
                <w:b w:val="0"/>
                <w:color w:val="000000"/>
                <w:sz w:val="18"/>
              </w:rPr>
              <w:t>Web Dashboard - Modular Monolith</w:t>
            </w:r>
          </w:p>
        </w:tc>
      </w:tr>
      <w:tr>
        <w:tc>
          <w:tcPr>
            <w:tcW w:type="dxa" w:w="5112"/>
            <w:vAlign w:val="center"/>
            <w:shd w:fill="1F4E78"/>
          </w:tcPr>
          <w:p>
            <w:r/>
            <w:r>
              <w:rPr>
                <w:b/>
                <w:color w:val="FFFFFF"/>
                <w:sz w:val="18"/>
              </w:rPr>
              <w:t>Versi Dokumen</w:t>
            </w:r>
          </w:p>
        </w:tc>
        <w:tc>
          <w:tcPr>
            <w:tcW w:type="dxa" w:w="5112"/>
            <w:vAlign w:val="center"/>
          </w:tcPr>
          <w:p>
            <w:r/>
            <w:r>
              <w:rPr>
                <w:b w:val="0"/>
                <w:color w:val="000000"/>
                <w:sz w:val="18"/>
              </w:rPr>
              <w:t>1.0 - Juli 2026</w:t>
            </w:r>
          </w:p>
        </w:tc>
      </w:tr>
    </w:tbl>
    <w:p/>
    <w:p>
      <w:pPr>
        <w:jc w:val="center"/>
      </w:pPr>
      <w:r>
        <w:t>Dokumen kerja untuk pengembangan, validasi stakeholder, dan persiapan implementasi modul talenta. Seluruh rancangan mempertahankan pendekatan rule-based, bukan AI recommendation.</w:t>
      </w:r>
    </w:p>
    <w:p>
      <w:r>
        <w:br w:type="page"/>
      </w:r>
    </w:p>
    <w:p>
      <w:pPr>
        <w:pStyle w:val="Heading1"/>
      </w:pPr>
      <w:r>
        <w:t>1. Ringkasan Eksekutif</w:t>
      </w:r>
    </w:p>
    <w:p>
      <w:r>
        <w:t>Modul Manajemen Talenta dikembangkan sebagai modul web pada aplikasi existing dengan pola modular monolith. Arsitektur memisahkan domain bisnis secara tegas di dalam satu deployment dan satu basis kode, sehingga tetap realistis untuk ruang lingkup MVP namun tidak mengunci sistem pada satu API atau satu struktur data sumber.</w:t>
      </w:r>
    </w:p>
    <w:tbl>
      <w:tblPr>
        <w:tblStyle w:val="TableGrid"/>
        <w:tblW w:type="auto" w:w="0"/>
        <w:tblLook w:firstColumn="1" w:firstRow="1" w:lastColumn="0" w:lastRow="0" w:noHBand="0" w:noVBand="1" w:val="04A0"/>
      </w:tblPr>
      <w:tblGrid>
        <w:gridCol w:w="10224"/>
      </w:tblGrid>
      <w:tr>
        <w:tc>
          <w:tcPr>
            <w:tcW w:type="dxa" w:w="10224"/>
            <w:shd w:fill="D9EAF7"/>
          </w:tcPr>
          <w:p>
            <w:r>
              <w:rPr>
                <w:b/>
                <w:color w:val="17365D"/>
              </w:rPr>
              <w:t>Prinsip Utama</w:t>
              <w:br/>
            </w:r>
            <w:r>
              <w:t>Sistem sumber boleh diganti, tetapi data canonical, rule jabatan, formula scoring, histori hasil, dan pengalaman pengguna tetap stabil.</w:t>
            </w:r>
          </w:p>
        </w:tc>
      </w:tr>
    </w:tbl>
    <w:p/>
    <w:p>
      <w:pPr>
        <w:pStyle w:val="Heading1"/>
      </w:pPr>
      <w:r>
        <w:t>2. Kondisi Dasar dan Gap</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1F4E78"/>
          </w:tcPr>
          <w:p>
            <w:r/>
            <w:r>
              <w:rPr>
                <w:b/>
                <w:color w:val="FFFFFF"/>
                <w:sz w:val="16"/>
              </w:rPr>
              <w:t>Area</w:t>
            </w:r>
          </w:p>
        </w:tc>
        <w:tc>
          <w:tcPr>
            <w:tcW w:type="dxa" w:w="3408"/>
            <w:vAlign w:val="center"/>
            <w:shd w:fill="1F4E78"/>
          </w:tcPr>
          <w:p>
            <w:r/>
            <w:r>
              <w:rPr>
                <w:b/>
                <w:color w:val="FFFFFF"/>
                <w:sz w:val="16"/>
              </w:rPr>
              <w:t>Kondisi Saat Ini</w:t>
            </w:r>
          </w:p>
        </w:tc>
        <w:tc>
          <w:tcPr>
            <w:tcW w:type="dxa" w:w="3408"/>
            <w:vAlign w:val="center"/>
            <w:shd w:fill="1F4E78"/>
          </w:tcPr>
          <w:p>
            <w:r/>
            <w:r>
              <w:rPr>
                <w:b/>
                <w:color w:val="FFFFFF"/>
                <w:sz w:val="16"/>
              </w:rPr>
              <w:t>Kebutuhan Blueprint</w:t>
            </w:r>
          </w:p>
        </w:tc>
      </w:tr>
      <w:tr>
        <w:tc>
          <w:tcPr>
            <w:tcW w:type="dxa" w:w="3408"/>
            <w:vAlign w:val="center"/>
          </w:tcPr>
          <w:p>
            <w:r/>
            <w:r>
              <w:rPr>
                <w:b w:val="0"/>
                <w:color w:val="000000"/>
                <w:sz w:val="16"/>
              </w:rPr>
              <w:t>Dashboard</w:t>
            </w:r>
          </w:p>
        </w:tc>
        <w:tc>
          <w:tcPr>
            <w:tcW w:type="dxa" w:w="3408"/>
            <w:vAlign w:val="center"/>
          </w:tcPr>
          <w:p>
            <w:r/>
            <w:r>
              <w:rPr>
                <w:b w:val="0"/>
                <w:color w:val="000000"/>
                <w:sz w:val="16"/>
              </w:rPr>
              <w:t>KPI, 9-box, jabatan strategis kosong, dan data health sudah terlihat</w:t>
            </w:r>
          </w:p>
        </w:tc>
        <w:tc>
          <w:tcPr>
            <w:tcW w:type="dxa" w:w="3408"/>
            <w:vAlign w:val="center"/>
          </w:tcPr>
          <w:p>
            <w:r/>
            <w:r>
              <w:rPr>
                <w:b w:val="0"/>
                <w:color w:val="000000"/>
                <w:sz w:val="16"/>
              </w:rPr>
              <w:t>Tambahkan filter global, source health, readiness per jabatan, dan penjelasan formula</w:t>
            </w:r>
          </w:p>
        </w:tc>
      </w:tr>
      <w:tr>
        <w:tc>
          <w:tcPr>
            <w:tcW w:type="dxa" w:w="3408"/>
            <w:vAlign w:val="center"/>
          </w:tcPr>
          <w:p>
            <w:r/>
            <w:r>
              <w:rPr>
                <w:b w:val="0"/>
                <w:color w:val="000000"/>
                <w:sz w:val="16"/>
              </w:rPr>
              <w:t>Data Pegawai</w:t>
            </w:r>
          </w:p>
        </w:tc>
        <w:tc>
          <w:tcPr>
            <w:tcW w:type="dxa" w:w="3408"/>
            <w:vAlign w:val="center"/>
          </w:tcPr>
          <w:p>
            <w:r/>
            <w:r>
              <w:rPr>
                <w:b w:val="0"/>
                <w:color w:val="000000"/>
                <w:sz w:val="16"/>
              </w:rPr>
              <w:t>Data sampel dan sebagian data operasional tersedia</w:t>
            </w:r>
          </w:p>
        </w:tc>
        <w:tc>
          <w:tcPr>
            <w:tcW w:type="dxa" w:w="3408"/>
            <w:vAlign w:val="center"/>
          </w:tcPr>
          <w:p>
            <w:r/>
            <w:r>
              <w:rPr>
                <w:b w:val="0"/>
                <w:color w:val="000000"/>
                <w:sz w:val="16"/>
              </w:rPr>
              <w:t>Canonical employee, source link, deduplication, completeness score</w:t>
            </w:r>
          </w:p>
        </w:tc>
      </w:tr>
      <w:tr>
        <w:tc>
          <w:tcPr>
            <w:tcW w:type="dxa" w:w="3408"/>
            <w:vAlign w:val="center"/>
          </w:tcPr>
          <w:p>
            <w:r/>
            <w:r>
              <w:rPr>
                <w:b w:val="0"/>
                <w:color w:val="000000"/>
                <w:sz w:val="16"/>
              </w:rPr>
              <w:t>Jabatan Target</w:t>
            </w:r>
          </w:p>
        </w:tc>
        <w:tc>
          <w:tcPr>
            <w:tcW w:type="dxa" w:w="3408"/>
            <w:vAlign w:val="center"/>
          </w:tcPr>
          <w:p>
            <w:r/>
            <w:r>
              <w:rPr>
                <w:b w:val="0"/>
                <w:color w:val="000000"/>
                <w:sz w:val="16"/>
              </w:rPr>
              <w:t>Sudah ada konsep target aktif</w:t>
            </w:r>
          </w:p>
        </w:tc>
        <w:tc>
          <w:tcPr>
            <w:tcW w:type="dxa" w:w="3408"/>
            <w:vAlign w:val="center"/>
          </w:tcPr>
          <w:p>
            <w:r/>
            <w:r>
              <w:rPr>
                <w:b w:val="0"/>
                <w:color w:val="000000"/>
                <w:sz w:val="16"/>
              </w:rPr>
              <w:t>Selector jabatan, requirement version, kebutuhan posisi, periode, status</w:t>
            </w:r>
          </w:p>
        </w:tc>
      </w:tr>
      <w:tr>
        <w:tc>
          <w:tcPr>
            <w:tcW w:type="dxa" w:w="3408"/>
            <w:vAlign w:val="center"/>
          </w:tcPr>
          <w:p>
            <w:r/>
            <w:r>
              <w:rPr>
                <w:b w:val="0"/>
                <w:color w:val="000000"/>
                <w:sz w:val="16"/>
              </w:rPr>
              <w:t>Kualifikasi</w:t>
            </w:r>
          </w:p>
        </w:tc>
        <w:tc>
          <w:tcPr>
            <w:tcW w:type="dxa" w:w="3408"/>
            <w:vAlign w:val="center"/>
          </w:tcPr>
          <w:p>
            <w:r/>
            <w:r>
              <w:rPr>
                <w:b w:val="0"/>
                <w:color w:val="000000"/>
                <w:sz w:val="16"/>
              </w:rPr>
              <w:t>Komponen 20% belum lengkap</w:t>
            </w:r>
          </w:p>
        </w:tc>
        <w:tc>
          <w:tcPr>
            <w:tcW w:type="dxa" w:w="3408"/>
            <w:vAlign w:val="center"/>
          </w:tcPr>
          <w:p>
            <w:r/>
            <w:r>
              <w:rPr>
                <w:b w:val="0"/>
                <w:color w:val="000000"/>
                <w:sz w:val="16"/>
              </w:rPr>
              <w:t>Rule pendidikan, bidang ilmu, diklat, pengalaman jabatan</w:t>
            </w:r>
          </w:p>
        </w:tc>
      </w:tr>
      <w:tr>
        <w:tc>
          <w:tcPr>
            <w:tcW w:type="dxa" w:w="3408"/>
            <w:vAlign w:val="center"/>
          </w:tcPr>
          <w:p>
            <w:r/>
            <w:r>
              <w:rPr>
                <w:b w:val="0"/>
                <w:color w:val="000000"/>
                <w:sz w:val="16"/>
              </w:rPr>
              <w:t>Integritas</w:t>
            </w:r>
          </w:p>
        </w:tc>
        <w:tc>
          <w:tcPr>
            <w:tcW w:type="dxa" w:w="3408"/>
            <w:vAlign w:val="center"/>
          </w:tcPr>
          <w:p>
            <w:r/>
            <w:r>
              <w:rPr>
                <w:b w:val="0"/>
                <w:color w:val="000000"/>
                <w:sz w:val="16"/>
              </w:rPr>
              <w:t>Data disiplin sangat terbatas</w:t>
            </w:r>
          </w:p>
        </w:tc>
        <w:tc>
          <w:tcPr>
            <w:tcW w:type="dxa" w:w="3408"/>
            <w:vAlign w:val="center"/>
          </w:tcPr>
          <w:p>
            <w:r/>
            <w:r>
              <w:rPr>
                <w:b w:val="0"/>
                <w:color w:val="000000"/>
                <w:sz w:val="16"/>
              </w:rPr>
              <w:t>Policy data kosong, evidence, validitas masa hukuman</w:t>
            </w:r>
          </w:p>
        </w:tc>
      </w:tr>
      <w:tr>
        <w:tc>
          <w:tcPr>
            <w:tcW w:type="dxa" w:w="3408"/>
            <w:vAlign w:val="center"/>
          </w:tcPr>
          <w:p>
            <w:r/>
            <w:r>
              <w:rPr>
                <w:b w:val="0"/>
                <w:color w:val="000000"/>
                <w:sz w:val="16"/>
              </w:rPr>
              <w:t>Integrasi</w:t>
            </w:r>
          </w:p>
        </w:tc>
        <w:tc>
          <w:tcPr>
            <w:tcW w:type="dxa" w:w="3408"/>
            <w:vAlign w:val="center"/>
          </w:tcPr>
          <w:p>
            <w:r/>
            <w:r>
              <w:rPr>
                <w:b w:val="0"/>
                <w:color w:val="000000"/>
                <w:sz w:val="16"/>
              </w:rPr>
              <w:t>Masih bergantung proses manual</w:t>
            </w:r>
          </w:p>
        </w:tc>
        <w:tc>
          <w:tcPr>
            <w:tcW w:type="dxa" w:w="3408"/>
            <w:vAlign w:val="center"/>
          </w:tcPr>
          <w:p>
            <w:r/>
            <w:r>
              <w:rPr>
                <w:b w:val="0"/>
                <w:color w:val="000000"/>
                <w:sz w:val="16"/>
              </w:rPr>
              <w:t>Source registry, adapter, raw intake, staging, mapping</w:t>
            </w:r>
          </w:p>
        </w:tc>
      </w:tr>
      <w:tr>
        <w:tc>
          <w:tcPr>
            <w:tcW w:type="dxa" w:w="3408"/>
            <w:vAlign w:val="center"/>
          </w:tcPr>
          <w:p>
            <w:r/>
            <w:r>
              <w:rPr>
                <w:b w:val="0"/>
                <w:color w:val="000000"/>
                <w:sz w:val="16"/>
              </w:rPr>
              <w:t>Nominasi</w:t>
            </w:r>
          </w:p>
        </w:tc>
        <w:tc>
          <w:tcPr>
            <w:tcW w:type="dxa" w:w="3408"/>
            <w:vAlign w:val="center"/>
          </w:tcPr>
          <w:p>
            <w:r/>
            <w:r>
              <w:rPr>
                <w:b w:val="0"/>
                <w:color w:val="000000"/>
                <w:sz w:val="16"/>
              </w:rPr>
              <w:t>Belum lengkap</w:t>
            </w:r>
          </w:p>
        </w:tc>
        <w:tc>
          <w:tcPr>
            <w:tcW w:type="dxa" w:w="3408"/>
            <w:vAlign w:val="center"/>
          </w:tcPr>
          <w:p>
            <w:r/>
            <w:r>
              <w:rPr>
                <w:b w:val="0"/>
                <w:color w:val="000000"/>
                <w:sz w:val="16"/>
              </w:rPr>
              <w:t>Draft, review, approval, rejection, revision, audit trail</w:t>
            </w:r>
          </w:p>
        </w:tc>
      </w:tr>
    </w:tbl>
    <w:p/>
    <w:p>
      <w:pPr>
        <w:pStyle w:val="Heading1"/>
      </w:pPr>
      <w:r>
        <w:t>3. Sasaran Arsitektur</w:t>
      </w:r>
    </w:p>
    <w:p>
      <w:pPr>
        <w:pStyle w:val="ListBullet"/>
      </w:pPr>
      <w:r>
        <w:t>Satu aplikasi modular monolith dengan modul bisnis terpisah dan kontrak internal yang jelas.</w:t>
      </w:r>
    </w:p>
    <w:p>
      <w:pPr>
        <w:pStyle w:val="ListBullet"/>
      </w:pPr>
      <w:r>
        <w:t>Semua sumber data masuk melalui integration gateway dan tabel tampungan sebelum merge.</w:t>
      </w:r>
    </w:p>
    <w:p>
      <w:pPr>
        <w:pStyle w:val="ListBullet"/>
      </w:pPr>
      <w:r>
        <w:t>Master jabatan canonical menjadi pusat mapping seluruh kode/nama jabatan eksternal.</w:t>
      </w:r>
    </w:p>
    <w:p>
      <w:pPr>
        <w:pStyle w:val="ListBullet"/>
      </w:pPr>
      <w:r>
        <w:t>Persyaratan jabatan dan formula perhitungan disimpan sebagai konfigurasi berversi.</w:t>
      </w:r>
    </w:p>
    <w:p>
      <w:pPr>
        <w:pStyle w:val="ListBullet"/>
      </w:pPr>
      <w:r>
        <w:t>Eligibility dipisahkan dari match score agar kandidat tidak langsung diranking sebelum lolos syarat wajib.</w:t>
      </w:r>
    </w:p>
    <w:p>
      <w:pPr>
        <w:pStyle w:val="ListBullet"/>
      </w:pPr>
      <w:r>
        <w:t>Setiap hasil perhitungan menyimpan snapshot formula, data, evidence, dan alasan hasil.</w:t>
      </w:r>
    </w:p>
    <w:p>
      <w:pPr>
        <w:pStyle w:val="Heading1"/>
      </w:pPr>
      <w:r>
        <w:t>4. Gambar Arsitektur</w:t>
      </w:r>
    </w:p>
    <w:p>
      <w:pPr>
        <w:jc w:val="center"/>
      </w:pPr>
      <w:r>
        <w:drawing>
          <wp:inline xmlns:a="http://schemas.openxmlformats.org/drawingml/2006/main" xmlns:pic="http://schemas.openxmlformats.org/drawingml/2006/picture">
            <wp:extent cx="6400800" cy="5613481"/>
            <wp:docPr id="1" name="Picture 1"/>
            <wp:cNvGraphicFramePr>
              <a:graphicFrameLocks noChangeAspect="1"/>
            </wp:cNvGraphicFramePr>
            <a:graphic>
              <a:graphicData uri="http://schemas.openxmlformats.org/drawingml/2006/picture">
                <pic:pic>
                  <pic:nvPicPr>
                    <pic:cNvPr id="0" name="01_arsitektur_modular_monolith.png"/>
                    <pic:cNvPicPr/>
                  </pic:nvPicPr>
                  <pic:blipFill>
                    <a:blip r:embed="rId11"/>
                    <a:stretch>
                      <a:fillRect/>
                    </a:stretch>
                  </pic:blipFill>
                  <pic:spPr>
                    <a:xfrm>
                      <a:off x="0" y="0"/>
                      <a:ext cx="6400800" cy="5613481"/>
                    </a:xfrm>
                    <a:prstGeom prst="rect"/>
                  </pic:spPr>
                </pic:pic>
              </a:graphicData>
            </a:graphic>
          </wp:inline>
        </w:drawing>
      </w:r>
    </w:p>
    <w:p>
      <w:pPr>
        <w:pStyle w:val="Heading1"/>
      </w:pPr>
      <w:r>
        <w:t>5. Struktur Modul Monolith</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1F4E78"/>
          </w:tcPr>
          <w:p>
            <w:r/>
            <w:r>
              <w:rPr>
                <w:b/>
                <w:color w:val="FFFFFF"/>
                <w:sz w:val="16"/>
              </w:rPr>
              <w:t>Modul</w:t>
            </w:r>
          </w:p>
        </w:tc>
        <w:tc>
          <w:tcPr>
            <w:tcW w:type="dxa" w:w="3408"/>
            <w:vAlign w:val="center"/>
            <w:shd w:fill="1F4E78"/>
          </w:tcPr>
          <w:p>
            <w:r/>
            <w:r>
              <w:rPr>
                <w:b/>
                <w:color w:val="FFFFFF"/>
                <w:sz w:val="16"/>
              </w:rPr>
              <w:t>Tanggung Jawab</w:t>
            </w:r>
          </w:p>
        </w:tc>
        <w:tc>
          <w:tcPr>
            <w:tcW w:type="dxa" w:w="3408"/>
            <w:vAlign w:val="center"/>
            <w:shd w:fill="1F4E78"/>
          </w:tcPr>
          <w:p>
            <w:r/>
            <w:r>
              <w:rPr>
                <w:b/>
                <w:color w:val="FFFFFF"/>
                <w:sz w:val="16"/>
              </w:rPr>
              <w:t>Interface Internal</w:t>
            </w:r>
          </w:p>
        </w:tc>
      </w:tr>
      <w:tr>
        <w:tc>
          <w:tcPr>
            <w:tcW w:type="dxa" w:w="3408"/>
            <w:vAlign w:val="center"/>
          </w:tcPr>
          <w:p>
            <w:r/>
            <w:r>
              <w:rPr>
                <w:b w:val="0"/>
                <w:color w:val="000000"/>
                <w:sz w:val="16"/>
              </w:rPr>
              <w:t>Identity &amp; Access</w:t>
            </w:r>
          </w:p>
        </w:tc>
        <w:tc>
          <w:tcPr>
            <w:tcW w:type="dxa" w:w="3408"/>
            <w:vAlign w:val="center"/>
          </w:tcPr>
          <w:p>
            <w:r/>
            <w:r>
              <w:rPr>
                <w:b w:val="0"/>
                <w:color w:val="000000"/>
                <w:sz w:val="16"/>
              </w:rPr>
              <w:t>Login, role, permission, session, access policy</w:t>
            </w:r>
          </w:p>
        </w:tc>
        <w:tc>
          <w:tcPr>
            <w:tcW w:type="dxa" w:w="3408"/>
            <w:vAlign w:val="center"/>
          </w:tcPr>
          <w:p>
            <w:r/>
            <w:r>
              <w:rPr>
                <w:b w:val="0"/>
                <w:color w:val="000000"/>
                <w:sz w:val="16"/>
              </w:rPr>
              <w:t>AuthService, PermissionService</w:t>
            </w:r>
          </w:p>
        </w:tc>
      </w:tr>
      <w:tr>
        <w:tc>
          <w:tcPr>
            <w:tcW w:type="dxa" w:w="3408"/>
            <w:vAlign w:val="center"/>
          </w:tcPr>
          <w:p>
            <w:r/>
            <w:r>
              <w:rPr>
                <w:b w:val="0"/>
                <w:color w:val="000000"/>
                <w:sz w:val="16"/>
              </w:rPr>
              <w:t>Integration</w:t>
            </w:r>
          </w:p>
        </w:tc>
        <w:tc>
          <w:tcPr>
            <w:tcW w:type="dxa" w:w="3408"/>
            <w:vAlign w:val="center"/>
          </w:tcPr>
          <w:p>
            <w:r/>
            <w:r>
              <w:rPr>
                <w:b w:val="0"/>
                <w:color w:val="000000"/>
                <w:sz w:val="16"/>
              </w:rPr>
              <w:t>Source registry, adapter, sync, raw payload, batch log</w:t>
            </w:r>
          </w:p>
        </w:tc>
        <w:tc>
          <w:tcPr>
            <w:tcW w:type="dxa" w:w="3408"/>
            <w:vAlign w:val="center"/>
          </w:tcPr>
          <w:p>
            <w:r/>
            <w:r>
              <w:rPr>
                <w:b w:val="0"/>
                <w:color w:val="000000"/>
                <w:sz w:val="16"/>
              </w:rPr>
              <w:t>IntegrationService</w:t>
            </w:r>
          </w:p>
        </w:tc>
      </w:tr>
      <w:tr>
        <w:tc>
          <w:tcPr>
            <w:tcW w:type="dxa" w:w="3408"/>
            <w:vAlign w:val="center"/>
          </w:tcPr>
          <w:p>
            <w:r/>
            <w:r>
              <w:rPr>
                <w:b w:val="0"/>
                <w:color w:val="000000"/>
                <w:sz w:val="16"/>
              </w:rPr>
              <w:t>Data Quality</w:t>
            </w:r>
          </w:p>
        </w:tc>
        <w:tc>
          <w:tcPr>
            <w:tcW w:type="dxa" w:w="3408"/>
            <w:vAlign w:val="center"/>
          </w:tcPr>
          <w:p>
            <w:r/>
            <w:r>
              <w:rPr>
                <w:b w:val="0"/>
                <w:color w:val="000000"/>
                <w:sz w:val="16"/>
              </w:rPr>
              <w:t>Validation, mapping, dedup, quarantine, merge</w:t>
            </w:r>
          </w:p>
        </w:tc>
        <w:tc>
          <w:tcPr>
            <w:tcW w:type="dxa" w:w="3408"/>
            <w:vAlign w:val="center"/>
          </w:tcPr>
          <w:p>
            <w:r/>
            <w:r>
              <w:rPr>
                <w:b w:val="0"/>
                <w:color w:val="000000"/>
                <w:sz w:val="16"/>
              </w:rPr>
              <w:t>DataQualityService</w:t>
            </w:r>
          </w:p>
        </w:tc>
      </w:tr>
      <w:tr>
        <w:tc>
          <w:tcPr>
            <w:tcW w:type="dxa" w:w="3408"/>
            <w:vAlign w:val="center"/>
          </w:tcPr>
          <w:p>
            <w:r/>
            <w:r>
              <w:rPr>
                <w:b w:val="0"/>
                <w:color w:val="000000"/>
                <w:sz w:val="16"/>
              </w:rPr>
              <w:t>Master Data</w:t>
            </w:r>
          </w:p>
        </w:tc>
        <w:tc>
          <w:tcPr>
            <w:tcW w:type="dxa" w:w="3408"/>
            <w:vAlign w:val="center"/>
          </w:tcPr>
          <w:p>
            <w:r/>
            <w:r>
              <w:rPr>
                <w:b w:val="0"/>
                <w:color w:val="000000"/>
                <w:sz w:val="16"/>
              </w:rPr>
              <w:t>Pegawai, jabatan, unit, referensi, source crosswalk</w:t>
            </w:r>
          </w:p>
        </w:tc>
        <w:tc>
          <w:tcPr>
            <w:tcW w:type="dxa" w:w="3408"/>
            <w:vAlign w:val="center"/>
          </w:tcPr>
          <w:p>
            <w:r/>
            <w:r>
              <w:rPr>
                <w:b w:val="0"/>
                <w:color w:val="000000"/>
                <w:sz w:val="16"/>
              </w:rPr>
              <w:t>MasterDataService</w:t>
            </w:r>
          </w:p>
        </w:tc>
      </w:tr>
      <w:tr>
        <w:tc>
          <w:tcPr>
            <w:tcW w:type="dxa" w:w="3408"/>
            <w:vAlign w:val="center"/>
          </w:tcPr>
          <w:p>
            <w:r/>
            <w:r>
              <w:rPr>
                <w:b w:val="0"/>
                <w:color w:val="000000"/>
                <w:sz w:val="16"/>
              </w:rPr>
              <w:t>Target Position</w:t>
            </w:r>
          </w:p>
        </w:tc>
        <w:tc>
          <w:tcPr>
            <w:tcW w:type="dxa" w:w="3408"/>
            <w:vAlign w:val="center"/>
          </w:tcPr>
          <w:p>
            <w:r/>
            <w:r>
              <w:rPr>
                <w:b w:val="0"/>
                <w:color w:val="000000"/>
                <w:sz w:val="16"/>
              </w:rPr>
              <w:t>Target jabatan, requirement set, periode, vacancy</w:t>
            </w:r>
          </w:p>
        </w:tc>
        <w:tc>
          <w:tcPr>
            <w:tcW w:type="dxa" w:w="3408"/>
            <w:vAlign w:val="center"/>
          </w:tcPr>
          <w:p>
            <w:r/>
            <w:r>
              <w:rPr>
                <w:b w:val="0"/>
                <w:color w:val="000000"/>
                <w:sz w:val="16"/>
              </w:rPr>
              <w:t>TargetPositionService</w:t>
            </w:r>
          </w:p>
        </w:tc>
      </w:tr>
      <w:tr>
        <w:tc>
          <w:tcPr>
            <w:tcW w:type="dxa" w:w="3408"/>
            <w:vAlign w:val="center"/>
          </w:tcPr>
          <w:p>
            <w:r/>
            <w:r>
              <w:rPr>
                <w:b w:val="0"/>
                <w:color w:val="000000"/>
                <w:sz w:val="16"/>
              </w:rPr>
              <w:t>Eligibility</w:t>
            </w:r>
          </w:p>
        </w:tc>
        <w:tc>
          <w:tcPr>
            <w:tcW w:type="dxa" w:w="3408"/>
            <w:vAlign w:val="center"/>
          </w:tcPr>
          <w:p>
            <w:r/>
            <w:r>
              <w:rPr>
                <w:b w:val="0"/>
                <w:color w:val="000000"/>
                <w:sz w:val="16"/>
              </w:rPr>
              <w:t>Hard gate dan review required</w:t>
            </w:r>
          </w:p>
        </w:tc>
        <w:tc>
          <w:tcPr>
            <w:tcW w:type="dxa" w:w="3408"/>
            <w:vAlign w:val="center"/>
          </w:tcPr>
          <w:p>
            <w:r/>
            <w:r>
              <w:rPr>
                <w:b w:val="0"/>
                <w:color w:val="000000"/>
                <w:sz w:val="16"/>
              </w:rPr>
              <w:t>EligibilityService</w:t>
            </w:r>
          </w:p>
        </w:tc>
      </w:tr>
      <w:tr>
        <w:tc>
          <w:tcPr>
            <w:tcW w:type="dxa" w:w="3408"/>
            <w:vAlign w:val="center"/>
          </w:tcPr>
          <w:p>
            <w:r/>
            <w:r>
              <w:rPr>
                <w:b w:val="0"/>
                <w:color w:val="000000"/>
                <w:sz w:val="16"/>
              </w:rPr>
              <w:t>Scoring</w:t>
            </w:r>
          </w:p>
        </w:tc>
        <w:tc>
          <w:tcPr>
            <w:tcW w:type="dxa" w:w="3408"/>
            <w:vAlign w:val="center"/>
          </w:tcPr>
          <w:p>
            <w:r/>
            <w:r>
              <w:rPr>
                <w:b w:val="0"/>
                <w:color w:val="000000"/>
                <w:sz w:val="16"/>
              </w:rPr>
              <w:t>Komponen, bobot, rule, simulation, snapshot</w:t>
            </w:r>
          </w:p>
        </w:tc>
        <w:tc>
          <w:tcPr>
            <w:tcW w:type="dxa" w:w="3408"/>
            <w:vAlign w:val="center"/>
          </w:tcPr>
          <w:p>
            <w:r/>
            <w:r>
              <w:rPr>
                <w:b w:val="0"/>
                <w:color w:val="000000"/>
                <w:sz w:val="16"/>
              </w:rPr>
              <w:t>ScoringService</w:t>
            </w:r>
          </w:p>
        </w:tc>
      </w:tr>
      <w:tr>
        <w:tc>
          <w:tcPr>
            <w:tcW w:type="dxa" w:w="3408"/>
            <w:vAlign w:val="center"/>
          </w:tcPr>
          <w:p>
            <w:r/>
            <w:r>
              <w:rPr>
                <w:b w:val="0"/>
                <w:color w:val="000000"/>
                <w:sz w:val="16"/>
              </w:rPr>
              <w:t>Nomination</w:t>
            </w:r>
          </w:p>
        </w:tc>
        <w:tc>
          <w:tcPr>
            <w:tcW w:type="dxa" w:w="3408"/>
            <w:vAlign w:val="center"/>
          </w:tcPr>
          <w:p>
            <w:r/>
            <w:r>
              <w:rPr>
                <w:b w:val="0"/>
                <w:color w:val="000000"/>
                <w:sz w:val="16"/>
              </w:rPr>
              <w:t>Draft kandidat, approval, revision, decision</w:t>
            </w:r>
          </w:p>
        </w:tc>
        <w:tc>
          <w:tcPr>
            <w:tcW w:type="dxa" w:w="3408"/>
            <w:vAlign w:val="center"/>
          </w:tcPr>
          <w:p>
            <w:r/>
            <w:r>
              <w:rPr>
                <w:b w:val="0"/>
                <w:color w:val="000000"/>
                <w:sz w:val="16"/>
              </w:rPr>
              <w:t>NominationService</w:t>
            </w:r>
          </w:p>
        </w:tc>
      </w:tr>
      <w:tr>
        <w:tc>
          <w:tcPr>
            <w:tcW w:type="dxa" w:w="3408"/>
            <w:vAlign w:val="center"/>
          </w:tcPr>
          <w:p>
            <w:r/>
            <w:r>
              <w:rPr>
                <w:b w:val="0"/>
                <w:color w:val="000000"/>
                <w:sz w:val="16"/>
              </w:rPr>
              <w:t>Dashboard &amp; Report</w:t>
            </w:r>
          </w:p>
        </w:tc>
        <w:tc>
          <w:tcPr>
            <w:tcW w:type="dxa" w:w="3408"/>
            <w:vAlign w:val="center"/>
          </w:tcPr>
          <w:p>
            <w:r/>
            <w:r>
              <w:rPr>
                <w:b w:val="0"/>
                <w:color w:val="000000"/>
                <w:sz w:val="16"/>
              </w:rPr>
              <w:t>KPI, 9-box, ranking, export</w:t>
            </w:r>
          </w:p>
        </w:tc>
        <w:tc>
          <w:tcPr>
            <w:tcW w:type="dxa" w:w="3408"/>
            <w:vAlign w:val="center"/>
          </w:tcPr>
          <w:p>
            <w:r/>
            <w:r>
              <w:rPr>
                <w:b w:val="0"/>
                <w:color w:val="000000"/>
                <w:sz w:val="16"/>
              </w:rPr>
              <w:t>ReportingService</w:t>
            </w:r>
          </w:p>
        </w:tc>
      </w:tr>
      <w:tr>
        <w:tc>
          <w:tcPr>
            <w:tcW w:type="dxa" w:w="3408"/>
            <w:vAlign w:val="center"/>
          </w:tcPr>
          <w:p>
            <w:r/>
            <w:r>
              <w:rPr>
                <w:b w:val="0"/>
                <w:color w:val="000000"/>
                <w:sz w:val="16"/>
              </w:rPr>
              <w:t>Audit &amp; Configuration</w:t>
            </w:r>
          </w:p>
        </w:tc>
        <w:tc>
          <w:tcPr>
            <w:tcW w:type="dxa" w:w="3408"/>
            <w:vAlign w:val="center"/>
          </w:tcPr>
          <w:p>
            <w:r/>
            <w:r>
              <w:rPr>
                <w:b w:val="0"/>
                <w:color w:val="000000"/>
                <w:sz w:val="16"/>
              </w:rPr>
              <w:t>Audit log, feature flag, system setting</w:t>
            </w:r>
          </w:p>
        </w:tc>
        <w:tc>
          <w:tcPr>
            <w:tcW w:type="dxa" w:w="3408"/>
            <w:vAlign w:val="center"/>
          </w:tcPr>
          <w:p>
            <w:r/>
            <w:r>
              <w:rPr>
                <w:b w:val="0"/>
                <w:color w:val="000000"/>
                <w:sz w:val="16"/>
              </w:rPr>
              <w:t>AuditService, ConfigService</w:t>
            </w:r>
          </w:p>
        </w:tc>
      </w:tr>
    </w:tbl>
    <w:p/>
    <w:p>
      <w:pPr>
        <w:pStyle w:val="Heading1"/>
      </w:pPr>
      <w:r>
        <w:t>6. Deployment Blueprint</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1F4E78"/>
          </w:tcPr>
          <w:p>
            <w:r/>
            <w:r>
              <w:rPr>
                <w:b/>
                <w:color w:val="FFFFFF"/>
                <w:sz w:val="16"/>
              </w:rPr>
              <w:t>Layer</w:t>
            </w:r>
          </w:p>
        </w:tc>
        <w:tc>
          <w:tcPr>
            <w:tcW w:type="dxa" w:w="3408"/>
            <w:vAlign w:val="center"/>
            <w:shd w:fill="1F4E78"/>
          </w:tcPr>
          <w:p>
            <w:r/>
            <w:r>
              <w:rPr>
                <w:b/>
                <w:color w:val="FFFFFF"/>
                <w:sz w:val="16"/>
              </w:rPr>
              <w:t>Komponen</w:t>
            </w:r>
          </w:p>
        </w:tc>
        <w:tc>
          <w:tcPr>
            <w:tcW w:type="dxa" w:w="3408"/>
            <w:vAlign w:val="center"/>
            <w:shd w:fill="1F4E78"/>
          </w:tcPr>
          <w:p>
            <w:r/>
            <w:r>
              <w:rPr>
                <w:b/>
                <w:color w:val="FFFFFF"/>
                <w:sz w:val="16"/>
              </w:rPr>
              <w:t>Catatan</w:t>
            </w:r>
          </w:p>
        </w:tc>
      </w:tr>
      <w:tr>
        <w:tc>
          <w:tcPr>
            <w:tcW w:type="dxa" w:w="3408"/>
            <w:vAlign w:val="center"/>
          </w:tcPr>
          <w:p>
            <w:r/>
            <w:r>
              <w:rPr>
                <w:b w:val="0"/>
                <w:color w:val="000000"/>
                <w:sz w:val="16"/>
              </w:rPr>
              <w:t>Client</w:t>
            </w:r>
          </w:p>
        </w:tc>
        <w:tc>
          <w:tcPr>
            <w:tcW w:type="dxa" w:w="3408"/>
            <w:vAlign w:val="center"/>
          </w:tcPr>
          <w:p>
            <w:r/>
            <w:r>
              <w:rPr>
                <w:b w:val="0"/>
                <w:color w:val="000000"/>
                <w:sz w:val="16"/>
              </w:rPr>
              <w:t>Browser desktop/responsive</w:t>
            </w:r>
          </w:p>
        </w:tc>
        <w:tc>
          <w:tcPr>
            <w:tcW w:type="dxa" w:w="3408"/>
            <w:vAlign w:val="center"/>
          </w:tcPr>
          <w:p>
            <w:r/>
            <w:r>
              <w:rPr>
                <w:b w:val="0"/>
                <w:color w:val="000000"/>
                <w:sz w:val="16"/>
              </w:rPr>
              <w:t>Tanpa mobile app khusus</w:t>
            </w:r>
          </w:p>
        </w:tc>
      </w:tr>
      <w:tr>
        <w:tc>
          <w:tcPr>
            <w:tcW w:type="dxa" w:w="3408"/>
            <w:vAlign w:val="center"/>
          </w:tcPr>
          <w:p>
            <w:r/>
            <w:r>
              <w:rPr>
                <w:b w:val="0"/>
                <w:color w:val="000000"/>
                <w:sz w:val="16"/>
              </w:rPr>
              <w:t>Reverse Proxy</w:t>
            </w:r>
          </w:p>
        </w:tc>
        <w:tc>
          <w:tcPr>
            <w:tcW w:type="dxa" w:w="3408"/>
            <w:vAlign w:val="center"/>
          </w:tcPr>
          <w:p>
            <w:r/>
            <w:r>
              <w:rPr>
                <w:b w:val="0"/>
                <w:color w:val="000000"/>
                <w:sz w:val="16"/>
              </w:rPr>
              <w:t>Nginx/Apache existing</w:t>
            </w:r>
          </w:p>
        </w:tc>
        <w:tc>
          <w:tcPr>
            <w:tcW w:type="dxa" w:w="3408"/>
            <w:vAlign w:val="center"/>
          </w:tcPr>
          <w:p>
            <w:r/>
            <w:r>
              <w:rPr>
                <w:b w:val="0"/>
                <w:color w:val="000000"/>
                <w:sz w:val="16"/>
              </w:rPr>
              <w:t>TLS, routing, security header</w:t>
            </w:r>
          </w:p>
        </w:tc>
      </w:tr>
      <w:tr>
        <w:tc>
          <w:tcPr>
            <w:tcW w:type="dxa" w:w="3408"/>
            <w:vAlign w:val="center"/>
          </w:tcPr>
          <w:p>
            <w:r/>
            <w:r>
              <w:rPr>
                <w:b w:val="0"/>
                <w:color w:val="000000"/>
                <w:sz w:val="16"/>
              </w:rPr>
              <w:t>Application</w:t>
            </w:r>
          </w:p>
        </w:tc>
        <w:tc>
          <w:tcPr>
            <w:tcW w:type="dxa" w:w="3408"/>
            <w:vAlign w:val="center"/>
          </w:tcPr>
          <w:p>
            <w:r/>
            <w:r>
              <w:rPr>
                <w:b w:val="0"/>
                <w:color w:val="000000"/>
                <w:sz w:val="16"/>
              </w:rPr>
              <w:t>Modular monolith</w:t>
            </w:r>
          </w:p>
        </w:tc>
        <w:tc>
          <w:tcPr>
            <w:tcW w:type="dxa" w:w="3408"/>
            <w:vAlign w:val="center"/>
          </w:tcPr>
          <w:p>
            <w:r/>
            <w:r>
              <w:rPr>
                <w:b w:val="0"/>
                <w:color w:val="000000"/>
                <w:sz w:val="16"/>
              </w:rPr>
              <w:t>Satu deployment; modul dipisah pada source code</w:t>
            </w:r>
          </w:p>
        </w:tc>
      </w:tr>
      <w:tr>
        <w:tc>
          <w:tcPr>
            <w:tcW w:type="dxa" w:w="3408"/>
            <w:vAlign w:val="center"/>
          </w:tcPr>
          <w:p>
            <w:r/>
            <w:r>
              <w:rPr>
                <w:b w:val="0"/>
                <w:color w:val="000000"/>
                <w:sz w:val="16"/>
              </w:rPr>
              <w:t>Worker</w:t>
            </w:r>
          </w:p>
        </w:tc>
        <w:tc>
          <w:tcPr>
            <w:tcW w:type="dxa" w:w="3408"/>
            <w:vAlign w:val="center"/>
          </w:tcPr>
          <w:p>
            <w:r/>
            <w:r>
              <w:rPr>
                <w:b w:val="0"/>
                <w:color w:val="000000"/>
                <w:sz w:val="16"/>
              </w:rPr>
              <w:t>Queue/scheduler</w:t>
            </w:r>
          </w:p>
        </w:tc>
        <w:tc>
          <w:tcPr>
            <w:tcW w:type="dxa" w:w="3408"/>
            <w:vAlign w:val="center"/>
          </w:tcPr>
          <w:p>
            <w:r/>
            <w:r>
              <w:rPr>
                <w:b w:val="0"/>
                <w:color w:val="000000"/>
                <w:sz w:val="16"/>
              </w:rPr>
              <w:t>Sync API, import, scoring batch, export</w:t>
            </w:r>
          </w:p>
        </w:tc>
      </w:tr>
      <w:tr>
        <w:tc>
          <w:tcPr>
            <w:tcW w:type="dxa" w:w="3408"/>
            <w:vAlign w:val="center"/>
          </w:tcPr>
          <w:p>
            <w:r/>
            <w:r>
              <w:rPr>
                <w:b w:val="0"/>
                <w:color w:val="000000"/>
                <w:sz w:val="16"/>
              </w:rPr>
              <w:t>Database</w:t>
            </w:r>
          </w:p>
        </w:tc>
        <w:tc>
          <w:tcPr>
            <w:tcW w:type="dxa" w:w="3408"/>
            <w:vAlign w:val="center"/>
          </w:tcPr>
          <w:p>
            <w:r/>
            <w:r>
              <w:rPr>
                <w:b w:val="0"/>
                <w:color w:val="000000"/>
                <w:sz w:val="16"/>
              </w:rPr>
              <w:t>Relational DB</w:t>
            </w:r>
          </w:p>
        </w:tc>
        <w:tc>
          <w:tcPr>
            <w:tcW w:type="dxa" w:w="3408"/>
            <w:vAlign w:val="center"/>
          </w:tcPr>
          <w:p>
            <w:r/>
            <w:r>
              <w:rPr>
                <w:b w:val="0"/>
                <w:color w:val="000000"/>
                <w:sz w:val="16"/>
              </w:rPr>
              <w:t>Schema per domain atau prefix tabel</w:t>
            </w:r>
          </w:p>
        </w:tc>
      </w:tr>
      <w:tr>
        <w:tc>
          <w:tcPr>
            <w:tcW w:type="dxa" w:w="3408"/>
            <w:vAlign w:val="center"/>
          </w:tcPr>
          <w:p>
            <w:r/>
            <w:r>
              <w:rPr>
                <w:b w:val="0"/>
                <w:color w:val="000000"/>
                <w:sz w:val="16"/>
              </w:rPr>
              <w:t>Object Storage</w:t>
            </w:r>
          </w:p>
        </w:tc>
        <w:tc>
          <w:tcPr>
            <w:tcW w:type="dxa" w:w="3408"/>
            <w:vAlign w:val="center"/>
          </w:tcPr>
          <w:p>
            <w:r/>
            <w:r>
              <w:rPr>
                <w:b w:val="0"/>
                <w:color w:val="000000"/>
                <w:sz w:val="16"/>
              </w:rPr>
              <w:t>File import/export/evidence</w:t>
            </w:r>
          </w:p>
        </w:tc>
        <w:tc>
          <w:tcPr>
            <w:tcW w:type="dxa" w:w="3408"/>
            <w:vAlign w:val="center"/>
          </w:tcPr>
          <w:p>
            <w:r/>
            <w:r>
              <w:rPr>
                <w:b w:val="0"/>
                <w:color w:val="000000"/>
                <w:sz w:val="16"/>
              </w:rPr>
              <w:t>Opsional local secured storage atau S3-compatible</w:t>
            </w:r>
          </w:p>
        </w:tc>
      </w:tr>
      <w:tr>
        <w:tc>
          <w:tcPr>
            <w:tcW w:type="dxa" w:w="3408"/>
            <w:vAlign w:val="center"/>
          </w:tcPr>
          <w:p>
            <w:r/>
            <w:r>
              <w:rPr>
                <w:b w:val="0"/>
                <w:color w:val="000000"/>
                <w:sz w:val="16"/>
              </w:rPr>
              <w:t>Observability</w:t>
            </w:r>
          </w:p>
        </w:tc>
        <w:tc>
          <w:tcPr>
            <w:tcW w:type="dxa" w:w="3408"/>
            <w:vAlign w:val="center"/>
          </w:tcPr>
          <w:p>
            <w:r/>
            <w:r>
              <w:rPr>
                <w:b w:val="0"/>
                <w:color w:val="000000"/>
                <w:sz w:val="16"/>
              </w:rPr>
              <w:t>Application log, audit, job log</w:t>
            </w:r>
          </w:p>
        </w:tc>
        <w:tc>
          <w:tcPr>
            <w:tcW w:type="dxa" w:w="3408"/>
            <w:vAlign w:val="center"/>
          </w:tcPr>
          <w:p>
            <w:r/>
            <w:r>
              <w:rPr>
                <w:b w:val="0"/>
                <w:color w:val="000000"/>
                <w:sz w:val="16"/>
              </w:rPr>
              <w:t>Correlation ID per request dan sync batch</w:t>
            </w:r>
          </w:p>
        </w:tc>
      </w:tr>
    </w:tbl>
    <w:p/>
    <w:p>
      <w:pPr>
        <w:pStyle w:val="Heading1"/>
      </w:pPr>
      <w:r>
        <w:t>7. Alur Matching Jabatan</w:t>
      </w:r>
    </w:p>
    <w:p>
      <w:pPr>
        <w:jc w:val="center"/>
      </w:pPr>
      <w:r>
        <w:drawing>
          <wp:inline xmlns:a="http://schemas.openxmlformats.org/drawingml/2006/main" xmlns:pic="http://schemas.openxmlformats.org/drawingml/2006/picture">
            <wp:extent cx="6400800" cy="502382"/>
            <wp:docPr id="2" name="Picture 2"/>
            <wp:cNvGraphicFramePr>
              <a:graphicFrameLocks noChangeAspect="1"/>
            </wp:cNvGraphicFramePr>
            <a:graphic>
              <a:graphicData uri="http://schemas.openxmlformats.org/drawingml/2006/picture">
                <pic:pic>
                  <pic:nvPicPr>
                    <pic:cNvPr id="0" name="02_alur_matching_jabatan.png"/>
                    <pic:cNvPicPr/>
                  </pic:nvPicPr>
                  <pic:blipFill>
                    <a:blip r:embed="rId12"/>
                    <a:stretch>
                      <a:fillRect/>
                    </a:stretch>
                  </pic:blipFill>
                  <pic:spPr>
                    <a:xfrm>
                      <a:off x="0" y="0"/>
                      <a:ext cx="6400800" cy="502382"/>
                    </a:xfrm>
                    <a:prstGeom prst="rect"/>
                  </pic:spPr>
                </pic:pic>
              </a:graphicData>
            </a:graphic>
          </wp:inline>
        </w:drawing>
      </w:r>
    </w:p>
    <w:p>
      <w:pPr>
        <w:pStyle w:val="Heading1"/>
      </w:pPr>
      <w:r>
        <w:t>8. Formula Dasar dan Versioning</w:t>
      </w:r>
    </w:p>
    <w:p>
      <w:r>
        <w:t>Formula baseline yang digunakan pada rancangan: 65% Potensi &amp; Kompetensi, 20% Kualifikasi, dan 15% Integritas. Kualifikasi dibagi menjadi Pendidikan 5%, Bidang Ilmu 5%, Diklat 5%, dan Pengalaman Jabatan 5%. Nilai ini tidak ditanam permanen di kode; seluruh bobot, rule, band nilai, dan kebijakan data kosong disimpan dalam scoring model version.</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1F4E78"/>
          </w:tcPr>
          <w:p>
            <w:r/>
            <w:r>
              <w:rPr>
                <w:b/>
                <w:color w:val="FFFFFF"/>
                <w:sz w:val="16"/>
              </w:rPr>
              <w:t>Objek Versioning</w:t>
            </w:r>
          </w:p>
        </w:tc>
        <w:tc>
          <w:tcPr>
            <w:tcW w:type="dxa" w:w="3408"/>
            <w:vAlign w:val="center"/>
            <w:shd w:fill="1F4E78"/>
          </w:tcPr>
          <w:p>
            <w:r/>
            <w:r>
              <w:rPr>
                <w:b/>
                <w:color w:val="FFFFFF"/>
                <w:sz w:val="16"/>
              </w:rPr>
              <w:t>Contoh</w:t>
            </w:r>
          </w:p>
        </w:tc>
        <w:tc>
          <w:tcPr>
            <w:tcW w:type="dxa" w:w="3408"/>
            <w:vAlign w:val="center"/>
            <w:shd w:fill="1F4E78"/>
          </w:tcPr>
          <w:p>
            <w:r/>
            <w:r>
              <w:rPr>
                <w:b/>
                <w:color w:val="FFFFFF"/>
                <w:sz w:val="16"/>
              </w:rPr>
              <w:t>Dampak</w:t>
            </w:r>
          </w:p>
        </w:tc>
      </w:tr>
      <w:tr>
        <w:tc>
          <w:tcPr>
            <w:tcW w:type="dxa" w:w="3408"/>
            <w:vAlign w:val="center"/>
          </w:tcPr>
          <w:p>
            <w:r/>
            <w:r>
              <w:rPr>
                <w:b w:val="0"/>
                <w:color w:val="000000"/>
                <w:sz w:val="16"/>
              </w:rPr>
              <w:t>Requirement Version</w:t>
            </w:r>
          </w:p>
        </w:tc>
        <w:tc>
          <w:tcPr>
            <w:tcW w:type="dxa" w:w="3408"/>
            <w:vAlign w:val="center"/>
          </w:tcPr>
          <w:p>
            <w:r/>
            <w:r>
              <w:rPr>
                <w:b w:val="0"/>
                <w:color w:val="000000"/>
                <w:sz w:val="16"/>
              </w:rPr>
              <w:t>Jabatan A v1.2</w:t>
            </w:r>
          </w:p>
        </w:tc>
        <w:tc>
          <w:tcPr>
            <w:tcW w:type="dxa" w:w="3408"/>
            <w:vAlign w:val="center"/>
          </w:tcPr>
          <w:p>
            <w:r/>
            <w:r>
              <w:rPr>
                <w:b w:val="0"/>
                <w:color w:val="000000"/>
                <w:sz w:val="16"/>
              </w:rPr>
              <w:t>Syarat jabatan dapat berubah tanpa menghapus histori</w:t>
            </w:r>
          </w:p>
        </w:tc>
      </w:tr>
      <w:tr>
        <w:tc>
          <w:tcPr>
            <w:tcW w:type="dxa" w:w="3408"/>
            <w:vAlign w:val="center"/>
          </w:tcPr>
          <w:p>
            <w:r/>
            <w:r>
              <w:rPr>
                <w:b w:val="0"/>
                <w:color w:val="000000"/>
                <w:sz w:val="16"/>
              </w:rPr>
              <w:t>Scoring Model Version</w:t>
            </w:r>
          </w:p>
        </w:tc>
        <w:tc>
          <w:tcPr>
            <w:tcW w:type="dxa" w:w="3408"/>
            <w:vAlign w:val="center"/>
          </w:tcPr>
          <w:p>
            <w:r/>
            <w:r>
              <w:rPr>
                <w:b w:val="0"/>
                <w:color w:val="000000"/>
                <w:sz w:val="16"/>
              </w:rPr>
              <w:t>Talent Match 2026 v1</w:t>
            </w:r>
          </w:p>
        </w:tc>
        <w:tc>
          <w:tcPr>
            <w:tcW w:type="dxa" w:w="3408"/>
            <w:vAlign w:val="center"/>
          </w:tcPr>
          <w:p>
            <w:r/>
            <w:r>
              <w:rPr>
                <w:b w:val="0"/>
                <w:color w:val="000000"/>
                <w:sz w:val="16"/>
              </w:rPr>
              <w:t>Bobot dan formula dapat dibandingkan</w:t>
            </w:r>
          </w:p>
        </w:tc>
      </w:tr>
      <w:tr>
        <w:tc>
          <w:tcPr>
            <w:tcW w:type="dxa" w:w="3408"/>
            <w:vAlign w:val="center"/>
          </w:tcPr>
          <w:p>
            <w:r/>
            <w:r>
              <w:rPr>
                <w:b w:val="0"/>
                <w:color w:val="000000"/>
                <w:sz w:val="16"/>
              </w:rPr>
              <w:t>Mapping Version</w:t>
            </w:r>
          </w:p>
        </w:tc>
        <w:tc>
          <w:tcPr>
            <w:tcW w:type="dxa" w:w="3408"/>
            <w:vAlign w:val="center"/>
          </w:tcPr>
          <w:p>
            <w:r/>
            <w:r>
              <w:rPr>
                <w:b w:val="0"/>
                <w:color w:val="000000"/>
                <w:sz w:val="16"/>
              </w:rPr>
              <w:t>eHRM Position Mapping v3</w:t>
            </w:r>
          </w:p>
        </w:tc>
        <w:tc>
          <w:tcPr>
            <w:tcW w:type="dxa" w:w="3408"/>
            <w:vAlign w:val="center"/>
          </w:tcPr>
          <w:p>
            <w:r/>
            <w:r>
              <w:rPr>
                <w:b w:val="0"/>
                <w:color w:val="000000"/>
                <w:sz w:val="16"/>
              </w:rPr>
              <w:t>Perubahan mapping dapat diaudit</w:t>
            </w:r>
          </w:p>
        </w:tc>
      </w:tr>
      <w:tr>
        <w:tc>
          <w:tcPr>
            <w:tcW w:type="dxa" w:w="3408"/>
            <w:vAlign w:val="center"/>
          </w:tcPr>
          <w:p>
            <w:r/>
            <w:r>
              <w:rPr>
                <w:b w:val="0"/>
                <w:color w:val="000000"/>
                <w:sz w:val="16"/>
              </w:rPr>
              <w:t>Result Snapshot</w:t>
            </w:r>
          </w:p>
        </w:tc>
        <w:tc>
          <w:tcPr>
            <w:tcW w:type="dxa" w:w="3408"/>
            <w:vAlign w:val="center"/>
          </w:tcPr>
          <w:p>
            <w:r/>
            <w:r>
              <w:rPr>
                <w:b w:val="0"/>
                <w:color w:val="000000"/>
                <w:sz w:val="16"/>
              </w:rPr>
              <w:t>Run 31-07-2026 14:30</w:t>
            </w:r>
          </w:p>
        </w:tc>
        <w:tc>
          <w:tcPr>
            <w:tcW w:type="dxa" w:w="3408"/>
            <w:vAlign w:val="center"/>
          </w:tcPr>
          <w:p>
            <w:r/>
            <w:r>
              <w:rPr>
                <w:b w:val="0"/>
                <w:color w:val="000000"/>
                <w:sz w:val="16"/>
              </w:rPr>
              <w:t>Hasil lama tetap dapat direproduksi</w:t>
            </w:r>
          </w:p>
        </w:tc>
      </w:tr>
    </w:tbl>
    <w:p/>
    <w:p>
      <w:pPr>
        <w:pStyle w:val="Heading1"/>
      </w:pPr>
      <w:r>
        <w:t>9. Roadmap Implementasi 10 Minggu</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1F4E78"/>
          </w:tcPr>
          <w:p>
            <w:r/>
            <w:r>
              <w:rPr>
                <w:b/>
                <w:color w:val="FFFFFF"/>
                <w:sz w:val="16"/>
              </w:rPr>
              <w:t>Minggu</w:t>
            </w:r>
          </w:p>
        </w:tc>
        <w:tc>
          <w:tcPr>
            <w:tcW w:type="dxa" w:w="3408"/>
            <w:vAlign w:val="center"/>
            <w:shd w:fill="1F4E78"/>
          </w:tcPr>
          <w:p>
            <w:r/>
            <w:r>
              <w:rPr>
                <w:b/>
                <w:color w:val="FFFFFF"/>
                <w:sz w:val="16"/>
              </w:rPr>
              <w:t>Fokus</w:t>
            </w:r>
          </w:p>
        </w:tc>
        <w:tc>
          <w:tcPr>
            <w:tcW w:type="dxa" w:w="3408"/>
            <w:vAlign w:val="center"/>
            <w:shd w:fill="1F4E78"/>
          </w:tcPr>
          <w:p>
            <w:r/>
            <w:r>
              <w:rPr>
                <w:b/>
                <w:color w:val="FFFFFF"/>
                <w:sz w:val="16"/>
              </w:rPr>
              <w:t>Output</w:t>
            </w:r>
          </w:p>
        </w:tc>
      </w:tr>
      <w:tr>
        <w:tc>
          <w:tcPr>
            <w:tcW w:type="dxa" w:w="3408"/>
            <w:vAlign w:val="center"/>
          </w:tcPr>
          <w:p>
            <w:r/>
            <w:r>
              <w:rPr>
                <w:b w:val="0"/>
                <w:color w:val="000000"/>
                <w:sz w:val="16"/>
              </w:rPr>
              <w:t>1</w:t>
            </w:r>
          </w:p>
        </w:tc>
        <w:tc>
          <w:tcPr>
            <w:tcW w:type="dxa" w:w="3408"/>
            <w:vAlign w:val="center"/>
          </w:tcPr>
          <w:p>
            <w:r/>
            <w:r>
              <w:rPr>
                <w:b w:val="0"/>
                <w:color w:val="000000"/>
                <w:sz w:val="16"/>
              </w:rPr>
              <w:t>Lock scope dan audit data</w:t>
            </w:r>
          </w:p>
        </w:tc>
        <w:tc>
          <w:tcPr>
            <w:tcW w:type="dxa" w:w="3408"/>
            <w:vAlign w:val="center"/>
          </w:tcPr>
          <w:p>
            <w:r/>
            <w:r>
              <w:rPr>
                <w:b w:val="0"/>
                <w:color w:val="000000"/>
                <w:sz w:val="16"/>
              </w:rPr>
              <w:t>Data inventory, gap register, keputusan canonical key</w:t>
            </w:r>
          </w:p>
        </w:tc>
      </w:tr>
      <w:tr>
        <w:tc>
          <w:tcPr>
            <w:tcW w:type="dxa" w:w="3408"/>
            <w:vAlign w:val="center"/>
          </w:tcPr>
          <w:p>
            <w:r/>
            <w:r>
              <w:rPr>
                <w:b w:val="0"/>
                <w:color w:val="000000"/>
                <w:sz w:val="16"/>
              </w:rPr>
              <w:t>2</w:t>
            </w:r>
          </w:p>
        </w:tc>
        <w:tc>
          <w:tcPr>
            <w:tcW w:type="dxa" w:w="3408"/>
            <w:vAlign w:val="center"/>
          </w:tcPr>
          <w:p>
            <w:r/>
            <w:r>
              <w:rPr>
                <w:b w:val="0"/>
                <w:color w:val="000000"/>
                <w:sz w:val="16"/>
              </w:rPr>
              <w:t>Master canonical</w:t>
            </w:r>
          </w:p>
        </w:tc>
        <w:tc>
          <w:tcPr>
            <w:tcW w:type="dxa" w:w="3408"/>
            <w:vAlign w:val="center"/>
          </w:tcPr>
          <w:p>
            <w:r/>
            <w:r>
              <w:rPr>
                <w:b w:val="0"/>
                <w:color w:val="000000"/>
                <w:sz w:val="16"/>
              </w:rPr>
              <w:t>Pegawai, unit, jabatan, referensi, source crosswalk</w:t>
            </w:r>
          </w:p>
        </w:tc>
      </w:tr>
      <w:tr>
        <w:tc>
          <w:tcPr>
            <w:tcW w:type="dxa" w:w="3408"/>
            <w:vAlign w:val="center"/>
          </w:tcPr>
          <w:p>
            <w:r/>
            <w:r>
              <w:rPr>
                <w:b w:val="0"/>
                <w:color w:val="000000"/>
                <w:sz w:val="16"/>
              </w:rPr>
              <w:t>3</w:t>
            </w:r>
          </w:p>
        </w:tc>
        <w:tc>
          <w:tcPr>
            <w:tcW w:type="dxa" w:w="3408"/>
            <w:vAlign w:val="center"/>
          </w:tcPr>
          <w:p>
            <w:r/>
            <w:r>
              <w:rPr>
                <w:b w:val="0"/>
                <w:color w:val="000000"/>
                <w:sz w:val="16"/>
              </w:rPr>
              <w:t>Integration foundation</w:t>
            </w:r>
          </w:p>
        </w:tc>
        <w:tc>
          <w:tcPr>
            <w:tcW w:type="dxa" w:w="3408"/>
            <w:vAlign w:val="center"/>
          </w:tcPr>
          <w:p>
            <w:r/>
            <w:r>
              <w:rPr>
                <w:b w:val="0"/>
                <w:color w:val="000000"/>
                <w:sz w:val="16"/>
              </w:rPr>
              <w:t>Source registry, raw intake, sync batch, CSV import</w:t>
            </w:r>
          </w:p>
        </w:tc>
      </w:tr>
      <w:tr>
        <w:tc>
          <w:tcPr>
            <w:tcW w:type="dxa" w:w="3408"/>
            <w:vAlign w:val="center"/>
          </w:tcPr>
          <w:p>
            <w:r/>
            <w:r>
              <w:rPr>
                <w:b w:val="0"/>
                <w:color w:val="000000"/>
                <w:sz w:val="16"/>
              </w:rPr>
              <w:t>4</w:t>
            </w:r>
          </w:p>
        </w:tc>
        <w:tc>
          <w:tcPr>
            <w:tcW w:type="dxa" w:w="3408"/>
            <w:vAlign w:val="center"/>
          </w:tcPr>
          <w:p>
            <w:r/>
            <w:r>
              <w:rPr>
                <w:b w:val="0"/>
                <w:color w:val="000000"/>
                <w:sz w:val="16"/>
              </w:rPr>
              <w:t>Staging dan data quality</w:t>
            </w:r>
          </w:p>
        </w:tc>
        <w:tc>
          <w:tcPr>
            <w:tcW w:type="dxa" w:w="3408"/>
            <w:vAlign w:val="center"/>
          </w:tcPr>
          <w:p>
            <w:r/>
            <w:r>
              <w:rPr>
                <w:b w:val="0"/>
                <w:color w:val="000000"/>
                <w:sz w:val="16"/>
              </w:rPr>
              <w:t>Validation issue, mapping UI, merge process</w:t>
            </w:r>
          </w:p>
        </w:tc>
      </w:tr>
      <w:tr>
        <w:tc>
          <w:tcPr>
            <w:tcW w:type="dxa" w:w="3408"/>
            <w:vAlign w:val="center"/>
          </w:tcPr>
          <w:p>
            <w:r/>
            <w:r>
              <w:rPr>
                <w:b w:val="0"/>
                <w:color w:val="000000"/>
                <w:sz w:val="16"/>
              </w:rPr>
              <w:t>5</w:t>
            </w:r>
          </w:p>
        </w:tc>
        <w:tc>
          <w:tcPr>
            <w:tcW w:type="dxa" w:w="3408"/>
            <w:vAlign w:val="center"/>
          </w:tcPr>
          <w:p>
            <w:r/>
            <w:r>
              <w:rPr>
                <w:b w:val="0"/>
                <w:color w:val="000000"/>
                <w:sz w:val="16"/>
              </w:rPr>
              <w:t>Target position</w:t>
            </w:r>
          </w:p>
        </w:tc>
        <w:tc>
          <w:tcPr>
            <w:tcW w:type="dxa" w:w="3408"/>
            <w:vAlign w:val="center"/>
          </w:tcPr>
          <w:p>
            <w:r/>
            <w:r>
              <w:rPr>
                <w:b w:val="0"/>
                <w:color w:val="000000"/>
                <w:sz w:val="16"/>
              </w:rPr>
              <w:t>Selector, requirement set, versioning, readiness check</w:t>
            </w:r>
          </w:p>
        </w:tc>
      </w:tr>
      <w:tr>
        <w:tc>
          <w:tcPr>
            <w:tcW w:type="dxa" w:w="3408"/>
            <w:vAlign w:val="center"/>
          </w:tcPr>
          <w:p>
            <w:r/>
            <w:r>
              <w:rPr>
                <w:b w:val="0"/>
                <w:color w:val="000000"/>
                <w:sz w:val="16"/>
              </w:rPr>
              <w:t>6</w:t>
            </w:r>
          </w:p>
        </w:tc>
        <w:tc>
          <w:tcPr>
            <w:tcW w:type="dxa" w:w="3408"/>
            <w:vAlign w:val="center"/>
          </w:tcPr>
          <w:p>
            <w:r/>
            <w:r>
              <w:rPr>
                <w:b w:val="0"/>
                <w:color w:val="000000"/>
                <w:sz w:val="16"/>
              </w:rPr>
              <w:t>Eligibility engine</w:t>
            </w:r>
          </w:p>
        </w:tc>
        <w:tc>
          <w:tcPr>
            <w:tcW w:type="dxa" w:w="3408"/>
            <w:vAlign w:val="center"/>
          </w:tcPr>
          <w:p>
            <w:r/>
            <w:r>
              <w:rPr>
                <w:b w:val="0"/>
                <w:color w:val="000000"/>
                <w:sz w:val="16"/>
              </w:rPr>
              <w:t>Hard gate, review policy, evidence</w:t>
            </w:r>
          </w:p>
        </w:tc>
      </w:tr>
      <w:tr>
        <w:tc>
          <w:tcPr>
            <w:tcW w:type="dxa" w:w="3408"/>
            <w:vAlign w:val="center"/>
          </w:tcPr>
          <w:p>
            <w:r/>
            <w:r>
              <w:rPr>
                <w:b w:val="0"/>
                <w:color w:val="000000"/>
                <w:sz w:val="16"/>
              </w:rPr>
              <w:t>7</w:t>
            </w:r>
          </w:p>
        </w:tc>
        <w:tc>
          <w:tcPr>
            <w:tcW w:type="dxa" w:w="3408"/>
            <w:vAlign w:val="center"/>
          </w:tcPr>
          <w:p>
            <w:r/>
            <w:r>
              <w:rPr>
                <w:b w:val="0"/>
                <w:color w:val="000000"/>
                <w:sz w:val="16"/>
              </w:rPr>
              <w:t>Scoring engine</w:t>
            </w:r>
          </w:p>
        </w:tc>
        <w:tc>
          <w:tcPr>
            <w:tcW w:type="dxa" w:w="3408"/>
            <w:vAlign w:val="center"/>
          </w:tcPr>
          <w:p>
            <w:r/>
            <w:r>
              <w:rPr>
                <w:b w:val="0"/>
                <w:color w:val="000000"/>
                <w:sz w:val="16"/>
              </w:rPr>
              <w:t>Komponen, bobot, band, formula simulation</w:t>
            </w:r>
          </w:p>
        </w:tc>
      </w:tr>
      <w:tr>
        <w:tc>
          <w:tcPr>
            <w:tcW w:type="dxa" w:w="3408"/>
            <w:vAlign w:val="center"/>
          </w:tcPr>
          <w:p>
            <w:r/>
            <w:r>
              <w:rPr>
                <w:b w:val="0"/>
                <w:color w:val="000000"/>
                <w:sz w:val="16"/>
              </w:rPr>
              <w:t>8</w:t>
            </w:r>
          </w:p>
        </w:tc>
        <w:tc>
          <w:tcPr>
            <w:tcW w:type="dxa" w:w="3408"/>
            <w:vAlign w:val="center"/>
          </w:tcPr>
          <w:p>
            <w:r/>
            <w:r>
              <w:rPr>
                <w:b w:val="0"/>
                <w:color w:val="000000"/>
                <w:sz w:val="16"/>
              </w:rPr>
              <w:t>Ranking dan nominasi</w:t>
            </w:r>
          </w:p>
        </w:tc>
        <w:tc>
          <w:tcPr>
            <w:tcW w:type="dxa" w:w="3408"/>
            <w:vAlign w:val="center"/>
          </w:tcPr>
          <w:p>
            <w:r/>
            <w:r>
              <w:rPr>
                <w:b w:val="0"/>
                <w:color w:val="000000"/>
                <w:sz w:val="16"/>
              </w:rPr>
              <w:t>Ranking, gap analysis, draft nomination</w:t>
            </w:r>
          </w:p>
        </w:tc>
      </w:tr>
      <w:tr>
        <w:tc>
          <w:tcPr>
            <w:tcW w:type="dxa" w:w="3408"/>
            <w:vAlign w:val="center"/>
          </w:tcPr>
          <w:p>
            <w:r/>
            <w:r>
              <w:rPr>
                <w:b w:val="0"/>
                <w:color w:val="000000"/>
                <w:sz w:val="16"/>
              </w:rPr>
              <w:t>9</w:t>
            </w:r>
          </w:p>
        </w:tc>
        <w:tc>
          <w:tcPr>
            <w:tcW w:type="dxa" w:w="3408"/>
            <w:vAlign w:val="center"/>
          </w:tcPr>
          <w:p>
            <w:r/>
            <w:r>
              <w:rPr>
                <w:b w:val="0"/>
                <w:color w:val="000000"/>
                <w:sz w:val="16"/>
              </w:rPr>
              <w:t>Dashboard dan laporan</w:t>
            </w:r>
          </w:p>
        </w:tc>
        <w:tc>
          <w:tcPr>
            <w:tcW w:type="dxa" w:w="3408"/>
            <w:vAlign w:val="center"/>
          </w:tcPr>
          <w:p>
            <w:r/>
            <w:r>
              <w:rPr>
                <w:b w:val="0"/>
                <w:color w:val="000000"/>
                <w:sz w:val="16"/>
              </w:rPr>
              <w:t>Source health, readiness, export, audit explanation</w:t>
            </w:r>
          </w:p>
        </w:tc>
      </w:tr>
      <w:tr>
        <w:tc>
          <w:tcPr>
            <w:tcW w:type="dxa" w:w="3408"/>
            <w:vAlign w:val="center"/>
          </w:tcPr>
          <w:p>
            <w:r/>
            <w:r>
              <w:rPr>
                <w:b w:val="0"/>
                <w:color w:val="000000"/>
                <w:sz w:val="16"/>
              </w:rPr>
              <w:t>10</w:t>
            </w:r>
          </w:p>
        </w:tc>
        <w:tc>
          <w:tcPr>
            <w:tcW w:type="dxa" w:w="3408"/>
            <w:vAlign w:val="center"/>
          </w:tcPr>
          <w:p>
            <w:r/>
            <w:r>
              <w:rPr>
                <w:b w:val="0"/>
                <w:color w:val="000000"/>
                <w:sz w:val="16"/>
              </w:rPr>
              <w:t>UAT dan rollout</w:t>
            </w:r>
          </w:p>
        </w:tc>
        <w:tc>
          <w:tcPr>
            <w:tcW w:type="dxa" w:w="3408"/>
            <w:vAlign w:val="center"/>
          </w:tcPr>
          <w:p>
            <w:r/>
            <w:r>
              <w:rPr>
                <w:b w:val="0"/>
                <w:color w:val="000000"/>
                <w:sz w:val="16"/>
              </w:rPr>
              <w:t>Test, training, migration rehearsal, release</w:t>
            </w:r>
          </w:p>
        </w:tc>
      </w:tr>
    </w:tbl>
    <w:p/>
    <w:p>
      <w:pPr>
        <w:pStyle w:val="Heading1"/>
      </w:pPr>
      <w:r>
        <w:t>10. Definition of Done</w:t>
      </w:r>
    </w:p>
    <w:p>
      <w:pPr>
        <w:pStyle w:val="ListBullet"/>
      </w:pPr>
      <w:r>
        <w:t>Jabatan target dapat dipilih dan memiliki requirement version aktif.</w:t>
      </w:r>
    </w:p>
    <w:p>
      <w:pPr>
        <w:pStyle w:val="ListBullet"/>
      </w:pPr>
      <w:r>
        <w:t>Data dari minimal CSV dan satu API dapat masuk melalui pipeline yang sama.</w:t>
      </w:r>
    </w:p>
    <w:p>
      <w:pPr>
        <w:pStyle w:val="ListBullet"/>
      </w:pPr>
      <w:r>
        <w:t>Data unmapped tidak masuk diam-diam ke master dan muncul pada data quality queue.</w:t>
      </w:r>
    </w:p>
    <w:p>
      <w:pPr>
        <w:pStyle w:val="ListBullet"/>
      </w:pPr>
      <w:r>
        <w:t>Hasil eligibility menampilkan alasan PASS, FAIL, atau REVIEW_REQUIRED.</w:t>
      </w:r>
    </w:p>
    <w:p>
      <w:pPr>
        <w:pStyle w:val="ListBullet"/>
      </w:pPr>
      <w:r>
        <w:t>Match score menampilkan breakdown per komponen, bobot, evidence, dan formula version.</w:t>
      </w:r>
    </w:p>
    <w:p>
      <w:pPr>
        <w:pStyle w:val="ListBullet"/>
      </w:pPr>
      <w:r>
        <w:t>Hasil nominasi memiliki audit trail dan tidak berubah ketika formula baru diterbitkan.</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Halaman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6"/>
      </w:rPr>
      <w:t>SIMT DJBK | Modul Manajemen Talenta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4E78"/>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