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Problem Statement:</w:t>
      </w:r>
    </w:p>
    <w:p w:rsidR="00000000" w:rsidDel="00000000" w:rsidP="00000000" w:rsidRDefault="00000000" w:rsidRPr="00000000" w14:paraId="00000002">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Find publicly available data for key *supply-demand* factors that influence US home prices *nationally*. Then, build a data science model that explains how these factors impacted home prices over the last 20 years.</w:t>
      </w:r>
    </w:p>
    <w:p w:rsidR="00000000" w:rsidDel="00000000" w:rsidP="00000000" w:rsidRDefault="00000000" w:rsidRPr="00000000" w14:paraId="00000003">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Use the S&amp;P Case-Schiller Home Price Index as a proxy for home prices: </w:t>
      </w:r>
      <w:hyperlink r:id="rId6">
        <w:r w:rsidDel="00000000" w:rsidR="00000000" w:rsidRPr="00000000">
          <w:rPr>
            <w:rFonts w:ascii="Roboto" w:cs="Roboto" w:eastAsia="Roboto" w:hAnsi="Roboto"/>
            <w:color w:val="1155cc"/>
            <w:highlight w:val="white"/>
            <w:u w:val="single"/>
            <w:rtl w:val="0"/>
          </w:rPr>
          <w:t xml:space="preserve">fred.stlouisfed.org/series/CSUSHPISA</w:t>
        </w:r>
      </w:hyperlink>
      <w:r w:rsidDel="00000000" w:rsidR="00000000" w:rsidRPr="00000000">
        <w:rPr>
          <w:rFonts w:ascii="Roboto" w:cs="Roboto" w:eastAsia="Roboto" w:hAnsi="Roboto"/>
          <w:color w:val="333333"/>
          <w:highlight w:val="white"/>
          <w:rtl w:val="0"/>
        </w:rPr>
        <w:t xml:space="preserve">.</w:t>
      </w:r>
    </w:p>
    <w:p w:rsidR="00000000" w:rsidDel="00000000" w:rsidP="00000000" w:rsidRDefault="00000000" w:rsidRPr="00000000" w14:paraId="00000004">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05">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Before we get in to coding part lets try to understand what are the possible supply and demand factors that might  influence the problem statement Here are some of the most relevant factors influencing supply and demand in the US housing market:</w:t>
      </w:r>
    </w:p>
    <w:p w:rsidR="00000000" w:rsidDel="00000000" w:rsidP="00000000" w:rsidRDefault="00000000" w:rsidRPr="00000000" w14:paraId="00000006">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07">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08">
      <w:pPr>
        <w:ind w:left="-900" w:right="-900" w:firstLine="0"/>
        <w:jc w:val="cente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Supply Factors:  </w:t>
      </w:r>
    </w:p>
    <w:p w:rsidR="00000000" w:rsidDel="00000000" w:rsidP="00000000" w:rsidRDefault="00000000" w:rsidRPr="00000000" w14:paraId="00000009">
      <w:pPr>
        <w:ind w:left="-900" w:right="-900" w:firstLine="0"/>
        <w:jc w:val="center"/>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0A">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1.Housing Inventory:   You can find data on the number of homes listed for sale in the US. Websites like Zillow, Realtor.com, and Redfin provide such data.</w:t>
      </w:r>
    </w:p>
    <w:p w:rsidR="00000000" w:rsidDel="00000000" w:rsidP="00000000" w:rsidRDefault="00000000" w:rsidRPr="00000000" w14:paraId="0000000B">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0C">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2. Construction Data:   Look for data on new housing construction, including building permits, housing starts, and completions. The U.S. Census Bureau and the National Association of Home Builders provide relevant data.</w:t>
      </w:r>
    </w:p>
    <w:p w:rsidR="00000000" w:rsidDel="00000000" w:rsidP="00000000" w:rsidRDefault="00000000" w:rsidRPr="00000000" w14:paraId="0000000D">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0E">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3.Land Availability:   Check for data on available land for residential development. Local planning departments and real estate associations may have this information.</w:t>
      </w:r>
    </w:p>
    <w:p w:rsidR="00000000" w:rsidDel="00000000" w:rsidP="00000000" w:rsidRDefault="00000000" w:rsidRPr="00000000" w14:paraId="0000000F">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0">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4.Labor and Material Costs:   Economic data on labor and material costs can impact the supply of housing. Economic research organizations and government agencies like the Bureau of Labor Statistics provide relevant data.</w:t>
      </w:r>
    </w:p>
    <w:p w:rsidR="00000000" w:rsidDel="00000000" w:rsidP="00000000" w:rsidRDefault="00000000" w:rsidRPr="00000000" w14:paraId="00000011">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2">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5. Regulatory Environment:   Regulations affecting home construction and zoning laws can significantly influence supply. Local government websites and housing advocacy groups might have this information.</w:t>
      </w:r>
    </w:p>
    <w:p w:rsidR="00000000" w:rsidDel="00000000" w:rsidP="00000000" w:rsidRDefault="00000000" w:rsidRPr="00000000" w14:paraId="00000013">
      <w:pPr>
        <w:ind w:left="-900" w:right="-900" w:firstLine="0"/>
        <w:jc w:val="center"/>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4">
      <w:pPr>
        <w:ind w:left="-900" w:right="-900" w:firstLine="0"/>
        <w:jc w:val="center"/>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5">
      <w:pPr>
        <w:ind w:left="-900" w:right="-900" w:firstLine="0"/>
        <w:jc w:val="cente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Demand Factors:  </w:t>
      </w:r>
    </w:p>
    <w:p w:rsidR="00000000" w:rsidDel="00000000" w:rsidP="00000000" w:rsidRDefault="00000000" w:rsidRPr="00000000" w14:paraId="00000016">
      <w:pPr>
        <w:ind w:left="-900" w:right="-900" w:firstLine="0"/>
        <w:jc w:val="center"/>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7">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1.Population Growth:   You can find data on population growth at the national and local levels from the U.S. Census Bureau.</w:t>
      </w:r>
    </w:p>
    <w:p w:rsidR="00000000" w:rsidDel="00000000" w:rsidP="00000000" w:rsidRDefault="00000000" w:rsidRPr="00000000" w14:paraId="00000018">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9">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2.Economic Indicators:   Look for data on employment rates, income levels, and GDP growth, as these factors affect people's ability to buy homes. The Bureau of Labor Statistics and the Bureau of Economic Analysis provide such data.</w:t>
      </w:r>
    </w:p>
    <w:p w:rsidR="00000000" w:rsidDel="00000000" w:rsidP="00000000" w:rsidRDefault="00000000" w:rsidRPr="00000000" w14:paraId="0000001A">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B">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3. Interest Rates:   Data on mortgage interest rates can be obtained from sources like the Federal Reserve or financial news websites.</w:t>
      </w:r>
    </w:p>
    <w:p w:rsidR="00000000" w:rsidDel="00000000" w:rsidP="00000000" w:rsidRDefault="00000000" w:rsidRPr="00000000" w14:paraId="0000001C">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D">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4.   Consumer Confidence:   Surveys like the Consumer Confidence Index can give insights into consumer sentiment regarding the housing market.</w:t>
      </w:r>
    </w:p>
    <w:p w:rsidR="00000000" w:rsidDel="00000000" w:rsidP="00000000" w:rsidRDefault="00000000" w:rsidRPr="00000000" w14:paraId="0000001E">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F">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5. Demographic Trends:   Analyze demographic data, such as age distribution and household formation trends. The U.S. Census Bureau offers detailed demographic data.</w:t>
      </w:r>
    </w:p>
    <w:p w:rsidR="00000000" w:rsidDel="00000000" w:rsidP="00000000" w:rsidRDefault="00000000" w:rsidRPr="00000000" w14:paraId="00000020">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1">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6. Government Policies:   Government policies, such as first-time homebuyer incentives or tax credits, can influence demand. Government websites and news sources can provide information on these policies.</w:t>
      </w:r>
    </w:p>
    <w:p w:rsidR="00000000" w:rsidDel="00000000" w:rsidP="00000000" w:rsidRDefault="00000000" w:rsidRPr="00000000" w14:paraId="00000022">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3">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7. Rental Market:   Data on the rental market, such as vacancy rates and rental prices, can impact housing demand. Real estate websites and the U.S. Census Bureau offer relevant data.</w:t>
      </w:r>
    </w:p>
    <w:p w:rsidR="00000000" w:rsidDel="00000000" w:rsidP="00000000" w:rsidRDefault="00000000" w:rsidRPr="00000000" w14:paraId="00000024">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5">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8.Migration Patterns:   Migration patterns can affect demand for housing in specific regions. The Census Bureau and state-level government agencies often track migration data.</w:t>
      </w:r>
    </w:p>
    <w:p w:rsidR="00000000" w:rsidDel="00000000" w:rsidP="00000000" w:rsidRDefault="00000000" w:rsidRPr="00000000" w14:paraId="00000026">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7">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8">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Out of all above discussed factors , i will be considering publicly available data from FRED ECONOMIC DATA ( “</w:t>
      </w:r>
      <w:hyperlink r:id="rId7">
        <w:r w:rsidDel="00000000" w:rsidR="00000000" w:rsidRPr="00000000">
          <w:rPr>
            <w:rFonts w:ascii="Roboto" w:cs="Roboto" w:eastAsia="Roboto" w:hAnsi="Roboto"/>
            <w:color w:val="1155cc"/>
            <w:highlight w:val="white"/>
            <w:u w:val="single"/>
            <w:rtl w:val="0"/>
          </w:rPr>
          <w:t xml:space="preserve">fred.stlouisfed.org/series/CSUSHPISA</w:t>
        </w:r>
      </w:hyperlink>
      <w:r w:rsidDel="00000000" w:rsidR="00000000" w:rsidRPr="00000000">
        <w:rPr>
          <w:rFonts w:ascii="Roboto" w:cs="Roboto" w:eastAsia="Roboto" w:hAnsi="Roboto"/>
          <w:color w:val="333333"/>
          <w:highlight w:val="white"/>
          <w:rtl w:val="0"/>
        </w:rPr>
        <w:t xml:space="preserve">.”) and URBAN INSTITUTE (“</w:t>
      </w:r>
      <w:hyperlink r:id="rId8">
        <w:r w:rsidDel="00000000" w:rsidR="00000000" w:rsidRPr="00000000">
          <w:rPr>
            <w:rFonts w:ascii="Roboto" w:cs="Roboto" w:eastAsia="Roboto" w:hAnsi="Roboto"/>
            <w:color w:val="1155cc"/>
            <w:highlight w:val="white"/>
            <w:u w:val="single"/>
            <w:rtl w:val="0"/>
          </w:rPr>
          <w:t xml:space="preserve">https://www.urban.org/</w:t>
        </w:r>
      </w:hyperlink>
      <w:r w:rsidDel="00000000" w:rsidR="00000000" w:rsidRPr="00000000">
        <w:rPr>
          <w:rFonts w:ascii="Roboto" w:cs="Roboto" w:eastAsia="Roboto" w:hAnsi="Roboto"/>
          <w:color w:val="333333"/>
          <w:highlight w:val="white"/>
          <w:rtl w:val="0"/>
        </w:rPr>
        <w:t xml:space="preserve">”)</w:t>
      </w:r>
    </w:p>
    <w:p w:rsidR="00000000" w:rsidDel="00000000" w:rsidP="00000000" w:rsidRDefault="00000000" w:rsidRPr="00000000" w14:paraId="00000029">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A">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B">
      <w:pPr>
        <w:ind w:left="-900" w:right="-90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factors that influence US home prices *nationally* over the last 20 years.</w:t>
      </w:r>
    </w:p>
    <w:p w:rsidR="00000000" w:rsidDel="00000000" w:rsidP="00000000" w:rsidRDefault="00000000" w:rsidRPr="00000000" w14:paraId="0000002C">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D">
      <w:pPr>
        <w:ind w:left="-900" w:right="-900" w:firstLine="0"/>
        <w:rPr>
          <w:rFonts w:ascii="Roboto" w:cs="Roboto" w:eastAsia="Roboto" w:hAnsi="Roboto"/>
          <w:color w:val="333333"/>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186993</wp:posOffset>
            </wp:positionV>
            <wp:extent cx="6667500" cy="3668427"/>
            <wp:effectExtent b="0" l="0" r="0" t="0"/>
            <wp:wrapNone/>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667500" cy="3668427"/>
                    </a:xfrm>
                    <a:prstGeom prst="rect"/>
                    <a:ln/>
                  </pic:spPr>
                </pic:pic>
              </a:graphicData>
            </a:graphic>
          </wp:anchor>
        </w:drawing>
      </w:r>
    </w:p>
    <w:p w:rsidR="00000000" w:rsidDel="00000000" w:rsidP="00000000" w:rsidRDefault="00000000" w:rsidRPr="00000000" w14:paraId="0000002E">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F">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0">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1">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2">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3">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4">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5">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6">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7">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8">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9">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A">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B">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C">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D">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E">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F">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40">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41">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42">
      <w:pPr>
        <w:ind w:left="-900" w:right="-90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43">
      <w:pPr>
        <w:pStyle w:val="Heading2"/>
        <w:keepNext w:val="0"/>
        <w:keepLines w:val="0"/>
        <w:shd w:fill="ffffff" w:val="clear"/>
        <w:spacing w:after="80" w:lineRule="auto"/>
        <w:ind w:left="-900" w:right="-900" w:firstLine="0"/>
        <w:rPr>
          <w:b w:val="1"/>
          <w:color w:val="333333"/>
          <w:sz w:val="34"/>
          <w:szCs w:val="34"/>
          <w:highlight w:val="white"/>
        </w:rPr>
      </w:pPr>
      <w:bookmarkStart w:colFirst="0" w:colLast="0" w:name="_kk3bh79gtnxx" w:id="0"/>
      <w:bookmarkEnd w:id="0"/>
      <w:r w:rsidDel="00000000" w:rsidR="00000000" w:rsidRPr="00000000">
        <w:rPr>
          <w:b w:val="1"/>
          <w:color w:val="333333"/>
          <w:sz w:val="34"/>
          <w:szCs w:val="34"/>
          <w:highlight w:val="white"/>
          <w:rtl w:val="0"/>
        </w:rPr>
        <w:t xml:space="preserve">Demographic</w:t>
      </w:r>
    </w:p>
    <w:p w:rsidR="00000000" w:rsidDel="00000000" w:rsidP="00000000" w:rsidRDefault="00000000" w:rsidRPr="00000000" w14:paraId="00000044">
      <w:pPr>
        <w:numPr>
          <w:ilvl w:val="0"/>
          <w:numId w:val="1"/>
        </w:numPr>
        <w:shd w:fill="ffffff" w:val="clear"/>
        <w:spacing w:after="220" w:before="220" w:lineRule="auto"/>
        <w:ind w:left="720" w:hanging="360"/>
        <w:rPr>
          <w:color w:val="333333"/>
          <w:highlight w:val="white"/>
        </w:rPr>
      </w:pPr>
      <w:r w:rsidDel="00000000" w:rsidR="00000000" w:rsidRPr="00000000">
        <w:rPr>
          <w:color w:val="333333"/>
          <w:sz w:val="21"/>
          <w:szCs w:val="21"/>
          <w:highlight w:val="white"/>
          <w:rtl w:val="0"/>
        </w:rPr>
        <w:t xml:space="preserve">population</w:t>
      </w:r>
    </w:p>
    <w:p w:rsidR="00000000" w:rsidDel="00000000" w:rsidP="00000000" w:rsidRDefault="00000000" w:rsidRPr="00000000" w14:paraId="00000045">
      <w:pPr>
        <w:pStyle w:val="Heading3"/>
        <w:keepNext w:val="0"/>
        <w:keepLines w:val="0"/>
        <w:shd w:fill="ffffff" w:val="clear"/>
        <w:spacing w:before="280" w:lineRule="auto"/>
        <w:rPr>
          <w:b w:val="1"/>
          <w:color w:val="333333"/>
          <w:sz w:val="26"/>
          <w:szCs w:val="26"/>
          <w:highlight w:val="white"/>
        </w:rPr>
      </w:pPr>
      <w:bookmarkStart w:colFirst="0" w:colLast="0" w:name="_yod8qabm43a7" w:id="1"/>
      <w:bookmarkEnd w:id="1"/>
      <w:r w:rsidDel="00000000" w:rsidR="00000000" w:rsidRPr="00000000">
        <w:rPr>
          <w:b w:val="1"/>
          <w:color w:val="333333"/>
          <w:sz w:val="26"/>
          <w:szCs w:val="26"/>
          <w:highlight w:val="white"/>
          <w:rtl w:val="0"/>
        </w:rPr>
        <w:t xml:space="preserve">Income-age distribution</w:t>
      </w:r>
    </w:p>
    <w:p w:rsidR="00000000" w:rsidDel="00000000" w:rsidP="00000000" w:rsidRDefault="00000000" w:rsidRPr="00000000" w14:paraId="00000046">
      <w:pPr>
        <w:numPr>
          <w:ilvl w:val="0"/>
          <w:numId w:val="3"/>
        </w:numPr>
        <w:shd w:fill="ffffff" w:val="clear"/>
        <w:spacing w:after="0" w:afterAutospacing="0" w:before="220" w:lineRule="auto"/>
        <w:ind w:left="720" w:hanging="360"/>
        <w:rPr>
          <w:color w:val="333333"/>
          <w:highlight w:val="white"/>
        </w:rPr>
      </w:pPr>
      <w:r w:rsidDel="00000000" w:rsidR="00000000" w:rsidRPr="00000000">
        <w:rPr>
          <w:color w:val="333333"/>
          <w:sz w:val="21"/>
          <w:szCs w:val="21"/>
          <w:highlight w:val="white"/>
          <w:rtl w:val="0"/>
        </w:rPr>
        <w:t xml:space="preserve">average expenditure 25-34</w:t>
      </w:r>
    </w:p>
    <w:p w:rsidR="00000000" w:rsidDel="00000000" w:rsidP="00000000" w:rsidRDefault="00000000" w:rsidRPr="00000000" w14:paraId="00000047">
      <w:pPr>
        <w:numPr>
          <w:ilvl w:val="0"/>
          <w:numId w:val="3"/>
        </w:numPr>
        <w:shd w:fill="ffffff" w:val="clear"/>
        <w:spacing w:after="0" w:afterAutospacing="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average expenditure 35-44</w:t>
      </w:r>
    </w:p>
    <w:p w:rsidR="00000000" w:rsidDel="00000000" w:rsidP="00000000" w:rsidRDefault="00000000" w:rsidRPr="00000000" w14:paraId="00000048">
      <w:pPr>
        <w:numPr>
          <w:ilvl w:val="0"/>
          <w:numId w:val="3"/>
        </w:numPr>
        <w:shd w:fill="ffffff" w:val="clear"/>
        <w:spacing w:after="0" w:afterAutospacing="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average expenditure 45-54</w:t>
      </w:r>
    </w:p>
    <w:p w:rsidR="00000000" w:rsidDel="00000000" w:rsidP="00000000" w:rsidRDefault="00000000" w:rsidRPr="00000000" w14:paraId="00000049">
      <w:pPr>
        <w:numPr>
          <w:ilvl w:val="0"/>
          <w:numId w:val="3"/>
        </w:numPr>
        <w:shd w:fill="ffffff" w:val="clear"/>
        <w:spacing w:after="22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avg-expenditure-55-64</w:t>
      </w:r>
    </w:p>
    <w:p w:rsidR="00000000" w:rsidDel="00000000" w:rsidP="00000000" w:rsidRDefault="00000000" w:rsidRPr="00000000" w14:paraId="0000004A">
      <w:pPr>
        <w:pStyle w:val="Heading3"/>
        <w:keepNext w:val="0"/>
        <w:keepLines w:val="0"/>
        <w:shd w:fill="ffffff" w:val="clear"/>
        <w:spacing w:before="280" w:lineRule="auto"/>
        <w:rPr>
          <w:b w:val="1"/>
          <w:color w:val="333333"/>
          <w:sz w:val="26"/>
          <w:szCs w:val="26"/>
          <w:highlight w:val="white"/>
        </w:rPr>
      </w:pPr>
      <w:bookmarkStart w:colFirst="0" w:colLast="0" w:name="_vhmrt23vowe9" w:id="2"/>
      <w:bookmarkEnd w:id="2"/>
      <w:r w:rsidDel="00000000" w:rsidR="00000000" w:rsidRPr="00000000">
        <w:rPr>
          <w:b w:val="1"/>
          <w:color w:val="333333"/>
          <w:sz w:val="26"/>
          <w:szCs w:val="26"/>
          <w:highlight w:val="white"/>
          <w:rtl w:val="0"/>
        </w:rPr>
        <w:t xml:space="preserve">Mortgages</w:t>
      </w:r>
    </w:p>
    <w:p w:rsidR="00000000" w:rsidDel="00000000" w:rsidP="00000000" w:rsidRDefault="00000000" w:rsidRPr="00000000" w14:paraId="0000004B">
      <w:pPr>
        <w:numPr>
          <w:ilvl w:val="0"/>
          <w:numId w:val="4"/>
        </w:numPr>
        <w:shd w:fill="ffffff" w:val="clear"/>
        <w:spacing w:after="0" w:afterAutospacing="0" w:before="220" w:lineRule="auto"/>
        <w:ind w:left="720" w:hanging="360"/>
        <w:rPr>
          <w:color w:val="333333"/>
          <w:highlight w:val="white"/>
        </w:rPr>
      </w:pPr>
      <w:r w:rsidDel="00000000" w:rsidR="00000000" w:rsidRPr="00000000">
        <w:rPr>
          <w:color w:val="333333"/>
          <w:sz w:val="21"/>
          <w:szCs w:val="21"/>
          <w:highlight w:val="white"/>
          <w:rtl w:val="0"/>
        </w:rPr>
        <w:t xml:space="preserve">HCAI_GOVT</w:t>
      </w:r>
    </w:p>
    <w:p w:rsidR="00000000" w:rsidDel="00000000" w:rsidP="00000000" w:rsidRDefault="00000000" w:rsidRPr="00000000" w14:paraId="0000004C">
      <w:pPr>
        <w:numPr>
          <w:ilvl w:val="0"/>
          <w:numId w:val="4"/>
        </w:numPr>
        <w:shd w:fill="ffffff" w:val="clear"/>
        <w:spacing w:after="0" w:afterAutospacing="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HCAI_GSE</w:t>
      </w:r>
    </w:p>
    <w:p w:rsidR="00000000" w:rsidDel="00000000" w:rsidP="00000000" w:rsidRDefault="00000000" w:rsidRPr="00000000" w14:paraId="0000004D">
      <w:pPr>
        <w:numPr>
          <w:ilvl w:val="0"/>
          <w:numId w:val="4"/>
        </w:numPr>
        <w:shd w:fill="ffffff" w:val="clear"/>
        <w:spacing w:after="0" w:afterAutospacing="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HCAI_PP</w:t>
      </w:r>
    </w:p>
    <w:p w:rsidR="00000000" w:rsidDel="00000000" w:rsidP="00000000" w:rsidRDefault="00000000" w:rsidRPr="00000000" w14:paraId="0000004E">
      <w:pPr>
        <w:numPr>
          <w:ilvl w:val="0"/>
          <w:numId w:val="4"/>
        </w:numPr>
        <w:shd w:fill="ffffff" w:val="clear"/>
        <w:spacing w:after="22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MORTGAGE30US</w:t>
      </w:r>
    </w:p>
    <w:p w:rsidR="00000000" w:rsidDel="00000000" w:rsidP="00000000" w:rsidRDefault="00000000" w:rsidRPr="00000000" w14:paraId="0000004F">
      <w:pPr>
        <w:pStyle w:val="Heading3"/>
        <w:keepNext w:val="0"/>
        <w:keepLines w:val="0"/>
        <w:shd w:fill="ffffff" w:val="clear"/>
        <w:spacing w:before="280" w:lineRule="auto"/>
        <w:rPr>
          <w:b w:val="1"/>
          <w:color w:val="333333"/>
          <w:sz w:val="26"/>
          <w:szCs w:val="26"/>
          <w:highlight w:val="white"/>
        </w:rPr>
      </w:pPr>
      <w:bookmarkStart w:colFirst="0" w:colLast="0" w:name="_cwglnipdl9u2" w:id="3"/>
      <w:bookmarkEnd w:id="3"/>
      <w:r w:rsidDel="00000000" w:rsidR="00000000" w:rsidRPr="00000000">
        <w:rPr>
          <w:b w:val="1"/>
          <w:color w:val="333333"/>
          <w:sz w:val="26"/>
          <w:szCs w:val="26"/>
          <w:highlight w:val="white"/>
          <w:rtl w:val="0"/>
        </w:rPr>
        <w:t xml:space="preserve">Health of the economy</w:t>
      </w:r>
    </w:p>
    <w:p w:rsidR="00000000" w:rsidDel="00000000" w:rsidP="00000000" w:rsidRDefault="00000000" w:rsidRPr="00000000" w14:paraId="00000050">
      <w:pPr>
        <w:numPr>
          <w:ilvl w:val="0"/>
          <w:numId w:val="7"/>
        </w:numPr>
        <w:shd w:fill="ffffff" w:val="clear"/>
        <w:spacing w:after="0" w:afterAutospacing="0" w:before="220" w:lineRule="auto"/>
        <w:ind w:left="720" w:hanging="360"/>
        <w:rPr>
          <w:color w:val="333333"/>
          <w:highlight w:val="white"/>
        </w:rPr>
      </w:pPr>
      <w:r w:rsidDel="00000000" w:rsidR="00000000" w:rsidRPr="00000000">
        <w:rPr>
          <w:color w:val="333333"/>
          <w:sz w:val="21"/>
          <w:szCs w:val="21"/>
          <w:highlight w:val="white"/>
          <w:rtl w:val="0"/>
        </w:rPr>
        <w:t xml:space="preserve">GDP</w:t>
      </w:r>
    </w:p>
    <w:p w:rsidR="00000000" w:rsidDel="00000000" w:rsidP="00000000" w:rsidRDefault="00000000" w:rsidRPr="00000000" w14:paraId="00000051">
      <w:pPr>
        <w:numPr>
          <w:ilvl w:val="0"/>
          <w:numId w:val="7"/>
        </w:numPr>
        <w:shd w:fill="ffffff" w:val="clear"/>
        <w:spacing w:after="0" w:afterAutospacing="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CPI</w:t>
      </w:r>
    </w:p>
    <w:p w:rsidR="00000000" w:rsidDel="00000000" w:rsidP="00000000" w:rsidRDefault="00000000" w:rsidRPr="00000000" w14:paraId="00000052">
      <w:pPr>
        <w:numPr>
          <w:ilvl w:val="0"/>
          <w:numId w:val="7"/>
        </w:numPr>
        <w:shd w:fill="ffffff" w:val="clear"/>
        <w:spacing w:after="0" w:afterAutospacing="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private_job_gains</w:t>
      </w:r>
    </w:p>
    <w:p w:rsidR="00000000" w:rsidDel="00000000" w:rsidP="00000000" w:rsidRDefault="00000000" w:rsidRPr="00000000" w14:paraId="00000053">
      <w:pPr>
        <w:numPr>
          <w:ilvl w:val="0"/>
          <w:numId w:val="7"/>
        </w:numPr>
        <w:shd w:fill="ffffff" w:val="clear"/>
        <w:spacing w:after="0" w:afterAutospacing="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personal_saving_rate</w:t>
      </w:r>
    </w:p>
    <w:p w:rsidR="00000000" w:rsidDel="00000000" w:rsidP="00000000" w:rsidRDefault="00000000" w:rsidRPr="00000000" w14:paraId="00000054">
      <w:pPr>
        <w:numPr>
          <w:ilvl w:val="0"/>
          <w:numId w:val="7"/>
        </w:numPr>
        <w:shd w:fill="ffffff" w:val="clear"/>
        <w:spacing w:after="0" w:afterAutospacing="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UNRATE - Unemployment rate</w:t>
      </w:r>
    </w:p>
    <w:p w:rsidR="00000000" w:rsidDel="00000000" w:rsidP="00000000" w:rsidRDefault="00000000" w:rsidRPr="00000000" w14:paraId="00000055">
      <w:pPr>
        <w:numPr>
          <w:ilvl w:val="0"/>
          <w:numId w:val="7"/>
        </w:numPr>
        <w:shd w:fill="ffffff" w:val="clear"/>
        <w:spacing w:after="22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unrate_construction - Unemployment rate in construction industry</w:t>
      </w:r>
    </w:p>
    <w:p w:rsidR="00000000" w:rsidDel="00000000" w:rsidP="00000000" w:rsidRDefault="00000000" w:rsidRPr="00000000" w14:paraId="00000056">
      <w:pPr>
        <w:pStyle w:val="Heading3"/>
        <w:keepNext w:val="0"/>
        <w:keepLines w:val="0"/>
        <w:shd w:fill="ffffff" w:val="clear"/>
        <w:spacing w:before="280" w:lineRule="auto"/>
        <w:rPr>
          <w:b w:val="1"/>
          <w:color w:val="333333"/>
          <w:sz w:val="26"/>
          <w:szCs w:val="26"/>
          <w:highlight w:val="white"/>
        </w:rPr>
      </w:pPr>
      <w:bookmarkStart w:colFirst="0" w:colLast="0" w:name="_7t8lm2kti156" w:id="4"/>
      <w:bookmarkEnd w:id="4"/>
      <w:r w:rsidDel="00000000" w:rsidR="00000000" w:rsidRPr="00000000">
        <w:rPr>
          <w:b w:val="1"/>
          <w:color w:val="333333"/>
          <w:sz w:val="26"/>
          <w:szCs w:val="26"/>
          <w:highlight w:val="white"/>
          <w:rtl w:val="0"/>
        </w:rPr>
        <w:t xml:space="preserve">Construction Industry</w:t>
      </w:r>
    </w:p>
    <w:p w:rsidR="00000000" w:rsidDel="00000000" w:rsidP="00000000" w:rsidRDefault="00000000" w:rsidRPr="00000000" w14:paraId="00000057">
      <w:pPr>
        <w:numPr>
          <w:ilvl w:val="0"/>
          <w:numId w:val="2"/>
        </w:numPr>
        <w:shd w:fill="ffffff" w:val="clear"/>
        <w:spacing w:after="0" w:afterAutospacing="0" w:before="220" w:lineRule="auto"/>
        <w:ind w:left="720" w:hanging="360"/>
        <w:rPr>
          <w:color w:val="333333"/>
          <w:highlight w:val="white"/>
        </w:rPr>
      </w:pPr>
      <w:r w:rsidDel="00000000" w:rsidR="00000000" w:rsidRPr="00000000">
        <w:rPr>
          <w:color w:val="333333"/>
          <w:sz w:val="21"/>
          <w:szCs w:val="21"/>
          <w:highlight w:val="white"/>
          <w:rtl w:val="0"/>
        </w:rPr>
        <w:t xml:space="preserve">employees_construction</w:t>
      </w:r>
    </w:p>
    <w:p w:rsidR="00000000" w:rsidDel="00000000" w:rsidP="00000000" w:rsidRDefault="00000000" w:rsidRPr="00000000" w14:paraId="00000058">
      <w:pPr>
        <w:numPr>
          <w:ilvl w:val="0"/>
          <w:numId w:val="2"/>
        </w:numPr>
        <w:shd w:fill="ffffff" w:val="clear"/>
        <w:spacing w:after="0" w:afterAutospacing="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industrial_production_cement</w:t>
      </w:r>
    </w:p>
    <w:p w:rsidR="00000000" w:rsidDel="00000000" w:rsidP="00000000" w:rsidRDefault="00000000" w:rsidRPr="00000000" w14:paraId="00000059">
      <w:pPr>
        <w:numPr>
          <w:ilvl w:val="0"/>
          <w:numId w:val="2"/>
        </w:numPr>
        <w:shd w:fill="ffffff" w:val="clear"/>
        <w:spacing w:after="0" w:afterAutospacing="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pvt_owned_house_under_const</w:t>
      </w:r>
    </w:p>
    <w:p w:rsidR="00000000" w:rsidDel="00000000" w:rsidP="00000000" w:rsidRDefault="00000000" w:rsidRPr="00000000" w14:paraId="0000005A">
      <w:pPr>
        <w:numPr>
          <w:ilvl w:val="0"/>
          <w:numId w:val="2"/>
        </w:numPr>
        <w:shd w:fill="ffffff" w:val="clear"/>
        <w:spacing w:after="0" w:afterAutospacing="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residential_const_val</w:t>
      </w:r>
    </w:p>
    <w:p w:rsidR="00000000" w:rsidDel="00000000" w:rsidP="00000000" w:rsidRDefault="00000000" w:rsidRPr="00000000" w14:paraId="0000005B">
      <w:pPr>
        <w:numPr>
          <w:ilvl w:val="0"/>
          <w:numId w:val="2"/>
        </w:numPr>
        <w:shd w:fill="ffffff" w:val="clear"/>
        <w:spacing w:after="22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producer_price_index_concrete_brick</w:t>
      </w:r>
    </w:p>
    <w:p w:rsidR="00000000" w:rsidDel="00000000" w:rsidP="00000000" w:rsidRDefault="00000000" w:rsidRPr="00000000" w14:paraId="0000005C">
      <w:pPr>
        <w:pStyle w:val="Heading3"/>
        <w:keepNext w:val="0"/>
        <w:keepLines w:val="0"/>
        <w:shd w:fill="ffffff" w:val="clear"/>
        <w:spacing w:before="280" w:lineRule="auto"/>
        <w:rPr>
          <w:b w:val="1"/>
          <w:color w:val="333333"/>
          <w:sz w:val="26"/>
          <w:szCs w:val="26"/>
          <w:highlight w:val="white"/>
        </w:rPr>
      </w:pPr>
      <w:bookmarkStart w:colFirst="0" w:colLast="0" w:name="_k37b32a2n8r7" w:id="5"/>
      <w:bookmarkEnd w:id="5"/>
      <w:r w:rsidDel="00000000" w:rsidR="00000000" w:rsidRPr="00000000">
        <w:rPr>
          <w:b w:val="1"/>
          <w:color w:val="333333"/>
          <w:sz w:val="26"/>
          <w:szCs w:val="26"/>
          <w:highlight w:val="white"/>
          <w:rtl w:val="0"/>
        </w:rPr>
        <w:t xml:space="preserve">Housing industry</w:t>
      </w:r>
    </w:p>
    <w:p w:rsidR="00000000" w:rsidDel="00000000" w:rsidP="00000000" w:rsidRDefault="00000000" w:rsidRPr="00000000" w14:paraId="0000005D">
      <w:pPr>
        <w:numPr>
          <w:ilvl w:val="0"/>
          <w:numId w:val="5"/>
        </w:numPr>
        <w:shd w:fill="ffffff" w:val="clear"/>
        <w:spacing w:after="0" w:afterAutospacing="0" w:before="220" w:lineRule="auto"/>
        <w:ind w:left="720" w:hanging="360"/>
        <w:rPr>
          <w:color w:val="333333"/>
          <w:highlight w:val="white"/>
        </w:rPr>
      </w:pPr>
      <w:r w:rsidDel="00000000" w:rsidR="00000000" w:rsidRPr="00000000">
        <w:rPr>
          <w:color w:val="333333"/>
          <w:sz w:val="21"/>
          <w:szCs w:val="21"/>
          <w:highlight w:val="white"/>
          <w:rtl w:val="0"/>
        </w:rPr>
        <w:t xml:space="preserve">houses-for-sale-to-sold - Number of houses for sale vs number of houses got sold</w:t>
      </w:r>
    </w:p>
    <w:p w:rsidR="00000000" w:rsidDel="00000000" w:rsidP="00000000" w:rsidRDefault="00000000" w:rsidRPr="00000000" w14:paraId="0000005E">
      <w:pPr>
        <w:numPr>
          <w:ilvl w:val="0"/>
          <w:numId w:val="5"/>
        </w:numPr>
        <w:shd w:fill="ffffff" w:val="clear"/>
        <w:spacing w:after="0" w:afterAutospacing="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home-ownership-rate</w:t>
      </w:r>
    </w:p>
    <w:p w:rsidR="00000000" w:rsidDel="00000000" w:rsidP="00000000" w:rsidRDefault="00000000" w:rsidRPr="00000000" w14:paraId="0000005F">
      <w:pPr>
        <w:numPr>
          <w:ilvl w:val="0"/>
          <w:numId w:val="5"/>
        </w:numPr>
        <w:shd w:fill="ffffff" w:val="clear"/>
        <w:spacing w:after="0" w:afterAutospacing="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house_units_completed - Number of new house units completed in a given month</w:t>
      </w:r>
    </w:p>
    <w:p w:rsidR="00000000" w:rsidDel="00000000" w:rsidP="00000000" w:rsidRDefault="00000000" w:rsidRPr="00000000" w14:paraId="00000060">
      <w:pPr>
        <w:numPr>
          <w:ilvl w:val="0"/>
          <w:numId w:val="5"/>
        </w:numPr>
        <w:shd w:fill="ffffff" w:val="clear"/>
        <w:spacing w:after="22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retail_sales_home_furnishing_stores - Sales of home furnishing stores</w:t>
      </w:r>
    </w:p>
    <w:p w:rsidR="00000000" w:rsidDel="00000000" w:rsidP="00000000" w:rsidRDefault="00000000" w:rsidRPr="00000000" w14:paraId="00000061">
      <w:pPr>
        <w:pStyle w:val="Heading3"/>
        <w:keepNext w:val="0"/>
        <w:keepLines w:val="0"/>
        <w:shd w:fill="ffffff" w:val="clear"/>
        <w:spacing w:before="280" w:lineRule="auto"/>
        <w:rPr>
          <w:b w:val="1"/>
          <w:color w:val="333333"/>
          <w:sz w:val="26"/>
          <w:szCs w:val="26"/>
          <w:highlight w:val="white"/>
        </w:rPr>
      </w:pPr>
      <w:bookmarkStart w:colFirst="0" w:colLast="0" w:name="_4xtupckc90hf" w:id="6"/>
      <w:bookmarkEnd w:id="6"/>
      <w:r w:rsidDel="00000000" w:rsidR="00000000" w:rsidRPr="00000000">
        <w:rPr>
          <w:b w:val="1"/>
          <w:color w:val="333333"/>
          <w:sz w:val="26"/>
          <w:szCs w:val="26"/>
          <w:highlight w:val="white"/>
          <w:rtl w:val="0"/>
        </w:rPr>
        <w:t xml:space="preserve">Infrastructure and permits</w:t>
      </w:r>
    </w:p>
    <w:p w:rsidR="00000000" w:rsidDel="00000000" w:rsidP="00000000" w:rsidRDefault="00000000" w:rsidRPr="00000000" w14:paraId="00000062">
      <w:pPr>
        <w:numPr>
          <w:ilvl w:val="0"/>
          <w:numId w:val="6"/>
        </w:numPr>
        <w:shd w:fill="ffffff" w:val="clear"/>
        <w:spacing w:after="0" w:afterAutospacing="0" w:before="220" w:lineRule="auto"/>
        <w:ind w:left="720" w:hanging="360"/>
        <w:rPr>
          <w:color w:val="333333"/>
          <w:highlight w:val="white"/>
        </w:rPr>
      </w:pPr>
      <w:r w:rsidDel="00000000" w:rsidR="00000000" w:rsidRPr="00000000">
        <w:rPr>
          <w:color w:val="333333"/>
          <w:sz w:val="21"/>
          <w:szCs w:val="21"/>
          <w:highlight w:val="white"/>
          <w:rtl w:val="0"/>
        </w:rPr>
        <w:t xml:space="preserve">nonresidential_const_val</w:t>
      </w:r>
    </w:p>
    <w:p w:rsidR="00000000" w:rsidDel="00000000" w:rsidP="00000000" w:rsidRDefault="00000000" w:rsidRPr="00000000" w14:paraId="00000063">
      <w:pPr>
        <w:numPr>
          <w:ilvl w:val="0"/>
          <w:numId w:val="6"/>
        </w:numPr>
        <w:shd w:fill="ffffff" w:val="clear"/>
        <w:spacing w:after="100" w:before="0" w:beforeAutospacing="0" w:lineRule="auto"/>
        <w:ind w:left="720" w:hanging="360"/>
        <w:rPr>
          <w:color w:val="333333"/>
          <w:highlight w:val="white"/>
        </w:rPr>
      </w:pPr>
      <w:r w:rsidDel="00000000" w:rsidR="00000000" w:rsidRPr="00000000">
        <w:rPr>
          <w:color w:val="333333"/>
          <w:sz w:val="21"/>
          <w:szCs w:val="21"/>
          <w:highlight w:val="white"/>
          <w:rtl w:val="0"/>
        </w:rPr>
        <w:t xml:space="preserve">Permits</w:t>
      </w:r>
    </w:p>
    <w:p w:rsidR="00000000" w:rsidDel="00000000" w:rsidP="00000000" w:rsidRDefault="00000000" w:rsidRPr="00000000" w14:paraId="00000064">
      <w:pPr>
        <w:shd w:fill="ffffff" w:val="clear"/>
        <w:spacing w:after="240" w:before="60" w:lineRule="auto"/>
        <w:rPr>
          <w:color w:val="1f2328"/>
          <w:sz w:val="24"/>
          <w:szCs w:val="24"/>
          <w:highlight w:val="white"/>
        </w:rPr>
      </w:pPr>
      <w:r w:rsidDel="00000000" w:rsidR="00000000" w:rsidRPr="00000000">
        <w:rPr>
          <w:rtl w:val="0"/>
        </w:rPr>
      </w:r>
    </w:p>
    <w:p w:rsidR="00000000" w:rsidDel="00000000" w:rsidP="00000000" w:rsidRDefault="00000000" w:rsidRPr="00000000" w14:paraId="00000065">
      <w:pPr>
        <w:shd w:fill="ffffff" w:val="clear"/>
        <w:spacing w:after="240" w:before="60" w:lineRule="auto"/>
        <w:rPr>
          <w:color w:val="1f2328"/>
          <w:sz w:val="24"/>
          <w:szCs w:val="24"/>
          <w:highlight w:val="white"/>
        </w:rPr>
      </w:pPr>
      <w:r w:rsidDel="00000000" w:rsidR="00000000" w:rsidRPr="00000000">
        <w:rPr>
          <w:color w:val="1f2328"/>
          <w:sz w:val="24"/>
          <w:szCs w:val="24"/>
          <w:highlight w:val="white"/>
          <w:rtl w:val="0"/>
        </w:rPr>
        <w:t xml:space="preserve">We've encountered features in both annual and quarterly frequencies, and in order to standardize our data, we've transformed them into a monthly frequency. This transformation assumes an equal distribution of changes in feature values over each month. Considering that the average duration for the completion of residential buildings in the U.S. falls within the range of 8 to 12 months, we've chosen a window size of 12 months for our analysis.</w:t>
      </w:r>
    </w:p>
    <w:p w:rsidR="00000000" w:rsidDel="00000000" w:rsidP="00000000" w:rsidRDefault="00000000" w:rsidRPr="00000000" w14:paraId="00000066">
      <w:pPr>
        <w:shd w:fill="ffffff" w:val="clear"/>
        <w:spacing w:after="240" w:before="60" w:lineRule="auto"/>
        <w:rPr>
          <w:color w:val="1f2328"/>
          <w:sz w:val="24"/>
          <w:szCs w:val="24"/>
          <w:highlight w:val="white"/>
        </w:rPr>
      </w:pPr>
      <w:r w:rsidDel="00000000" w:rsidR="00000000" w:rsidRPr="00000000">
        <w:rPr>
          <w:rtl w:val="0"/>
        </w:rPr>
      </w:r>
    </w:p>
    <w:p w:rsidR="00000000" w:rsidDel="00000000" w:rsidP="00000000" w:rsidRDefault="00000000" w:rsidRPr="00000000" w14:paraId="00000067">
      <w:pPr>
        <w:shd w:fill="ffffff" w:val="clear"/>
        <w:spacing w:after="240" w:before="60" w:lineRule="auto"/>
        <w:rPr>
          <w:color w:val="1f2328"/>
          <w:sz w:val="24"/>
          <w:szCs w:val="24"/>
          <w:highlight w:val="white"/>
        </w:rPr>
      </w:pPr>
      <w:r w:rsidDel="00000000" w:rsidR="00000000" w:rsidRPr="00000000">
        <w:rPr>
          <w:color w:val="1f2328"/>
          <w:sz w:val="24"/>
          <w:szCs w:val="24"/>
          <w:highlight w:val="white"/>
          <w:rtl w:val="0"/>
        </w:rPr>
        <w:t xml:space="preserve">We are particularly interested in capturing the rate of change and trends within these features. While some features don't exhibit a linear correlation with our target variable, we've observed that their derivatives have a notable impact on prices. To account for these derivatives, we've implemented several techniques, including cumulative sums, rolling sums (typically spanning 12 months), rate of change over the past 12 months, and the introduction of a categorical variable denoting trends as 'UP' for uptrends and 'DOWN' for downtrends."</w:t>
      </w:r>
    </w:p>
    <w:p w:rsidR="00000000" w:rsidDel="00000000" w:rsidP="00000000" w:rsidRDefault="00000000" w:rsidRPr="00000000" w14:paraId="00000068">
      <w:pPr>
        <w:shd w:fill="ffffff" w:val="clear"/>
        <w:spacing w:after="240" w:before="60" w:lineRule="auto"/>
        <w:rPr>
          <w:color w:val="212121"/>
          <w:sz w:val="24"/>
          <w:szCs w:val="24"/>
          <w:highlight w:val="white"/>
        </w:rPr>
      </w:pPr>
      <w:r w:rsidDel="00000000" w:rsidR="00000000" w:rsidRPr="00000000">
        <w:rPr>
          <w:rtl w:val="0"/>
        </w:rPr>
      </w:r>
    </w:p>
    <w:p w:rsidR="00000000" w:rsidDel="00000000" w:rsidP="00000000" w:rsidRDefault="00000000" w:rsidRPr="00000000" w14:paraId="00000069">
      <w:pPr>
        <w:shd w:fill="ffffff" w:val="clear"/>
        <w:spacing w:after="240" w:before="60" w:lineRule="auto"/>
        <w:rPr>
          <w:b w:val="1"/>
          <w:color w:val="212121"/>
          <w:sz w:val="24"/>
          <w:szCs w:val="24"/>
          <w:highlight w:val="white"/>
        </w:rPr>
      </w:pPr>
      <w:r w:rsidDel="00000000" w:rsidR="00000000" w:rsidRPr="00000000">
        <w:rPr>
          <w:b w:val="1"/>
          <w:color w:val="212121"/>
          <w:sz w:val="24"/>
          <w:szCs w:val="24"/>
          <w:highlight w:val="white"/>
          <w:rtl w:val="0"/>
        </w:rPr>
        <w:t xml:space="preserve">Feature finalizing</w:t>
      </w:r>
    </w:p>
    <w:p w:rsidR="00000000" w:rsidDel="00000000" w:rsidP="00000000" w:rsidRDefault="00000000" w:rsidRPr="00000000" w14:paraId="0000006A">
      <w:pPr>
        <w:shd w:fill="ffffff" w:val="clear"/>
        <w:spacing w:after="240" w:before="60" w:lineRule="auto"/>
        <w:rPr>
          <w:color w:val="1f2328"/>
          <w:sz w:val="24"/>
          <w:szCs w:val="24"/>
          <w:highlight w:val="white"/>
        </w:rPr>
      </w:pPr>
      <w:r w:rsidDel="00000000" w:rsidR="00000000" w:rsidRPr="00000000">
        <w:rPr>
          <w:color w:val="212121"/>
          <w:sz w:val="24"/>
          <w:szCs w:val="24"/>
          <w:highlight w:val="white"/>
          <w:rtl w:val="0"/>
        </w:rPr>
        <w:t xml:space="preserve">Best alpha using built-in LassoCV: 0.01471</w:t>
      </w:r>
      <w:r w:rsidDel="00000000" w:rsidR="00000000" w:rsidRPr="00000000">
        <w:rPr>
          <w:rtl w:val="0"/>
        </w:rPr>
      </w:r>
    </w:p>
    <w:p w:rsidR="00000000" w:rsidDel="00000000" w:rsidP="00000000" w:rsidRDefault="00000000" w:rsidRPr="00000000" w14:paraId="0000006B">
      <w:pPr>
        <w:shd w:fill="ffffff" w:val="clear"/>
        <w:spacing w:after="240" w:before="60" w:lineRule="auto"/>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5943600" cy="53086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240" w:before="60" w:lineRule="auto"/>
        <w:rPr>
          <w:color w:val="1f2328"/>
          <w:sz w:val="24"/>
          <w:szCs w:val="24"/>
          <w:highlight w:val="white"/>
        </w:rPr>
      </w:pPr>
      <w:r w:rsidDel="00000000" w:rsidR="00000000" w:rsidRPr="00000000">
        <w:rPr>
          <w:rtl w:val="0"/>
        </w:rPr>
      </w:r>
    </w:p>
    <w:p w:rsidR="00000000" w:rsidDel="00000000" w:rsidP="00000000" w:rsidRDefault="00000000" w:rsidRPr="00000000" w14:paraId="0000006D">
      <w:pPr>
        <w:shd w:fill="ffffff" w:val="clear"/>
        <w:spacing w:after="100" w:before="220" w:lineRule="auto"/>
        <w:rPr>
          <w:color w:val="333333"/>
          <w:sz w:val="21"/>
          <w:szCs w:val="21"/>
          <w:highlight w:val="white"/>
        </w:rPr>
      </w:pPr>
      <w:r w:rsidDel="00000000" w:rsidR="00000000" w:rsidRPr="00000000">
        <w:rPr>
          <w:rtl w:val="0"/>
        </w:rPr>
      </w:r>
    </w:p>
    <w:p w:rsidR="00000000" w:rsidDel="00000000" w:rsidP="00000000" w:rsidRDefault="00000000" w:rsidRPr="00000000" w14:paraId="0000006E">
      <w:pPr>
        <w:ind w:right="-90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Features with zero coef are eliminated </w:t>
      </w:r>
      <w:r w:rsidDel="00000000" w:rsidR="00000000" w:rsidRPr="00000000">
        <w:rPr>
          <w:rtl w:val="0"/>
        </w:rPr>
      </w:r>
    </w:p>
    <w:p w:rsidR="00000000" w:rsidDel="00000000" w:rsidP="00000000" w:rsidRDefault="00000000" w:rsidRPr="00000000" w14:paraId="0000006F">
      <w:pPr>
        <w:shd w:fill="ffffff" w:val="clear"/>
        <w:spacing w:after="240" w:before="60" w:lineRule="auto"/>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3200400" cy="481012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00400"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after="100" w:before="220" w:lineRule="auto"/>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3781425" cy="459105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814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right="-90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72">
      <w:pPr>
        <w:ind w:right="-90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73">
      <w:pPr>
        <w:ind w:right="-900"/>
        <w:rPr>
          <w:rFonts w:ascii="Roboto" w:cs="Roboto" w:eastAsia="Roboto" w:hAnsi="Roboto"/>
          <w:color w:val="333333"/>
          <w:highlight w:val="white"/>
        </w:rPr>
      </w:pPr>
      <w:r w:rsidDel="00000000" w:rsidR="00000000" w:rsidRPr="00000000">
        <w:rPr>
          <w:rFonts w:ascii="Roboto" w:cs="Roboto" w:eastAsia="Roboto" w:hAnsi="Roboto"/>
          <w:color w:val="333333"/>
          <w:highlight w:val="white"/>
        </w:rPr>
        <w:drawing>
          <wp:inline distB="114300" distT="114300" distL="114300" distR="114300">
            <wp:extent cx="5943600" cy="67183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right="-900"/>
        <w:rPr>
          <w:color w:val="212121"/>
          <w:sz w:val="24"/>
          <w:szCs w:val="24"/>
          <w:highlight w:val="white"/>
        </w:rPr>
      </w:pPr>
      <w:r w:rsidDel="00000000" w:rsidR="00000000" w:rsidRPr="00000000">
        <w:rPr>
          <w:color w:val="212121"/>
          <w:sz w:val="24"/>
          <w:szCs w:val="24"/>
          <w:highlight w:val="white"/>
          <w:rtl w:val="0"/>
        </w:rPr>
        <w:t xml:space="preserve">METRICS </w:t>
      </w:r>
    </w:p>
    <w:p w:rsidR="00000000" w:rsidDel="00000000" w:rsidP="00000000" w:rsidRDefault="00000000" w:rsidRPr="00000000" w14:paraId="00000075">
      <w:pPr>
        <w:ind w:right="-900"/>
        <w:rPr>
          <w:color w:val="212121"/>
          <w:sz w:val="24"/>
          <w:szCs w:val="24"/>
          <w:highlight w:val="white"/>
        </w:rPr>
      </w:pPr>
      <w:r w:rsidDel="00000000" w:rsidR="00000000" w:rsidRPr="00000000">
        <w:rPr>
          <w:rtl w:val="0"/>
        </w:rPr>
      </w:r>
    </w:p>
    <w:p w:rsidR="00000000" w:rsidDel="00000000" w:rsidP="00000000" w:rsidRDefault="00000000" w:rsidRPr="00000000" w14:paraId="00000076">
      <w:pPr>
        <w:ind w:right="-900"/>
        <w:rPr>
          <w:color w:val="333333"/>
          <w:sz w:val="24"/>
          <w:szCs w:val="24"/>
          <w:highlight w:val="white"/>
        </w:rPr>
      </w:pPr>
      <w:r w:rsidDel="00000000" w:rsidR="00000000" w:rsidRPr="00000000">
        <w:rPr>
          <w:color w:val="212121"/>
          <w:sz w:val="24"/>
          <w:szCs w:val="24"/>
          <w:highlight w:val="white"/>
          <w:rtl w:val="0"/>
        </w:rPr>
        <w:t xml:space="preserve">MSE = 58.2454546664891 RMSE = 7.631870980728716 R2 = 0.7347</w:t>
      </w:r>
      <w:r w:rsidDel="00000000" w:rsidR="00000000" w:rsidRPr="00000000">
        <w:rPr>
          <w:rtl w:val="0"/>
        </w:rPr>
      </w:r>
    </w:p>
    <w:p w:rsidR="00000000" w:rsidDel="00000000" w:rsidP="00000000" w:rsidRDefault="00000000" w:rsidRPr="00000000" w14:paraId="00000077">
      <w:pPr>
        <w:ind w:right="-90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the R² is 0.7347. This means that the independent variables in your regression model explain approximately 73.47% of the variance in the dependent variable. It indicates a reasonably good fit of the model to the data.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 summary, MSE and RMSE measure the accuracy of a regression model, with RMSE providing a more interpretable error metric. R-squared (R²) quantifies how well the model explains the variation in the dependent variable, with higher values indicating a better fit. In your specific case, the model has an MSE of 58.2454, an RMSE of 7.6319, and an R² of 0.7347, indicating that the model is reasonably accurate and explains a significant portion of the variance in the dependent variable.</w:t>
      </w:r>
    </w:p>
    <w:p w:rsidR="00000000" w:rsidDel="00000000" w:rsidP="00000000" w:rsidRDefault="00000000" w:rsidRPr="00000000" w14:paraId="0000007B">
      <w:pPr>
        <w:rPr/>
      </w:pPr>
      <w:r w:rsidDel="00000000" w:rsidR="00000000" w:rsidRPr="00000000">
        <w:rPr>
          <w:rtl w:val="0"/>
        </w:rPr>
        <w:t xml:space="preserve">NOTE: data considered from 2000-2021 as per publicly available data </w:t>
      </w:r>
    </w:p>
    <w:p w:rsidR="00000000" w:rsidDel="00000000" w:rsidP="00000000" w:rsidRDefault="00000000" w:rsidRPr="00000000" w14:paraId="0000007C">
      <w:pPr>
        <w:ind w:right="-90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7D">
      <w:pPr>
        <w:ind w:left="-900" w:right="-900" w:firstLine="0"/>
        <w:rPr>
          <w:rFonts w:ascii="Roboto" w:cs="Roboto" w:eastAsia="Roboto" w:hAnsi="Roboto"/>
          <w:color w:val="3333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fred.stlouisfed.org/series/CSUSHPISA" TargetMode="External"/><Relationship Id="rId7" Type="http://schemas.openxmlformats.org/officeDocument/2006/relationships/hyperlink" Target="http://fred.stlouisfed.org/series/CSUSHPISA" TargetMode="External"/><Relationship Id="rId8" Type="http://schemas.openxmlformats.org/officeDocument/2006/relationships/hyperlink" Target="https://www.urba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