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00E0" w14:textId="77777777" w:rsidR="00B36F7B" w:rsidRDefault="00B36F7B">
      <w:pPr>
        <w:pStyle w:val="Nzev1"/>
      </w:pPr>
      <w:r w:rsidRPr="00B36F7B">
        <w:t xml:space="preserve">Audio Quality Assessment of Digital </w:t>
      </w:r>
    </w:p>
    <w:p w14:paraId="113A6CDE" w14:textId="77777777" w:rsidR="00092EE9" w:rsidRDefault="00B36F7B">
      <w:pPr>
        <w:pStyle w:val="Nzev1"/>
      </w:pPr>
      <w:r w:rsidRPr="00B36F7B">
        <w:t>Radio Broadcasting Systems</w:t>
      </w:r>
    </w:p>
    <w:p w14:paraId="096F2BD0" w14:textId="77777777" w:rsidR="00092EE9" w:rsidRDefault="00B36F7B">
      <w:pPr>
        <w:pStyle w:val="Title-authors"/>
        <w:rPr>
          <w:i w:val="0"/>
          <w:iCs w:val="0"/>
          <w:vertAlign w:val="superscript"/>
        </w:rPr>
      </w:pPr>
      <w:r>
        <w:t xml:space="preserve">Adam </w:t>
      </w:r>
      <w:r w:rsidR="00B53484">
        <w:t>BARTYZAL</w:t>
      </w:r>
    </w:p>
    <w:p w14:paraId="08F06FA8" w14:textId="77777777" w:rsidR="00092EE9" w:rsidRDefault="00092EE9">
      <w:pPr>
        <w:pStyle w:val="Title-address"/>
        <w:rPr>
          <w:lang w:val="cs-CZ"/>
        </w:rPr>
      </w:pPr>
      <w:r>
        <w:t xml:space="preserve">Dept. of </w:t>
      </w:r>
      <w:r w:rsidR="00B36F7B">
        <w:t>Electromagnetic Field</w:t>
      </w:r>
      <w:r>
        <w:t xml:space="preserve">, Czech Technical University, </w:t>
      </w:r>
      <w:bookmarkStart w:id="0" w:name="_GoBack"/>
      <w:proofErr w:type="spellStart"/>
      <w:r>
        <w:t>Technická</w:t>
      </w:r>
      <w:proofErr w:type="spellEnd"/>
      <w:r>
        <w:t xml:space="preserve"> </w:t>
      </w:r>
      <w:bookmarkEnd w:id="0"/>
      <w:r>
        <w:t>2, 166 27 Praha, Czech Republic</w:t>
      </w:r>
      <w:r>
        <w:br/>
      </w:r>
      <w:r w:rsidR="00B36F7B" w:rsidRPr="00B36F7B">
        <w:rPr>
          <w:lang w:val="cs-CZ"/>
        </w:rPr>
        <w:t>bartyada@fel.cvut.cz</w:t>
      </w:r>
    </w:p>
    <w:p w14:paraId="0AF83024" w14:textId="77777777" w:rsidR="00B36F7B" w:rsidRDefault="00B36F7B">
      <w:pPr>
        <w:pStyle w:val="Title-address"/>
      </w:pPr>
    </w:p>
    <w:p w14:paraId="6E5B79B7" w14:textId="77777777" w:rsidR="00092EE9" w:rsidRDefault="00092EE9">
      <w:pPr>
        <w:rPr>
          <w:b/>
        </w:rPr>
        <w:sectPr w:rsidR="00092EE9">
          <w:headerReference w:type="even" r:id="rId8"/>
          <w:headerReference w:type="default" r:id="rId9"/>
          <w:footnotePr>
            <w:pos w:val="beneathText"/>
          </w:footnotePr>
          <w:pgSz w:w="11905" w:h="16837"/>
          <w:pgMar w:top="1418" w:right="851" w:bottom="1418" w:left="1135" w:header="709" w:footer="708" w:gutter="0"/>
          <w:cols w:space="708"/>
          <w:docGrid w:linePitch="360"/>
        </w:sectPr>
      </w:pPr>
    </w:p>
    <w:p w14:paraId="46595ADD" w14:textId="42F99FE2" w:rsidR="00413443" w:rsidRDefault="00092EE9" w:rsidP="00B36F7B">
      <w:pPr>
        <w:pStyle w:val="Abstract"/>
        <w:rPr>
          <w:b/>
        </w:rPr>
      </w:pPr>
      <w:r>
        <w:rPr>
          <w:b/>
          <w:bCs w:val="0"/>
          <w:i w:val="0"/>
          <w:iCs w:val="0"/>
        </w:rPr>
        <w:t>Abstract.</w:t>
      </w:r>
      <w:r>
        <w:t xml:space="preserve"> </w:t>
      </w:r>
      <w:r w:rsidR="00B36F7B" w:rsidRPr="00B36F7B">
        <w:t>Due to the amount of content in digital radio systems it is not possible to determine the sound quality of the source coding by subjective tests. In the last two decades, systems of objective evaluation using auditory models have been developed. With the development of more modern codecs utilizing psychoacoustic knowledge, machine methods seem to provide inaccurate results, i</w:t>
      </w:r>
      <w:r w:rsidR="006A433F">
        <w:t>.</w:t>
      </w:r>
      <w:r w:rsidR="00B36F7B" w:rsidRPr="00B36F7B">
        <w:t>e</w:t>
      </w:r>
      <w:r w:rsidR="006A433F">
        <w:t>.</w:t>
      </w:r>
      <w:r w:rsidR="00B36F7B" w:rsidRPr="00B36F7B">
        <w:t xml:space="preserve"> they give worse quality scores than the human listener, especially at low bit rates. The paper focuses on t</w:t>
      </w:r>
      <w:r w:rsidR="005C55FD">
        <w:t>wo</w:t>
      </w:r>
      <w:r w:rsidR="00B36F7B" w:rsidRPr="00B36F7B">
        <w:t xml:space="preserve"> methods of evaluation: PEAQ</w:t>
      </w:r>
      <w:r w:rsidR="005C55FD">
        <w:t xml:space="preserve"> </w:t>
      </w:r>
      <w:r w:rsidR="00B36F7B" w:rsidRPr="00B36F7B">
        <w:t>and ViSQOL, their evaluation of different coding methods depending on the bitrate</w:t>
      </w:r>
      <w:r w:rsidR="00D65274">
        <w:t xml:space="preserve"> and tries to d</w:t>
      </w:r>
      <w:r w:rsidR="00B36F7B" w:rsidRPr="00B36F7B">
        <w:t>etermine whether they are undervaluing quality and to what extent.</w:t>
      </w:r>
    </w:p>
    <w:p w14:paraId="6CFFB403" w14:textId="77777777" w:rsidR="00092EE9" w:rsidRDefault="00092EE9">
      <w:pPr>
        <w:pStyle w:val="Keywords"/>
      </w:pPr>
      <w:r>
        <w:t>Keywords</w:t>
      </w:r>
    </w:p>
    <w:p w14:paraId="28A9CE3A" w14:textId="50EB2FD1" w:rsidR="00092EE9" w:rsidRDefault="00894C3C">
      <w:pPr>
        <w:pStyle w:val="Keywordstext"/>
      </w:pPr>
      <w:r>
        <w:t>audio quality assessment</w:t>
      </w:r>
      <w:r w:rsidR="006740A1">
        <w:t xml:space="preserve">, </w:t>
      </w:r>
      <w:r>
        <w:t>codecs</w:t>
      </w:r>
      <w:r w:rsidR="00092EE9">
        <w:t xml:space="preserve">, </w:t>
      </w:r>
      <w:r>
        <w:t>PEAQ,</w:t>
      </w:r>
      <w:r w:rsidR="001D7657">
        <w:t xml:space="preserve"> PEMO-Q,</w:t>
      </w:r>
      <w:r w:rsidR="0083148D">
        <w:t xml:space="preserve"> </w:t>
      </w:r>
      <w:r>
        <w:t>ViSQOL, MUSHRA</w:t>
      </w:r>
    </w:p>
    <w:p w14:paraId="155959B8" w14:textId="4AB124DA" w:rsidR="00092EE9" w:rsidRDefault="00B53484">
      <w:pPr>
        <w:pStyle w:val="Nadpis1"/>
      </w:pPr>
      <w:r>
        <w:t>Introduction</w:t>
      </w:r>
    </w:p>
    <w:p w14:paraId="08DF9CEF" w14:textId="7D4153B3" w:rsidR="00417100" w:rsidRPr="00417100" w:rsidRDefault="00417100" w:rsidP="00417100">
      <w:r w:rsidRPr="00417100">
        <w:t>Frequency spectrum is a very expensive matter</w:t>
      </w:r>
      <w:r w:rsidR="00BB1E8C">
        <w:t xml:space="preserve"> in these days</w:t>
      </w:r>
      <w:r w:rsidRPr="00417100">
        <w:t xml:space="preserve">, and with the development of telephone data services, the bandwidth </w:t>
      </w:r>
      <w:r w:rsidR="00F36E41" w:rsidRPr="00F36E41">
        <w:t>designate</w:t>
      </w:r>
      <w:r w:rsidR="00F36E41">
        <w:t>d</w:t>
      </w:r>
      <w:r w:rsidRPr="00417100">
        <w:t xml:space="preserve"> for radio broadcasting is decreasing. In contrast, the amount of content offered is growing. The solution to combine these two trends is digital radio DRM or DAB. It is necessary to find the optimal level of compression of the source signal so that the listener does not </w:t>
      </w:r>
      <w:r w:rsidR="00F36E41">
        <w:t>realize</w:t>
      </w:r>
      <w:r w:rsidRPr="00417100">
        <w:t xml:space="preserve"> </w:t>
      </w:r>
      <w:r w:rsidR="00F36E41">
        <w:t>there is a</w:t>
      </w:r>
      <w:r w:rsidRPr="00417100">
        <w:t xml:space="preserve"> difference from the uncompressed original and at the same time the content provider uses the spectrum as effectively as possible. To determine such a threshold, subjective tests </w:t>
      </w:r>
      <w:r w:rsidR="00F36E41">
        <w:t>might</w:t>
      </w:r>
      <w:r w:rsidRPr="00417100">
        <w:t xml:space="preserve"> be used, however, their time-</w:t>
      </w:r>
      <w:r>
        <w:t>consumption</w:t>
      </w:r>
      <w:r w:rsidRPr="00417100">
        <w:t xml:space="preserve"> (</w:t>
      </w:r>
      <w:r w:rsidR="00F36E41">
        <w:t xml:space="preserve">therefore financial </w:t>
      </w:r>
      <w:r>
        <w:t>cost</w:t>
      </w:r>
      <w:r w:rsidRPr="00417100">
        <w:t xml:space="preserve">) is high and </w:t>
      </w:r>
      <w:r w:rsidR="00F36E41">
        <w:t>because of that</w:t>
      </w:r>
      <w:r w:rsidRPr="00417100">
        <w:t xml:space="preserve"> automation and computer algorithms are being introduced to provide</w:t>
      </w:r>
      <w:r>
        <w:t xml:space="preserve"> an</w:t>
      </w:r>
      <w:r w:rsidRPr="00417100">
        <w:t xml:space="preserve"> objective assessment.</w:t>
      </w:r>
    </w:p>
    <w:p w14:paraId="240F14B0" w14:textId="5893D27B" w:rsidR="00092EE9" w:rsidRDefault="00B53484">
      <w:pPr>
        <w:pStyle w:val="Nadpis1"/>
        <w:tabs>
          <w:tab w:val="left" w:pos="0"/>
        </w:tabs>
      </w:pPr>
      <w:r>
        <w:t xml:space="preserve">Objective </w:t>
      </w:r>
      <w:r w:rsidR="000F36BE">
        <w:t>e</w:t>
      </w:r>
      <w:r>
        <w:t>valuation methods</w:t>
      </w:r>
    </w:p>
    <w:p w14:paraId="39FE8DE1" w14:textId="00C5703E" w:rsidR="00C32C7E" w:rsidRDefault="00C32C7E" w:rsidP="00C32C7E">
      <w:r w:rsidRPr="00C32C7E">
        <w:t>In listening tests of signals encoded by different codecs, one of the two following methods is</w:t>
      </w:r>
      <w:r w:rsidR="00F36E41">
        <w:t xml:space="preserve"> usually</w:t>
      </w:r>
      <w:r w:rsidRPr="00C32C7E">
        <w:t xml:space="preserve"> used</w:t>
      </w:r>
      <w:r w:rsidR="00F36E41">
        <w:t xml:space="preserve"> being </w:t>
      </w:r>
      <w:r w:rsidR="00F36E41" w:rsidRPr="00C32C7E">
        <w:t>according</w:t>
      </w:r>
      <w:r w:rsidRPr="00C32C7E">
        <w:t xml:space="preserve"> to ITU-R recommendations</w:t>
      </w:r>
      <w:r w:rsidR="00472D8E">
        <w:t xml:space="preserve"> [1]</w:t>
      </w:r>
      <w:r w:rsidRPr="00C32C7E">
        <w:t>. ABX (Double Blind Test) and MUSHRA (</w:t>
      </w:r>
      <w:proofErr w:type="spellStart"/>
      <w:r w:rsidR="005551BF" w:rsidRPr="005551BF">
        <w:t>MUltiple</w:t>
      </w:r>
      <w:proofErr w:type="spellEnd"/>
      <w:r w:rsidR="005551BF" w:rsidRPr="005551BF">
        <w:t xml:space="preserve"> Stimuli with </w:t>
      </w:r>
      <w:r w:rsidR="005551BF" w:rsidRPr="005551BF">
        <w:t>Hidden Reference and Anchor</w:t>
      </w:r>
      <w:r w:rsidRPr="00C32C7E">
        <w:t xml:space="preserve">). The outputs of </w:t>
      </w:r>
      <w:r w:rsidR="005551BF" w:rsidRPr="00C32C7E">
        <w:t>both</w:t>
      </w:r>
      <w:r w:rsidRPr="00C32C7E">
        <w:t xml:space="preserve"> test</w:t>
      </w:r>
      <w:r w:rsidR="005551BF">
        <w:t>ing</w:t>
      </w:r>
      <w:r w:rsidRPr="00C32C7E">
        <w:t xml:space="preserve"> </w:t>
      </w:r>
      <w:r w:rsidR="005551BF">
        <w:t xml:space="preserve">methods </w:t>
      </w:r>
      <w:r w:rsidRPr="00C32C7E">
        <w:t>can be mapped to a scale defined in</w:t>
      </w:r>
      <w:r w:rsidR="005551BF">
        <w:rPr>
          <w:noProof/>
          <w:lang w:val="cs-CZ"/>
        </w:rPr>
        <w:t xml:space="preserve"> </w:t>
      </w:r>
      <w:r w:rsidR="001C79A1" w:rsidRPr="001C79A1">
        <w:rPr>
          <w:noProof/>
          <w:lang w:val="cs-CZ"/>
        </w:rPr>
        <w:t>[1]</w:t>
      </w:r>
      <w:r w:rsidRPr="00C32C7E">
        <w:t xml:space="preserve"> called SDG (Subjective difference grade). </w:t>
      </w:r>
      <w:r w:rsidR="005551BF" w:rsidRPr="00C32C7E">
        <w:t>Objective</w:t>
      </w:r>
      <w:r w:rsidRPr="00C32C7E">
        <w:t xml:space="preserve"> algorithms </w:t>
      </w:r>
      <w:r w:rsidR="00276BDF">
        <w:t>provide</w:t>
      </w:r>
      <w:r w:rsidRPr="00C32C7E">
        <w:t xml:space="preserve"> their results on the ODG (Objective difference grade) scale that corresponds to the SDG</w:t>
      </w:r>
      <w:r w:rsidR="005551BF">
        <w:t xml:space="preserve"> as shown in </w:t>
      </w:r>
      <w:r w:rsidR="005551BF" w:rsidRPr="00276BDF">
        <w:t>table</w:t>
      </w:r>
      <w:r w:rsidR="00276BDF">
        <w:t> </w:t>
      </w:r>
      <w:r w:rsidR="005551BF" w:rsidRPr="00276BDF">
        <w:t>1</w:t>
      </w:r>
      <w:r w:rsidRPr="00C32C7E">
        <w:t>.</w:t>
      </w:r>
    </w:p>
    <w:p w14:paraId="489FFE08" w14:textId="77777777" w:rsidR="00C32C7E" w:rsidRPr="00C32C7E" w:rsidRDefault="00C32C7E" w:rsidP="00C32C7E"/>
    <w:tbl>
      <w:tblPr>
        <w:tblW w:w="4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9"/>
        <w:gridCol w:w="656"/>
        <w:gridCol w:w="577"/>
        <w:gridCol w:w="606"/>
      </w:tblGrid>
      <w:tr w:rsidR="008C53BA" w:rsidRPr="008C53BA" w14:paraId="56B04890" w14:textId="79515338" w:rsidTr="008C53BA">
        <w:trPr>
          <w:trHeight w:val="283"/>
          <w:jc w:val="center"/>
        </w:trPr>
        <w:tc>
          <w:tcPr>
            <w:tcW w:w="2628" w:type="dxa"/>
            <w:shd w:val="clear" w:color="auto" w:fill="auto"/>
            <w:vAlign w:val="center"/>
          </w:tcPr>
          <w:p w14:paraId="711F37F5" w14:textId="01B860A6" w:rsidR="005551BF" w:rsidRPr="008C53BA" w:rsidRDefault="005551BF" w:rsidP="008C53BA">
            <w:pPr>
              <w:pStyle w:val="Bezmezer"/>
              <w:rPr>
                <w:rFonts w:eastAsia="Calibri"/>
                <w:sz w:val="18"/>
                <w:szCs w:val="22"/>
              </w:rPr>
            </w:pPr>
            <w:r w:rsidRPr="008C53BA">
              <w:rPr>
                <w:rFonts w:eastAsia="Calibri"/>
                <w:sz w:val="18"/>
                <w:szCs w:val="22"/>
              </w:rPr>
              <w:t>Impairment</w:t>
            </w:r>
          </w:p>
        </w:tc>
        <w:tc>
          <w:tcPr>
            <w:tcW w:w="656" w:type="dxa"/>
            <w:shd w:val="clear" w:color="auto" w:fill="auto"/>
            <w:vAlign w:val="center"/>
          </w:tcPr>
          <w:p w14:paraId="55B29A14" w14:textId="7D7D8F51" w:rsidR="005551BF" w:rsidRPr="008C53BA" w:rsidRDefault="005551BF" w:rsidP="008C53BA">
            <w:pPr>
              <w:pStyle w:val="Bezmezer"/>
              <w:rPr>
                <w:rFonts w:eastAsia="Calibri"/>
                <w:sz w:val="18"/>
                <w:szCs w:val="22"/>
              </w:rPr>
            </w:pPr>
            <w:r w:rsidRPr="008C53BA">
              <w:rPr>
                <w:rFonts w:eastAsia="Calibri"/>
                <w:sz w:val="18"/>
                <w:szCs w:val="22"/>
              </w:rPr>
              <w:t>Grade</w:t>
            </w:r>
          </w:p>
        </w:tc>
        <w:tc>
          <w:tcPr>
            <w:tcW w:w="577" w:type="dxa"/>
            <w:shd w:val="clear" w:color="auto" w:fill="auto"/>
            <w:vAlign w:val="center"/>
          </w:tcPr>
          <w:p w14:paraId="3FCDD6A5" w14:textId="661AA4C0" w:rsidR="005551BF" w:rsidRPr="008C53BA" w:rsidRDefault="005551BF" w:rsidP="008C53BA">
            <w:pPr>
              <w:pStyle w:val="Bezmezer"/>
              <w:rPr>
                <w:rFonts w:eastAsia="Calibri"/>
                <w:sz w:val="18"/>
                <w:szCs w:val="22"/>
              </w:rPr>
            </w:pPr>
            <w:r w:rsidRPr="008C53BA">
              <w:rPr>
                <w:rFonts w:eastAsia="Calibri"/>
                <w:sz w:val="18"/>
                <w:szCs w:val="22"/>
              </w:rPr>
              <w:t>SDG</w:t>
            </w:r>
          </w:p>
        </w:tc>
        <w:tc>
          <w:tcPr>
            <w:tcW w:w="577" w:type="dxa"/>
            <w:shd w:val="clear" w:color="auto" w:fill="auto"/>
            <w:vAlign w:val="center"/>
          </w:tcPr>
          <w:p w14:paraId="49DD6CEE" w14:textId="2EB2782D" w:rsidR="005551BF" w:rsidRPr="008C53BA" w:rsidRDefault="00BB4B77" w:rsidP="005551BF">
            <w:pPr>
              <w:pStyle w:val="Bezmezer"/>
              <w:rPr>
                <w:rFonts w:ascii="Calibri" w:eastAsia="Calibri" w:hAnsi="Calibri"/>
                <w:sz w:val="18"/>
                <w:szCs w:val="22"/>
              </w:rPr>
            </w:pPr>
            <w:r w:rsidRPr="008C53BA">
              <w:rPr>
                <w:rFonts w:eastAsia="Calibri"/>
                <w:sz w:val="18"/>
                <w:szCs w:val="22"/>
              </w:rPr>
              <w:t>O</w:t>
            </w:r>
            <w:r w:rsidR="005551BF" w:rsidRPr="008C53BA">
              <w:rPr>
                <w:rFonts w:eastAsia="Calibri"/>
                <w:sz w:val="18"/>
                <w:szCs w:val="22"/>
              </w:rPr>
              <w:t>DG</w:t>
            </w:r>
          </w:p>
        </w:tc>
      </w:tr>
      <w:tr w:rsidR="008C53BA" w:rsidRPr="008C53BA" w14:paraId="04E71099" w14:textId="580E1DF3" w:rsidTr="008C53BA">
        <w:trPr>
          <w:trHeight w:val="283"/>
          <w:jc w:val="center"/>
        </w:trPr>
        <w:tc>
          <w:tcPr>
            <w:tcW w:w="2628" w:type="dxa"/>
            <w:shd w:val="clear" w:color="auto" w:fill="auto"/>
            <w:vAlign w:val="center"/>
          </w:tcPr>
          <w:p w14:paraId="11315824" w14:textId="77777777" w:rsidR="005551BF" w:rsidRPr="008C53BA" w:rsidRDefault="005551BF" w:rsidP="008C53BA">
            <w:pPr>
              <w:pStyle w:val="Bezmezer"/>
              <w:rPr>
                <w:rFonts w:eastAsia="Calibri"/>
                <w:sz w:val="18"/>
                <w:szCs w:val="22"/>
              </w:rPr>
            </w:pPr>
            <w:r w:rsidRPr="008C53BA">
              <w:rPr>
                <w:rFonts w:eastAsia="Calibri"/>
                <w:sz w:val="18"/>
                <w:szCs w:val="22"/>
              </w:rPr>
              <w:t>Imperceptible</w:t>
            </w:r>
          </w:p>
          <w:p w14:paraId="7EFF19B7" w14:textId="2D447563" w:rsidR="005551BF" w:rsidRPr="008C53BA" w:rsidRDefault="005551BF" w:rsidP="005551BF">
            <w:pPr>
              <w:pStyle w:val="Bezmezer"/>
              <w:rPr>
                <w:rFonts w:eastAsia="Calibri"/>
                <w:sz w:val="18"/>
                <w:szCs w:val="22"/>
              </w:rPr>
            </w:pPr>
            <w:r w:rsidRPr="008C53BA">
              <w:rPr>
                <w:rFonts w:eastAsia="Calibri"/>
                <w:sz w:val="18"/>
                <w:szCs w:val="22"/>
              </w:rPr>
              <w:t>Perceptible, but not annoying</w:t>
            </w:r>
          </w:p>
          <w:p w14:paraId="6338F09E" w14:textId="09AE4E50" w:rsidR="005551BF" w:rsidRPr="008C53BA" w:rsidRDefault="005551BF" w:rsidP="008C53BA">
            <w:pPr>
              <w:pStyle w:val="Bezmezer"/>
              <w:rPr>
                <w:rFonts w:eastAsia="Calibri"/>
                <w:sz w:val="18"/>
                <w:szCs w:val="22"/>
              </w:rPr>
            </w:pPr>
            <w:r w:rsidRPr="008C53BA">
              <w:rPr>
                <w:rFonts w:eastAsia="Calibri"/>
                <w:sz w:val="18"/>
                <w:szCs w:val="22"/>
              </w:rPr>
              <w:t>Slightly annoying</w:t>
            </w:r>
          </w:p>
          <w:p w14:paraId="3F82B5DC" w14:textId="77777777" w:rsidR="005551BF" w:rsidRPr="008C53BA" w:rsidRDefault="005551BF" w:rsidP="008C53BA">
            <w:pPr>
              <w:pStyle w:val="Bezmezer"/>
              <w:rPr>
                <w:rFonts w:eastAsia="Calibri"/>
                <w:sz w:val="18"/>
                <w:szCs w:val="22"/>
              </w:rPr>
            </w:pPr>
            <w:r w:rsidRPr="008C53BA">
              <w:rPr>
                <w:rFonts w:eastAsia="Calibri"/>
                <w:sz w:val="18"/>
                <w:szCs w:val="22"/>
              </w:rPr>
              <w:t>Annoying</w:t>
            </w:r>
          </w:p>
          <w:p w14:paraId="43DCA73C" w14:textId="29DBB014" w:rsidR="005551BF" w:rsidRPr="008C53BA" w:rsidRDefault="005551BF" w:rsidP="008C53BA">
            <w:pPr>
              <w:pStyle w:val="Bezmezer"/>
              <w:rPr>
                <w:rFonts w:eastAsia="Calibri"/>
                <w:sz w:val="18"/>
                <w:szCs w:val="22"/>
              </w:rPr>
            </w:pPr>
            <w:r w:rsidRPr="008C53BA">
              <w:rPr>
                <w:rFonts w:eastAsia="Calibri"/>
                <w:sz w:val="18"/>
                <w:szCs w:val="22"/>
              </w:rPr>
              <w:t>Very annoying</w:t>
            </w:r>
          </w:p>
        </w:tc>
        <w:tc>
          <w:tcPr>
            <w:tcW w:w="656" w:type="dxa"/>
            <w:shd w:val="clear" w:color="auto" w:fill="auto"/>
            <w:vAlign w:val="center"/>
          </w:tcPr>
          <w:p w14:paraId="0B2A0099" w14:textId="77777777" w:rsidR="005551BF" w:rsidRPr="008C53BA" w:rsidRDefault="005551BF" w:rsidP="005551BF">
            <w:pPr>
              <w:pStyle w:val="Bezmezer"/>
              <w:rPr>
                <w:rFonts w:eastAsia="Calibri"/>
                <w:sz w:val="18"/>
                <w:szCs w:val="22"/>
              </w:rPr>
            </w:pPr>
            <w:r w:rsidRPr="008C53BA">
              <w:rPr>
                <w:rFonts w:eastAsia="Calibri"/>
                <w:sz w:val="18"/>
                <w:szCs w:val="22"/>
              </w:rPr>
              <w:t>5</w:t>
            </w:r>
          </w:p>
          <w:p w14:paraId="77D11955" w14:textId="77777777" w:rsidR="005551BF" w:rsidRPr="008C53BA" w:rsidRDefault="005551BF" w:rsidP="005551BF">
            <w:pPr>
              <w:pStyle w:val="Bezmezer"/>
              <w:rPr>
                <w:rFonts w:eastAsia="Calibri"/>
                <w:sz w:val="18"/>
                <w:szCs w:val="22"/>
              </w:rPr>
            </w:pPr>
            <w:r w:rsidRPr="008C53BA">
              <w:rPr>
                <w:rFonts w:eastAsia="Calibri"/>
                <w:sz w:val="18"/>
                <w:szCs w:val="22"/>
              </w:rPr>
              <w:t>4</w:t>
            </w:r>
          </w:p>
          <w:p w14:paraId="5794C2BE" w14:textId="77777777" w:rsidR="005551BF" w:rsidRPr="008C53BA" w:rsidRDefault="005551BF" w:rsidP="005551BF">
            <w:pPr>
              <w:pStyle w:val="Bezmezer"/>
              <w:rPr>
                <w:rFonts w:eastAsia="Calibri"/>
                <w:sz w:val="18"/>
                <w:szCs w:val="22"/>
              </w:rPr>
            </w:pPr>
            <w:r w:rsidRPr="008C53BA">
              <w:rPr>
                <w:rFonts w:eastAsia="Calibri"/>
                <w:sz w:val="18"/>
                <w:szCs w:val="22"/>
              </w:rPr>
              <w:t>3</w:t>
            </w:r>
          </w:p>
          <w:p w14:paraId="37F89650" w14:textId="77777777" w:rsidR="005551BF" w:rsidRPr="008C53BA" w:rsidRDefault="005551BF" w:rsidP="005551BF">
            <w:pPr>
              <w:pStyle w:val="Bezmezer"/>
              <w:rPr>
                <w:rFonts w:eastAsia="Calibri"/>
                <w:sz w:val="18"/>
                <w:szCs w:val="22"/>
              </w:rPr>
            </w:pPr>
            <w:r w:rsidRPr="008C53BA">
              <w:rPr>
                <w:rFonts w:eastAsia="Calibri"/>
                <w:sz w:val="18"/>
                <w:szCs w:val="22"/>
              </w:rPr>
              <w:t>2</w:t>
            </w:r>
          </w:p>
          <w:p w14:paraId="03088A5C" w14:textId="56AB4577" w:rsidR="005551BF" w:rsidRPr="008C53BA" w:rsidRDefault="005551BF" w:rsidP="008C53BA">
            <w:pPr>
              <w:pStyle w:val="Bezmezer"/>
              <w:rPr>
                <w:rFonts w:eastAsia="Calibri"/>
                <w:sz w:val="18"/>
                <w:szCs w:val="22"/>
              </w:rPr>
            </w:pPr>
            <w:r w:rsidRPr="008C53BA">
              <w:rPr>
                <w:rFonts w:eastAsia="Calibri"/>
                <w:sz w:val="18"/>
                <w:szCs w:val="22"/>
              </w:rPr>
              <w:t>1</w:t>
            </w:r>
          </w:p>
        </w:tc>
        <w:tc>
          <w:tcPr>
            <w:tcW w:w="577" w:type="dxa"/>
            <w:shd w:val="clear" w:color="auto" w:fill="auto"/>
            <w:vAlign w:val="center"/>
          </w:tcPr>
          <w:p w14:paraId="08D6D258" w14:textId="77777777" w:rsidR="005551BF" w:rsidRPr="008C53BA" w:rsidRDefault="005551BF" w:rsidP="005551BF">
            <w:pPr>
              <w:pStyle w:val="Bezmezer"/>
              <w:rPr>
                <w:rFonts w:eastAsia="Calibri"/>
                <w:sz w:val="18"/>
                <w:szCs w:val="22"/>
              </w:rPr>
            </w:pPr>
            <w:r w:rsidRPr="008C53BA">
              <w:rPr>
                <w:rFonts w:eastAsia="Calibri"/>
                <w:sz w:val="18"/>
                <w:szCs w:val="22"/>
              </w:rPr>
              <w:t>0</w:t>
            </w:r>
          </w:p>
          <w:p w14:paraId="67ACE799" w14:textId="77777777" w:rsidR="005551BF" w:rsidRPr="008C53BA" w:rsidRDefault="005551BF" w:rsidP="005551BF">
            <w:pPr>
              <w:pStyle w:val="Bezmezer"/>
              <w:rPr>
                <w:rFonts w:eastAsia="Calibri"/>
                <w:sz w:val="18"/>
                <w:szCs w:val="22"/>
              </w:rPr>
            </w:pPr>
            <w:r w:rsidRPr="008C53BA">
              <w:rPr>
                <w:rFonts w:eastAsia="Calibri"/>
                <w:sz w:val="18"/>
                <w:szCs w:val="22"/>
              </w:rPr>
              <w:t>-1</w:t>
            </w:r>
          </w:p>
          <w:p w14:paraId="76B4F7F7" w14:textId="77777777" w:rsidR="005551BF" w:rsidRPr="008C53BA" w:rsidRDefault="005551BF" w:rsidP="005551BF">
            <w:pPr>
              <w:pStyle w:val="Bezmezer"/>
              <w:rPr>
                <w:rFonts w:eastAsia="Calibri"/>
                <w:sz w:val="18"/>
                <w:szCs w:val="22"/>
              </w:rPr>
            </w:pPr>
            <w:r w:rsidRPr="008C53BA">
              <w:rPr>
                <w:rFonts w:eastAsia="Calibri"/>
                <w:sz w:val="18"/>
                <w:szCs w:val="22"/>
              </w:rPr>
              <w:t>-2</w:t>
            </w:r>
          </w:p>
          <w:p w14:paraId="1CE03BEC" w14:textId="77777777" w:rsidR="005551BF" w:rsidRPr="008C53BA" w:rsidRDefault="005551BF" w:rsidP="005551BF">
            <w:pPr>
              <w:pStyle w:val="Bezmezer"/>
              <w:rPr>
                <w:rFonts w:eastAsia="Calibri"/>
                <w:sz w:val="18"/>
                <w:szCs w:val="22"/>
              </w:rPr>
            </w:pPr>
            <w:r w:rsidRPr="008C53BA">
              <w:rPr>
                <w:rFonts w:eastAsia="Calibri"/>
                <w:sz w:val="18"/>
                <w:szCs w:val="22"/>
              </w:rPr>
              <w:t>-3</w:t>
            </w:r>
          </w:p>
          <w:p w14:paraId="79B08B90" w14:textId="5F9C5083" w:rsidR="005551BF" w:rsidRPr="008C53BA" w:rsidRDefault="005551BF" w:rsidP="008C53BA">
            <w:pPr>
              <w:pStyle w:val="Bezmezer"/>
              <w:keepNext/>
              <w:rPr>
                <w:rFonts w:eastAsia="Calibri"/>
                <w:sz w:val="18"/>
                <w:szCs w:val="22"/>
              </w:rPr>
            </w:pPr>
            <w:r w:rsidRPr="008C53BA">
              <w:rPr>
                <w:rFonts w:eastAsia="Calibri"/>
                <w:sz w:val="18"/>
                <w:szCs w:val="22"/>
              </w:rPr>
              <w:t>-4</w:t>
            </w:r>
          </w:p>
        </w:tc>
        <w:tc>
          <w:tcPr>
            <w:tcW w:w="577" w:type="dxa"/>
            <w:shd w:val="clear" w:color="auto" w:fill="auto"/>
            <w:vAlign w:val="center"/>
          </w:tcPr>
          <w:p w14:paraId="0BF8C580" w14:textId="77777777" w:rsidR="005551BF" w:rsidRPr="008C53BA" w:rsidRDefault="005551BF" w:rsidP="005551BF">
            <w:pPr>
              <w:pStyle w:val="Bezmezer"/>
              <w:rPr>
                <w:rFonts w:eastAsia="Calibri"/>
                <w:sz w:val="18"/>
                <w:szCs w:val="22"/>
              </w:rPr>
            </w:pPr>
            <w:r w:rsidRPr="008C53BA">
              <w:rPr>
                <w:rFonts w:eastAsia="Calibri"/>
                <w:sz w:val="18"/>
                <w:szCs w:val="22"/>
              </w:rPr>
              <w:t>0</w:t>
            </w:r>
          </w:p>
          <w:p w14:paraId="61BD6496" w14:textId="77777777" w:rsidR="005551BF" w:rsidRPr="008C53BA" w:rsidRDefault="005551BF" w:rsidP="005551BF">
            <w:pPr>
              <w:pStyle w:val="Bezmezer"/>
              <w:rPr>
                <w:rFonts w:eastAsia="Calibri"/>
                <w:sz w:val="18"/>
                <w:szCs w:val="22"/>
              </w:rPr>
            </w:pPr>
            <w:r w:rsidRPr="008C53BA">
              <w:rPr>
                <w:rFonts w:eastAsia="Calibri"/>
                <w:sz w:val="18"/>
                <w:szCs w:val="22"/>
              </w:rPr>
              <w:t>-1</w:t>
            </w:r>
          </w:p>
          <w:p w14:paraId="39C8CB53" w14:textId="77777777" w:rsidR="005551BF" w:rsidRPr="008C53BA" w:rsidRDefault="005551BF" w:rsidP="005551BF">
            <w:pPr>
              <w:pStyle w:val="Bezmezer"/>
              <w:rPr>
                <w:rFonts w:eastAsia="Calibri"/>
                <w:sz w:val="18"/>
                <w:szCs w:val="22"/>
              </w:rPr>
            </w:pPr>
            <w:r w:rsidRPr="008C53BA">
              <w:rPr>
                <w:rFonts w:eastAsia="Calibri"/>
                <w:sz w:val="18"/>
                <w:szCs w:val="22"/>
              </w:rPr>
              <w:t>-2</w:t>
            </w:r>
          </w:p>
          <w:p w14:paraId="672CFA27" w14:textId="77777777" w:rsidR="005551BF" w:rsidRPr="008C53BA" w:rsidRDefault="005551BF" w:rsidP="005551BF">
            <w:pPr>
              <w:pStyle w:val="Bezmezer"/>
              <w:rPr>
                <w:rFonts w:eastAsia="Calibri"/>
                <w:sz w:val="18"/>
                <w:szCs w:val="22"/>
              </w:rPr>
            </w:pPr>
            <w:r w:rsidRPr="008C53BA">
              <w:rPr>
                <w:rFonts w:eastAsia="Calibri"/>
                <w:sz w:val="18"/>
                <w:szCs w:val="22"/>
              </w:rPr>
              <w:t>-3</w:t>
            </w:r>
          </w:p>
          <w:p w14:paraId="3C3F0C20" w14:textId="4385A38D" w:rsidR="005551BF" w:rsidRPr="008C53BA" w:rsidRDefault="005551BF" w:rsidP="005551BF">
            <w:pPr>
              <w:pStyle w:val="Bezmezer"/>
              <w:rPr>
                <w:rFonts w:ascii="Calibri" w:eastAsia="Calibri" w:hAnsi="Calibri"/>
                <w:sz w:val="18"/>
                <w:szCs w:val="22"/>
              </w:rPr>
            </w:pPr>
            <w:r w:rsidRPr="008C53BA">
              <w:rPr>
                <w:rFonts w:eastAsia="Calibri"/>
                <w:sz w:val="18"/>
                <w:szCs w:val="22"/>
              </w:rPr>
              <w:t>-4</w:t>
            </w:r>
          </w:p>
        </w:tc>
      </w:tr>
    </w:tbl>
    <w:p w14:paraId="430CC139" w14:textId="7D57F1E8" w:rsidR="0083148D" w:rsidRPr="00C32C7E" w:rsidRDefault="00C32C7E" w:rsidP="00C32C7E">
      <w:pPr>
        <w:pStyle w:val="Titulek"/>
        <w:jc w:val="center"/>
        <w:rPr>
          <w:b w:val="0"/>
        </w:rPr>
      </w:pPr>
      <w:r>
        <w:t xml:space="preserve">Tab. </w:t>
      </w:r>
      <w:r>
        <w:fldChar w:fldCharType="begin"/>
      </w:r>
      <w:r>
        <w:instrText xml:space="preserve"> SEQ Tab. \* ARABIC </w:instrText>
      </w:r>
      <w:r>
        <w:fldChar w:fldCharType="separate"/>
      </w:r>
      <w:r w:rsidR="00AC4F25">
        <w:rPr>
          <w:noProof/>
        </w:rPr>
        <w:t>1</w:t>
      </w:r>
      <w:r>
        <w:fldChar w:fldCharType="end"/>
      </w:r>
      <w:r>
        <w:t xml:space="preserve">: </w:t>
      </w:r>
      <w:r w:rsidRPr="00C32C7E">
        <w:rPr>
          <w:b w:val="0"/>
        </w:rPr>
        <w:t>Quality grades defined by</w:t>
      </w:r>
      <w:r>
        <w:rPr>
          <w:b w:val="0"/>
          <w:noProof/>
          <w:lang w:val="cs-CZ"/>
        </w:rPr>
        <w:t xml:space="preserve"> </w:t>
      </w:r>
      <w:r w:rsidRPr="005551BF">
        <w:rPr>
          <w:b w:val="0"/>
          <w:noProof/>
          <w:lang w:val="cs-CZ"/>
        </w:rPr>
        <w:t>[1]</w:t>
      </w:r>
    </w:p>
    <w:p w14:paraId="254AB1B2" w14:textId="77777777" w:rsidR="00B53484" w:rsidRDefault="00B53484" w:rsidP="000F36BE">
      <w:pPr>
        <w:pStyle w:val="Nadpis2"/>
        <w:tabs>
          <w:tab w:val="left" w:pos="0"/>
        </w:tabs>
      </w:pPr>
      <w:r>
        <w:t>PEAQ</w:t>
      </w:r>
    </w:p>
    <w:p w14:paraId="2445D22C" w14:textId="48100092" w:rsidR="002E0BB3" w:rsidRPr="002E0BB3" w:rsidRDefault="00B27D7C" w:rsidP="000734F7">
      <w:pPr>
        <w:rPr>
          <w:noProof/>
          <w:lang w:val="cs-CZ"/>
        </w:rPr>
      </w:pPr>
      <w:r>
        <w:rPr>
          <w:noProof/>
          <w:lang w:val="cs-CZ"/>
        </w:rPr>
        <w:t xml:space="preserve"> </w:t>
      </w:r>
      <w:r w:rsidRPr="00B27D7C">
        <w:rPr>
          <w:noProof/>
          <w:lang w:val="cs-CZ"/>
        </w:rPr>
        <w:t>Perceptual Evaluation of Audio Quality</w:t>
      </w:r>
      <w:r>
        <w:rPr>
          <w:noProof/>
          <w:lang w:val="cs-CZ"/>
        </w:rPr>
        <w:t xml:space="preserve"> </w:t>
      </w:r>
      <w:r w:rsidR="000734F7">
        <w:rPr>
          <w:noProof/>
          <w:lang w:val="cs-CZ"/>
        </w:rPr>
        <w:t xml:space="preserve">defined by Recommendation </w:t>
      </w:r>
      <w:r w:rsidR="000734F7" w:rsidRPr="000734F7">
        <w:rPr>
          <w:noProof/>
          <w:lang w:val="cs-CZ"/>
        </w:rPr>
        <w:t>ITU-R BS.1387</w:t>
      </w:r>
      <w:r w:rsidR="008D246E">
        <w:rPr>
          <w:noProof/>
          <w:lang w:val="cs-CZ"/>
        </w:rPr>
        <w:t xml:space="preserve">  </w:t>
      </w:r>
      <w:r w:rsidR="008D246E" w:rsidRPr="008D246E">
        <w:rPr>
          <w:noProof/>
          <w:lang w:val="cs-CZ"/>
        </w:rPr>
        <w:t>[</w:t>
      </w:r>
      <w:r w:rsidR="008D246E">
        <w:rPr>
          <w:noProof/>
          <w:lang w:val="cs-CZ"/>
        </w:rPr>
        <w:t>2</w:t>
      </w:r>
      <w:r w:rsidR="008D246E" w:rsidRPr="008D246E">
        <w:rPr>
          <w:noProof/>
          <w:lang w:val="cs-CZ"/>
        </w:rPr>
        <w:t>]</w:t>
      </w:r>
      <w:r w:rsidR="002E0BB3">
        <w:rPr>
          <w:noProof/>
          <w:lang w:val="cs-CZ"/>
        </w:rPr>
        <w:t xml:space="preserve"> </w:t>
      </w:r>
      <w:r w:rsidR="003B4D3A">
        <w:rPr>
          <w:noProof/>
          <w:lang w:val="cs-CZ"/>
        </w:rPr>
        <w:t>exists in</w:t>
      </w:r>
      <w:r w:rsidR="002E0BB3" w:rsidRPr="002E0BB3">
        <w:rPr>
          <w:noProof/>
          <w:lang w:val="cs-CZ"/>
        </w:rPr>
        <w:t xml:space="preserve"> two </w:t>
      </w:r>
      <w:r w:rsidR="003B4D3A">
        <w:rPr>
          <w:noProof/>
          <w:lang w:val="cs-CZ"/>
        </w:rPr>
        <w:t xml:space="preserve">different </w:t>
      </w:r>
      <w:r w:rsidR="002E0BB3" w:rsidRPr="002E0BB3">
        <w:rPr>
          <w:noProof/>
          <w:lang w:val="cs-CZ"/>
        </w:rPr>
        <w:t>versions of the algorithm. Basic and advanced. Th</w:t>
      </w:r>
      <w:r w:rsidR="003B4D3A">
        <w:rPr>
          <w:noProof/>
          <w:lang w:val="cs-CZ"/>
        </w:rPr>
        <w:t>ere are several</w:t>
      </w:r>
      <w:r w:rsidR="002E0BB3" w:rsidRPr="002E0BB3">
        <w:rPr>
          <w:noProof/>
          <w:lang w:val="cs-CZ"/>
        </w:rPr>
        <w:t xml:space="preserve"> difference</w:t>
      </w:r>
      <w:r w:rsidR="003B4D3A">
        <w:rPr>
          <w:noProof/>
          <w:lang w:val="cs-CZ"/>
        </w:rPr>
        <w:t>s</w:t>
      </w:r>
      <w:r w:rsidR="000734F7">
        <w:rPr>
          <w:noProof/>
          <w:lang w:val="cs-CZ"/>
        </w:rPr>
        <w:t xml:space="preserve"> between them</w:t>
      </w:r>
      <w:r w:rsidR="003B4D3A">
        <w:rPr>
          <w:noProof/>
          <w:lang w:val="cs-CZ"/>
        </w:rPr>
        <w:t>. T</w:t>
      </w:r>
      <w:r w:rsidR="002E0BB3" w:rsidRPr="002E0BB3">
        <w:rPr>
          <w:noProof/>
          <w:lang w:val="cs-CZ"/>
        </w:rPr>
        <w:t>he base version does not use a</w:t>
      </w:r>
      <w:r w:rsidR="000734F7">
        <w:rPr>
          <w:noProof/>
          <w:lang w:val="cs-CZ"/>
        </w:rPr>
        <w:t xml:space="preserve"> bank of</w:t>
      </w:r>
      <w:r w:rsidR="002E0BB3" w:rsidRPr="002E0BB3">
        <w:rPr>
          <w:noProof/>
          <w:lang w:val="cs-CZ"/>
        </w:rPr>
        <w:t xml:space="preserve"> filter</w:t>
      </w:r>
      <w:r w:rsidR="000734F7">
        <w:rPr>
          <w:noProof/>
          <w:lang w:val="cs-CZ"/>
        </w:rPr>
        <w:t>s</w:t>
      </w:r>
      <w:r w:rsidR="002E0BB3" w:rsidRPr="002E0BB3">
        <w:rPr>
          <w:noProof/>
          <w:lang w:val="cs-CZ"/>
        </w:rPr>
        <w:t xml:space="preserve"> to model the ear and the size of the neural network matrix</w:t>
      </w:r>
      <w:r w:rsidR="000734F7">
        <w:rPr>
          <w:noProof/>
          <w:lang w:val="cs-CZ"/>
        </w:rPr>
        <w:t xml:space="preserve"> used to calculate ODG</w:t>
      </w:r>
      <w:r w:rsidR="002E0BB3" w:rsidRPr="002E0BB3">
        <w:rPr>
          <w:noProof/>
          <w:lang w:val="cs-CZ"/>
        </w:rPr>
        <w:t>.</w:t>
      </w:r>
    </w:p>
    <w:p w14:paraId="3D8FC052" w14:textId="55EB934F" w:rsidR="000F36BE" w:rsidRDefault="002E0BB3" w:rsidP="002E0BB3">
      <w:pPr>
        <w:rPr>
          <w:noProof/>
          <w:lang w:val="cs-CZ"/>
        </w:rPr>
      </w:pPr>
      <w:r w:rsidRPr="002E0BB3">
        <w:rPr>
          <w:noProof/>
          <w:lang w:val="cs-CZ"/>
        </w:rPr>
        <w:t xml:space="preserve">PEAQ requires a full reference, that is, the original signal (not distorted by compression), which </w:t>
      </w:r>
      <w:r w:rsidR="003B4D3A">
        <w:rPr>
          <w:noProof/>
          <w:lang w:val="cs-CZ"/>
        </w:rPr>
        <w:t xml:space="preserve">is </w:t>
      </w:r>
      <w:r w:rsidRPr="002E0BB3">
        <w:rPr>
          <w:noProof/>
          <w:lang w:val="cs-CZ"/>
        </w:rPr>
        <w:t>compare</w:t>
      </w:r>
      <w:r w:rsidR="003B4D3A">
        <w:rPr>
          <w:noProof/>
          <w:lang w:val="cs-CZ"/>
        </w:rPr>
        <w:t>d</w:t>
      </w:r>
      <w:r w:rsidRPr="002E0BB3">
        <w:rPr>
          <w:noProof/>
          <w:lang w:val="cs-CZ"/>
        </w:rPr>
        <w:t xml:space="preserve"> with the test signal. Both signals pass through the  psychoacoustic model, whose output </w:t>
      </w:r>
      <w:r w:rsidR="003B4D3A">
        <w:rPr>
          <w:noProof/>
          <w:lang w:val="cs-CZ"/>
        </w:rPr>
        <w:t>are</w:t>
      </w:r>
      <w:r w:rsidRPr="002E0BB3">
        <w:rPr>
          <w:noProof/>
          <w:lang w:val="cs-CZ"/>
        </w:rPr>
        <w:t xml:space="preserve"> MOVs (Model Output Variables). These are then used by the artificial neural network to calculate </w:t>
      </w:r>
      <w:r w:rsidR="000734F7">
        <w:rPr>
          <w:noProof/>
          <w:lang w:val="cs-CZ"/>
        </w:rPr>
        <w:t>the results</w:t>
      </w:r>
      <w:r w:rsidR="00B754DD">
        <w:rPr>
          <w:noProof/>
          <w:lang w:val="cs-CZ"/>
        </w:rPr>
        <w:t xml:space="preserve"> as shown on Fig. 1</w:t>
      </w:r>
      <w:r w:rsidRPr="002E0BB3">
        <w:rPr>
          <w:noProof/>
          <w:lang w:val="cs-CZ"/>
        </w:rPr>
        <w:t>.</w:t>
      </w:r>
      <w:r w:rsidR="00B754DD">
        <w:rPr>
          <w:noProof/>
          <w:lang w:val="cs-CZ"/>
        </w:rPr>
        <w:t xml:space="preserve"> Detailed description of the algorithm can be found in  </w:t>
      </w:r>
      <w:r w:rsidR="00B754DD" w:rsidRPr="00B754DD">
        <w:rPr>
          <w:noProof/>
          <w:lang w:val="cs-CZ"/>
        </w:rPr>
        <w:t>[1</w:t>
      </w:r>
      <w:r w:rsidR="00B754DD">
        <w:rPr>
          <w:noProof/>
          <w:lang w:val="cs-CZ"/>
        </w:rPr>
        <w:t>0</w:t>
      </w:r>
      <w:r w:rsidR="00B754DD" w:rsidRPr="00B754DD">
        <w:rPr>
          <w:noProof/>
          <w:lang w:val="cs-CZ"/>
        </w:rPr>
        <w:t>]</w:t>
      </w:r>
      <w:r w:rsidR="00B754DD">
        <w:rPr>
          <w:noProof/>
          <w:lang w:val="cs-CZ"/>
        </w:rPr>
        <w:t>.</w:t>
      </w:r>
    </w:p>
    <w:p w14:paraId="3642759F" w14:textId="56B971A2" w:rsidR="000734F7" w:rsidRDefault="000734F7" w:rsidP="002E0BB3">
      <w:pPr>
        <w:rPr>
          <w:lang w:val="en-GB"/>
        </w:rPr>
      </w:pPr>
      <w:r>
        <w:t>Basic version can be obtained for free</w:t>
      </w:r>
      <w:r w:rsidR="003B4D3A">
        <w:t>,</w:t>
      </w:r>
      <w:r>
        <w:t xml:space="preserve"> implemented in </w:t>
      </w:r>
      <w:proofErr w:type="spellStart"/>
      <w:r>
        <w:t>Matlab</w:t>
      </w:r>
      <w:proofErr w:type="spellEnd"/>
      <w:r>
        <w:t xml:space="preserve"> </w:t>
      </w:r>
      <w:r w:rsidR="003B4D3A">
        <w:t>(</w:t>
      </w:r>
      <w:r>
        <w:t xml:space="preserve">available at </w:t>
      </w:r>
      <w:r w:rsidRPr="000734F7">
        <w:rPr>
          <w:noProof/>
          <w:lang w:val="cs-CZ"/>
        </w:rPr>
        <w:t>[</w:t>
      </w:r>
      <w:r w:rsidR="008D246E">
        <w:rPr>
          <w:noProof/>
          <w:lang w:val="cs-CZ"/>
        </w:rPr>
        <w:t>3</w:t>
      </w:r>
      <w:r w:rsidRPr="000734F7">
        <w:rPr>
          <w:noProof/>
          <w:lang w:val="cs-CZ"/>
        </w:rPr>
        <w:t>]</w:t>
      </w:r>
      <w:r w:rsidR="003B4D3A">
        <w:rPr>
          <w:noProof/>
          <w:lang w:val="cs-CZ"/>
        </w:rPr>
        <w:t>)</w:t>
      </w:r>
      <w:r>
        <w:rPr>
          <w:lang w:val="cs-CZ"/>
        </w:rPr>
        <w:t xml:space="preserve">. </w:t>
      </w:r>
      <w:r w:rsidRPr="000734F7">
        <w:rPr>
          <w:lang w:val="en-GB"/>
        </w:rPr>
        <w:t xml:space="preserve">Advanced version is implemented </w:t>
      </w:r>
      <w:r>
        <w:rPr>
          <w:lang w:val="en-GB"/>
        </w:rPr>
        <w:t>in software called Opera</w:t>
      </w:r>
      <w:r w:rsidR="003B4D3A">
        <w:rPr>
          <w:lang w:val="en-GB"/>
        </w:rPr>
        <w:t xml:space="preserve"> [1</w:t>
      </w:r>
      <w:r w:rsidR="00B754DD">
        <w:rPr>
          <w:lang w:val="en-GB"/>
        </w:rPr>
        <w:t>1</w:t>
      </w:r>
      <w:r w:rsidR="003B4D3A">
        <w:rPr>
          <w:lang w:val="en-GB"/>
        </w:rPr>
        <w:t>]</w:t>
      </w:r>
      <w:r>
        <w:rPr>
          <w:lang w:val="en-GB"/>
        </w:rPr>
        <w:t xml:space="preserve"> </w:t>
      </w:r>
      <w:r w:rsidRPr="000734F7">
        <w:rPr>
          <w:lang w:val="en-GB"/>
        </w:rPr>
        <w:t>by a company Opticom who participated in development of the recommendation.</w:t>
      </w:r>
      <w:r>
        <w:rPr>
          <w:lang w:val="en-GB"/>
        </w:rPr>
        <w:t xml:space="preserve"> Advanced version is being used in this article.</w:t>
      </w:r>
    </w:p>
    <w:p w14:paraId="1EAFAE79" w14:textId="77777777" w:rsidR="000432DD" w:rsidRPr="000432DD" w:rsidRDefault="00B754DD" w:rsidP="000432DD">
      <w:pPr>
        <w:pStyle w:val="Bezmezer"/>
      </w:pPr>
      <w:r w:rsidRPr="000432DD">
        <w:lastRenderedPageBreak/>
        <w:pict w14:anchorId="7ABF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39.25pt;height:3in;visibility:visible;mso-wrap-style:square">
            <v:imagedata r:id="rId10" o:title=""/>
          </v:shape>
        </w:pict>
      </w:r>
    </w:p>
    <w:p w14:paraId="234942AC" w14:textId="1CD27757" w:rsidR="000432DD" w:rsidRPr="000F36BE" w:rsidRDefault="000432DD" w:rsidP="000432DD">
      <w:r w:rsidRPr="0077522A">
        <w:rPr>
          <w:b/>
        </w:rPr>
        <w:t xml:space="preserve">Fig. </w:t>
      </w:r>
      <w:r w:rsidRPr="0077522A">
        <w:rPr>
          <w:b/>
        </w:rPr>
        <w:fldChar w:fldCharType="begin"/>
      </w:r>
      <w:r w:rsidRPr="0077522A">
        <w:rPr>
          <w:b/>
        </w:rPr>
        <w:instrText xml:space="preserve"> SEQ Fig. \* ARABIC </w:instrText>
      </w:r>
      <w:r w:rsidRPr="0077522A">
        <w:rPr>
          <w:b/>
        </w:rPr>
        <w:fldChar w:fldCharType="separate"/>
      </w:r>
      <w:r w:rsidR="00AC4F25">
        <w:rPr>
          <w:b/>
          <w:noProof/>
        </w:rPr>
        <w:t>1</w:t>
      </w:r>
      <w:r w:rsidRPr="0077522A">
        <w:rPr>
          <w:b/>
        </w:rPr>
        <w:fldChar w:fldCharType="end"/>
      </w:r>
      <w:r w:rsidRPr="0077522A">
        <w:rPr>
          <w:b/>
        </w:rPr>
        <w:t>.</w:t>
      </w:r>
      <w:r w:rsidRPr="000432DD">
        <w:t xml:space="preserve"> </w:t>
      </w:r>
      <w:r w:rsidRPr="0077522A">
        <w:t>Data flow in PEAQ Algorithm [10]</w:t>
      </w:r>
    </w:p>
    <w:p w14:paraId="4ED1EEA4" w14:textId="3ADC7377" w:rsidR="00B53484" w:rsidRDefault="00B53484" w:rsidP="00B53484">
      <w:pPr>
        <w:pStyle w:val="Nadpis2"/>
      </w:pPr>
      <w:r>
        <w:t>ViSQOL</w:t>
      </w:r>
    </w:p>
    <w:p w14:paraId="575FC075" w14:textId="358EABD7" w:rsidR="00FA135D" w:rsidRDefault="000019DB" w:rsidP="000019DB">
      <w:r w:rsidRPr="000019DB">
        <w:t>Unlike the previous method, an algorithm called ViSQOL</w:t>
      </w:r>
      <w:r w:rsidR="00946C8D">
        <w:t xml:space="preserve"> (</w:t>
      </w:r>
      <w:r w:rsidR="00946C8D" w:rsidRPr="00946C8D">
        <w:t>Virtual Speech Quality Objective Listener</w:t>
      </w:r>
      <w:r w:rsidR="00946C8D">
        <w:t>)</w:t>
      </w:r>
      <w:r w:rsidRPr="000019DB">
        <w:t xml:space="preserve"> does not try to determine the amount of distortion, noise, etc.</w:t>
      </w:r>
      <w:r w:rsidR="00C67FBB">
        <w:t xml:space="preserve"> Originally the algorithm was used for assessment of speech quality in telecommunications. Later some adjustments were presented in</w:t>
      </w:r>
      <w:r w:rsidR="00C67FBB">
        <w:rPr>
          <w:noProof/>
          <w:lang w:val="cs-CZ"/>
        </w:rPr>
        <w:t xml:space="preserve"> </w:t>
      </w:r>
      <w:r w:rsidR="00C67FBB" w:rsidRPr="00C67FBB">
        <w:rPr>
          <w:noProof/>
          <w:lang w:val="cs-CZ"/>
        </w:rPr>
        <w:t>[1]</w:t>
      </w:r>
      <w:r w:rsidR="00C67FBB">
        <w:rPr>
          <w:noProof/>
          <w:lang w:val="cs-CZ"/>
        </w:rPr>
        <w:t xml:space="preserve"> in order to evaluate quailty of music signals. On</w:t>
      </w:r>
      <w:r w:rsidRPr="000019DB">
        <w:t xml:space="preserve"> </w:t>
      </w:r>
      <w:r w:rsidR="00B10EF3">
        <w:t xml:space="preserve">Figure </w:t>
      </w:r>
      <w:r w:rsidR="00B754DD">
        <w:t>2</w:t>
      </w:r>
      <w:r w:rsidR="00C67FBB">
        <w:t xml:space="preserve"> is </w:t>
      </w:r>
      <w:r w:rsidR="00B10EF3">
        <w:t>show</w:t>
      </w:r>
      <w:r w:rsidR="00C67FBB">
        <w:t>n</w:t>
      </w:r>
      <w:r w:rsidR="00B10EF3">
        <w:t xml:space="preserve"> how the algorithm operates.</w:t>
      </w:r>
    </w:p>
    <w:p w14:paraId="19F7B148" w14:textId="6665F113" w:rsidR="00B10EF3" w:rsidRDefault="0077522A" w:rsidP="0077522A">
      <w:pPr>
        <w:pStyle w:val="Bezmezer"/>
      </w:pPr>
      <w:r w:rsidRPr="0051053B">
        <w:rPr>
          <w:noProof/>
        </w:rPr>
        <w:pict w14:anchorId="6E08B54E">
          <v:shape id="Obrázek 1" o:spid="_x0000_i1035" type="#_x0000_t75" style="width:226.5pt;height:157.5pt;visibility:visible;mso-wrap-style:square">
            <v:imagedata r:id="rId11" o:title=""/>
          </v:shape>
        </w:pict>
      </w:r>
    </w:p>
    <w:p w14:paraId="5C1A0A44" w14:textId="55ADC8FE" w:rsidR="00B10EF3" w:rsidRDefault="00B10EF3" w:rsidP="00B10EF3">
      <w:pPr>
        <w:pStyle w:val="Titulek"/>
        <w:jc w:val="center"/>
      </w:pPr>
      <w:r>
        <w:t xml:space="preserve">Fig. </w:t>
      </w:r>
      <w:r w:rsidR="00B754DD">
        <w:t>2</w:t>
      </w:r>
      <w:r>
        <w:t xml:space="preserve">: </w:t>
      </w:r>
      <w:r w:rsidRPr="00B10EF3">
        <w:rPr>
          <w:b w:val="0"/>
        </w:rPr>
        <w:t xml:space="preserve">Block diagram of ViSQOL </w:t>
      </w:r>
      <w:r w:rsidR="0077522A" w:rsidRPr="00B10EF3">
        <w:rPr>
          <w:b w:val="0"/>
        </w:rPr>
        <w:t>Algorithm</w:t>
      </w:r>
      <w:r w:rsidR="00C67FBB">
        <w:rPr>
          <w:b w:val="0"/>
          <w:noProof/>
          <w:lang w:val="cs-CZ"/>
        </w:rPr>
        <w:t xml:space="preserve"> </w:t>
      </w:r>
      <w:r w:rsidR="00C67FBB" w:rsidRPr="00B754DD">
        <w:rPr>
          <w:b w:val="0"/>
          <w:noProof/>
          <w:lang w:val="cs-CZ"/>
        </w:rPr>
        <w:t>[1]</w:t>
      </w:r>
    </w:p>
    <w:p w14:paraId="4F66D783" w14:textId="601FF535" w:rsidR="00B10EF3" w:rsidRDefault="00FA135D" w:rsidP="000019DB">
      <w:r>
        <w:t>According to</w:t>
      </w:r>
      <w:r>
        <w:rPr>
          <w:noProof/>
          <w:lang w:val="cs-CZ"/>
        </w:rPr>
        <w:t xml:space="preserve"> </w:t>
      </w:r>
      <w:r w:rsidRPr="00FA135D">
        <w:rPr>
          <w:noProof/>
          <w:lang w:val="cs-CZ"/>
        </w:rPr>
        <w:t>[</w:t>
      </w:r>
      <w:r w:rsidR="008D246E">
        <w:rPr>
          <w:noProof/>
          <w:lang w:val="cs-CZ"/>
        </w:rPr>
        <w:t>4</w:t>
      </w:r>
      <w:r w:rsidRPr="00FA135D">
        <w:rPr>
          <w:noProof/>
          <w:lang w:val="cs-CZ"/>
        </w:rPr>
        <w:t>]</w:t>
      </w:r>
      <w:r>
        <w:rPr>
          <w:noProof/>
          <w:lang w:val="cs-CZ"/>
        </w:rPr>
        <w:t xml:space="preserve"> </w:t>
      </w:r>
      <w:r w:rsidR="00B10EF3">
        <w:rPr>
          <w:noProof/>
          <w:lang w:val="cs-CZ"/>
        </w:rPr>
        <w:t>similary to</w:t>
      </w:r>
      <w:r>
        <w:rPr>
          <w:noProof/>
          <w:lang w:val="cs-CZ"/>
        </w:rPr>
        <w:t xml:space="preserve"> </w:t>
      </w:r>
      <w:r w:rsidR="000019DB" w:rsidRPr="000019DB">
        <w:t>PEAQ,</w:t>
      </w:r>
      <w:r>
        <w:t xml:space="preserve"> ViSQOL</w:t>
      </w:r>
      <w:r w:rsidR="000019DB" w:rsidRPr="000019DB">
        <w:t xml:space="preserve"> compares the distorted signal with the original, but it does</w:t>
      </w:r>
      <w:r>
        <w:t xml:space="preserve"> it differently</w:t>
      </w:r>
      <w:r w:rsidR="000019DB" w:rsidRPr="000019DB">
        <w:t>.</w:t>
      </w:r>
      <w:r w:rsidR="00B10EF3">
        <w:t xml:space="preserve"> In</w:t>
      </w:r>
      <w:r w:rsidR="000432DD">
        <w:t xml:space="preserve"> the</w:t>
      </w:r>
      <w:r w:rsidR="00B10EF3">
        <w:t xml:space="preserve"> pre-processing phase</w:t>
      </w:r>
      <w:r w:rsidR="000432DD">
        <w:t xml:space="preserve"> </w:t>
      </w:r>
      <w:r w:rsidR="000432DD" w:rsidRPr="000432DD">
        <w:t>both signals</w:t>
      </w:r>
      <w:r w:rsidR="00B10EF3">
        <w:t xml:space="preserve"> are being scaled to same level.</w:t>
      </w:r>
      <w:r w:rsidR="009C57DA">
        <w:t xml:space="preserve"> Second part of pre-processing is calculation of </w:t>
      </w:r>
      <w:r w:rsidR="00B10EF3">
        <w:t>spectrograms using Short Time Fourier Transform STFT.</w:t>
      </w:r>
      <w:r w:rsidR="009C57DA">
        <w:t xml:space="preserve"> T</w:t>
      </w:r>
      <w:r w:rsidR="00B10EF3">
        <w:t xml:space="preserve">hirty </w:t>
      </w:r>
      <w:r w:rsidR="009C57DA">
        <w:t>logarithmically distributed</w:t>
      </w:r>
      <w:r w:rsidR="00B10EF3">
        <w:t xml:space="preserve"> filters </w:t>
      </w:r>
      <w:r w:rsidR="009C57DA">
        <w:t>from 250 Hz to 8 kHz simulating basilar membrane are used when assessment of speech is chosen. When evaluating musical samples, the whole hearing band is covered.</w:t>
      </w:r>
    </w:p>
    <w:p w14:paraId="73C0017C" w14:textId="35EE8051" w:rsidR="00B10EF3" w:rsidRPr="009C57DA" w:rsidRDefault="009C57DA" w:rsidP="000019DB">
      <w:r>
        <w:t xml:space="preserve">Second part of the algorithm called </w:t>
      </w:r>
      <w:r w:rsidRPr="009C57DA">
        <w:rPr>
          <w:i/>
        </w:rPr>
        <w:t>Feature Selection and Comparison</w:t>
      </w:r>
      <w:r>
        <w:t xml:space="preserve"> takes care of selecting so-called “Patches of Interests”. Patch is a part of spectrogram with </w:t>
      </w:r>
      <w:r w:rsidR="00C67FBB">
        <w:t>length of thirty frames. In speech evaluation three patches</w:t>
      </w:r>
      <w:r w:rsidR="00F04CFD">
        <w:t xml:space="preserve"> in bands </w:t>
      </w:r>
      <w:r w:rsidR="00F04CFD">
        <w:t>250</w:t>
      </w:r>
      <w:r w:rsidR="00F04CFD" w:rsidRPr="00F04CFD">
        <w:t xml:space="preserve"> Hz, 450 Hz a</w:t>
      </w:r>
      <w:r w:rsidR="00F04CFD">
        <w:t>nd</w:t>
      </w:r>
      <w:r w:rsidR="00F04CFD" w:rsidRPr="00F04CFD">
        <w:t xml:space="preserve"> 750 Hz</w:t>
      </w:r>
      <w:r w:rsidR="00F04CFD">
        <w:t xml:space="preserve"> </w:t>
      </w:r>
      <w:r w:rsidR="00C67FBB">
        <w:t>with</w:t>
      </w:r>
      <w:r w:rsidR="00F04CFD">
        <w:t xml:space="preserve"> the</w:t>
      </w:r>
      <w:r w:rsidR="00C67FBB">
        <w:t xml:space="preserve"> highest intensity are being chosen for </w:t>
      </w:r>
      <w:r w:rsidR="00F04CFD">
        <w:t>Mean Opinion Score computation</w:t>
      </w:r>
      <w:r w:rsidR="00C67FBB">
        <w:t>.</w:t>
      </w:r>
      <w:r w:rsidR="00F04CFD">
        <w:t xml:space="preserve"> </w:t>
      </w:r>
      <w:proofErr w:type="spellStart"/>
      <w:r w:rsidR="00F04CFD">
        <w:t>ViSQOLAudio</w:t>
      </w:r>
      <w:proofErr w:type="spellEnd"/>
      <w:r w:rsidR="00F04CFD">
        <w:t xml:space="preserve"> overcomes this selection and uses all the patches.</w:t>
      </w:r>
    </w:p>
    <w:p w14:paraId="66BCF626" w14:textId="4254B91D" w:rsidR="000019DB" w:rsidRDefault="00F04CFD" w:rsidP="00ED2A50">
      <w:r>
        <w:t xml:space="preserve">Lastly spectrograms are converted to neurograms (time-neural firing activity dependencies). They </w:t>
      </w:r>
      <w:r w:rsidR="000019DB" w:rsidRPr="000019DB">
        <w:t>are stored in form of images and then compared</w:t>
      </w:r>
      <w:r w:rsidR="00ED2A50">
        <w:t xml:space="preserve"> using</w:t>
      </w:r>
      <w:r>
        <w:t xml:space="preserve"> NSIM</w:t>
      </w:r>
      <w:r w:rsidR="000019DB" w:rsidRPr="000019DB">
        <w:t xml:space="preserve"> </w:t>
      </w:r>
      <w:r w:rsidR="00ED2A50">
        <w:t>(</w:t>
      </w:r>
      <w:r w:rsidR="00ED2A50">
        <w:t>Neurogram Similarity</w:t>
      </w:r>
      <w:r w:rsidR="00ED2A50">
        <w:t xml:space="preserve"> </w:t>
      </w:r>
      <w:r w:rsidR="00ED2A50">
        <w:t>I</w:t>
      </w:r>
      <w:r w:rsidR="00ED2A50">
        <w:t>n</w:t>
      </w:r>
      <w:r w:rsidR="00ED2A50">
        <w:t>dex Measure</w:t>
      </w:r>
      <w:r w:rsidR="00ED2A50">
        <w:t>).</w:t>
      </w:r>
    </w:p>
    <w:p w14:paraId="00A17CF2" w14:textId="685EC1E4" w:rsidR="00B10EF3" w:rsidRPr="000019DB" w:rsidRDefault="00B10EF3" w:rsidP="00B10EF3">
      <w:pPr>
        <w:pStyle w:val="Bezmezer"/>
      </w:pPr>
    </w:p>
    <w:p w14:paraId="7A3BF135" w14:textId="038F65EB" w:rsidR="00B53484" w:rsidRDefault="000F36BE" w:rsidP="00EE354D">
      <w:pPr>
        <w:pStyle w:val="Nadpis2"/>
      </w:pPr>
      <w:r w:rsidRPr="000F36BE">
        <w:t>Reference files</w:t>
      </w:r>
    </w:p>
    <w:p w14:paraId="29B7AF5F" w14:textId="129DA66F" w:rsidR="00EE354D" w:rsidRDefault="008A070D" w:rsidP="008A070D">
      <w:r w:rsidRPr="008A070D">
        <w:t xml:space="preserve">Because testing should </w:t>
      </w:r>
      <w:r w:rsidR="00ED2A50">
        <w:t>reflect</w:t>
      </w:r>
      <w:r w:rsidRPr="008A070D">
        <w:t xml:space="preserve"> the actual radio broadcast, samples representing different musical genres and spoken words were selected.</w:t>
      </w:r>
    </w:p>
    <w:p w14:paraId="230C15B8" w14:textId="46F2F7C0" w:rsidR="0055536E" w:rsidRDefault="008A070D" w:rsidP="008A070D">
      <w:r w:rsidRPr="008A070D">
        <w:t>At the same time, these samples were adapted for subjective testing, i</w:t>
      </w:r>
      <w:r>
        <w:t>.</w:t>
      </w:r>
      <w:r w:rsidRPr="008A070D">
        <w:t>e</w:t>
      </w:r>
      <w:r>
        <w:t>.</w:t>
      </w:r>
      <w:r w:rsidRPr="008A070D">
        <w:t xml:space="preserve"> </w:t>
      </w:r>
      <w:r w:rsidR="006A433F">
        <w:t>they were</w:t>
      </w:r>
      <w:r w:rsidRPr="008A070D">
        <w:t xml:space="preserve"> rimmed</w:t>
      </w:r>
      <w:r w:rsidR="006A433F">
        <w:t xml:space="preserve"> to ten seconds in duration</w:t>
      </w:r>
      <w:r w:rsidRPr="008A070D">
        <w:t xml:space="preserve"> and provided with </w:t>
      </w:r>
      <w:r w:rsidR="006A433F">
        <w:t>one</w:t>
      </w:r>
      <w:r w:rsidRPr="008A070D">
        <w:t xml:space="preserve"> second fade</w:t>
      </w:r>
      <w:r w:rsidR="006A433F">
        <w:t xml:space="preserve"> in and fade out</w:t>
      </w:r>
      <w:r w:rsidRPr="008A070D">
        <w:t>.</w:t>
      </w:r>
      <w:r w:rsidR="0083148D">
        <w:t xml:space="preserve"> </w:t>
      </w:r>
      <w:r w:rsidR="0055536E">
        <w:t xml:space="preserve">List of </w:t>
      </w:r>
      <w:r w:rsidR="0083148D">
        <w:t xml:space="preserve">audio samples is shown in Tab. </w:t>
      </w:r>
      <w:r w:rsidR="00C32C7E">
        <w:t>2</w:t>
      </w:r>
      <w:r w:rsidR="0083148D">
        <w:t>.</w:t>
      </w:r>
    </w:p>
    <w:p w14:paraId="35BB4BAB" w14:textId="77777777" w:rsidR="006A433F" w:rsidRDefault="006A433F" w:rsidP="008A070D"/>
    <w:tbl>
      <w:tblPr>
        <w:tblW w:w="4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181"/>
        <w:gridCol w:w="2835"/>
        <w:gridCol w:w="680"/>
      </w:tblGrid>
      <w:tr w:rsidR="008C53BA" w:rsidRPr="008C53BA" w14:paraId="3310CE66" w14:textId="77777777" w:rsidTr="008C53BA">
        <w:trPr>
          <w:cantSplit/>
          <w:trHeight w:val="170"/>
          <w:jc w:val="center"/>
        </w:trPr>
        <w:tc>
          <w:tcPr>
            <w:tcW w:w="236" w:type="dxa"/>
            <w:shd w:val="clear" w:color="auto" w:fill="auto"/>
            <w:vAlign w:val="center"/>
          </w:tcPr>
          <w:p w14:paraId="0940482C" w14:textId="77777777" w:rsidR="00EE354D" w:rsidRPr="008C53BA" w:rsidRDefault="00EE354D" w:rsidP="008C53BA">
            <w:pPr>
              <w:pStyle w:val="Bezmezer"/>
              <w:rPr>
                <w:rFonts w:eastAsia="Calibri"/>
                <w:b/>
                <w:sz w:val="16"/>
                <w:szCs w:val="22"/>
              </w:rPr>
            </w:pPr>
            <w:bookmarkStart w:id="1" w:name="_Hlk4579199"/>
            <w:r w:rsidRPr="008C53BA">
              <w:rPr>
                <w:rFonts w:eastAsia="Calibri"/>
                <w:b/>
                <w:sz w:val="16"/>
                <w:szCs w:val="22"/>
              </w:rPr>
              <w:t>#</w:t>
            </w:r>
          </w:p>
        </w:tc>
        <w:tc>
          <w:tcPr>
            <w:tcW w:w="1181" w:type="dxa"/>
            <w:shd w:val="clear" w:color="auto" w:fill="auto"/>
            <w:vAlign w:val="center"/>
          </w:tcPr>
          <w:p w14:paraId="021D659A" w14:textId="77777777" w:rsidR="00EE354D" w:rsidRPr="008C53BA" w:rsidRDefault="00EE354D" w:rsidP="008C53BA">
            <w:pPr>
              <w:pStyle w:val="Bezmezer"/>
              <w:rPr>
                <w:rFonts w:eastAsia="Calibri"/>
                <w:b/>
                <w:sz w:val="16"/>
                <w:szCs w:val="22"/>
              </w:rPr>
            </w:pPr>
            <w:r w:rsidRPr="008C53BA">
              <w:rPr>
                <w:rFonts w:eastAsia="Calibri"/>
                <w:b/>
                <w:sz w:val="16"/>
                <w:szCs w:val="22"/>
              </w:rPr>
              <w:t>Filename</w:t>
            </w:r>
          </w:p>
        </w:tc>
        <w:tc>
          <w:tcPr>
            <w:tcW w:w="2835" w:type="dxa"/>
            <w:shd w:val="clear" w:color="auto" w:fill="auto"/>
            <w:vAlign w:val="center"/>
          </w:tcPr>
          <w:p w14:paraId="3CCF7F77" w14:textId="77777777" w:rsidR="00EE354D" w:rsidRPr="008C53BA" w:rsidRDefault="00EE354D" w:rsidP="008C53BA">
            <w:pPr>
              <w:pStyle w:val="Bezmezer"/>
              <w:rPr>
                <w:rFonts w:eastAsia="Calibri"/>
                <w:b/>
                <w:sz w:val="16"/>
                <w:szCs w:val="22"/>
              </w:rPr>
            </w:pPr>
            <w:r w:rsidRPr="008C53BA">
              <w:rPr>
                <w:rStyle w:val="Zdraznnjemn"/>
                <w:rFonts w:eastAsia="Calibri"/>
                <w:b/>
                <w:i w:val="0"/>
                <w:iCs w:val="0"/>
                <w:color w:val="000000"/>
                <w:sz w:val="16"/>
                <w:szCs w:val="22"/>
              </w:rPr>
              <w:t>Description</w:t>
            </w:r>
          </w:p>
        </w:tc>
        <w:tc>
          <w:tcPr>
            <w:tcW w:w="680" w:type="dxa"/>
            <w:shd w:val="clear" w:color="auto" w:fill="auto"/>
            <w:vAlign w:val="center"/>
          </w:tcPr>
          <w:p w14:paraId="7F59CCC0" w14:textId="7DF0676B" w:rsidR="00EE354D" w:rsidRPr="008C53BA" w:rsidRDefault="00EE354D" w:rsidP="008C53BA">
            <w:pPr>
              <w:pStyle w:val="Bezmezer"/>
              <w:rPr>
                <w:rFonts w:eastAsia="Calibri"/>
                <w:b/>
                <w:sz w:val="16"/>
                <w:szCs w:val="22"/>
              </w:rPr>
            </w:pPr>
            <w:r w:rsidRPr="008C53BA">
              <w:rPr>
                <w:rFonts w:eastAsia="Calibri"/>
                <w:b/>
                <w:sz w:val="16"/>
                <w:szCs w:val="22"/>
              </w:rPr>
              <w:t>Type</w:t>
            </w:r>
          </w:p>
        </w:tc>
      </w:tr>
      <w:tr w:rsidR="008C53BA" w:rsidRPr="008C53BA" w14:paraId="4EC3CC0D" w14:textId="77777777" w:rsidTr="008C53BA">
        <w:trPr>
          <w:cantSplit/>
          <w:trHeight w:val="170"/>
          <w:jc w:val="center"/>
        </w:trPr>
        <w:tc>
          <w:tcPr>
            <w:tcW w:w="236" w:type="dxa"/>
            <w:shd w:val="clear" w:color="auto" w:fill="auto"/>
            <w:vAlign w:val="center"/>
          </w:tcPr>
          <w:p w14:paraId="26CAE138" w14:textId="77777777" w:rsidR="00EE354D" w:rsidRPr="008C53BA" w:rsidRDefault="00EE354D" w:rsidP="008C53BA">
            <w:pPr>
              <w:pStyle w:val="Bezmezer"/>
              <w:rPr>
                <w:rFonts w:eastAsia="Calibri"/>
                <w:sz w:val="16"/>
                <w:szCs w:val="22"/>
              </w:rPr>
            </w:pPr>
            <w:r w:rsidRPr="008C53BA">
              <w:rPr>
                <w:rFonts w:eastAsia="Calibri"/>
                <w:sz w:val="16"/>
                <w:szCs w:val="22"/>
              </w:rPr>
              <w:t>1</w:t>
            </w:r>
          </w:p>
        </w:tc>
        <w:tc>
          <w:tcPr>
            <w:tcW w:w="1181" w:type="dxa"/>
            <w:shd w:val="clear" w:color="auto" w:fill="auto"/>
            <w:vAlign w:val="center"/>
          </w:tcPr>
          <w:p w14:paraId="502EE3BB" w14:textId="17E6C396" w:rsidR="00EE354D" w:rsidRPr="008C53BA" w:rsidRDefault="00EE354D" w:rsidP="008C53BA">
            <w:pPr>
              <w:pStyle w:val="Bezmezer"/>
              <w:rPr>
                <w:rFonts w:eastAsia="Calibri"/>
                <w:sz w:val="16"/>
                <w:szCs w:val="22"/>
              </w:rPr>
            </w:pPr>
            <w:r w:rsidRPr="008C53BA">
              <w:rPr>
                <w:rFonts w:eastAsia="Calibri"/>
                <w:sz w:val="16"/>
                <w:szCs w:val="22"/>
              </w:rPr>
              <w:t>capriccio.wav</w:t>
            </w:r>
          </w:p>
        </w:tc>
        <w:tc>
          <w:tcPr>
            <w:tcW w:w="2835" w:type="dxa"/>
            <w:shd w:val="clear" w:color="auto" w:fill="auto"/>
            <w:vAlign w:val="center"/>
          </w:tcPr>
          <w:p w14:paraId="31E3543A" w14:textId="77777777" w:rsidR="00EE354D" w:rsidRPr="008C53BA" w:rsidRDefault="00EE354D" w:rsidP="008C53BA">
            <w:pPr>
              <w:pStyle w:val="Bezmezer"/>
              <w:rPr>
                <w:rFonts w:eastAsia="Calibri"/>
                <w:sz w:val="16"/>
                <w:szCs w:val="22"/>
              </w:rPr>
            </w:pPr>
            <w:r w:rsidRPr="008C53BA">
              <w:rPr>
                <w:rFonts w:eastAsia="Calibri"/>
                <w:sz w:val="16"/>
                <w:szCs w:val="22"/>
              </w:rPr>
              <w:t xml:space="preserve">Capriccio </w:t>
            </w:r>
            <w:proofErr w:type="spellStart"/>
            <w:r w:rsidRPr="008C53BA">
              <w:rPr>
                <w:rFonts w:eastAsia="Calibri"/>
                <w:sz w:val="16"/>
                <w:szCs w:val="22"/>
              </w:rPr>
              <w:t>Italien</w:t>
            </w:r>
            <w:proofErr w:type="spellEnd"/>
            <w:r w:rsidRPr="008C53BA">
              <w:rPr>
                <w:rFonts w:eastAsia="Calibri"/>
                <w:sz w:val="16"/>
                <w:szCs w:val="22"/>
              </w:rPr>
              <w:t xml:space="preserve"> Op. 45</w:t>
            </w:r>
          </w:p>
        </w:tc>
        <w:tc>
          <w:tcPr>
            <w:tcW w:w="680" w:type="dxa"/>
            <w:shd w:val="clear" w:color="auto" w:fill="auto"/>
            <w:vAlign w:val="center"/>
          </w:tcPr>
          <w:p w14:paraId="7922FFFF" w14:textId="77777777" w:rsidR="00EE354D" w:rsidRPr="008C53BA" w:rsidRDefault="00EE354D" w:rsidP="008C53BA">
            <w:pPr>
              <w:pStyle w:val="Bezmezer"/>
              <w:rPr>
                <w:rFonts w:eastAsia="Calibri"/>
                <w:sz w:val="16"/>
                <w:szCs w:val="22"/>
              </w:rPr>
            </w:pPr>
            <w:r w:rsidRPr="008C53BA">
              <w:rPr>
                <w:rFonts w:eastAsia="Calibri"/>
                <w:sz w:val="16"/>
                <w:szCs w:val="22"/>
              </w:rPr>
              <w:t>music</w:t>
            </w:r>
          </w:p>
        </w:tc>
      </w:tr>
      <w:tr w:rsidR="008C53BA" w:rsidRPr="008C53BA" w14:paraId="40E945A2" w14:textId="77777777" w:rsidTr="008C53BA">
        <w:trPr>
          <w:cantSplit/>
          <w:trHeight w:val="170"/>
          <w:jc w:val="center"/>
        </w:trPr>
        <w:tc>
          <w:tcPr>
            <w:tcW w:w="236" w:type="dxa"/>
            <w:shd w:val="clear" w:color="auto" w:fill="auto"/>
            <w:vAlign w:val="center"/>
          </w:tcPr>
          <w:p w14:paraId="4877F6A6" w14:textId="77777777" w:rsidR="00EE354D" w:rsidRPr="008C53BA" w:rsidRDefault="00EE354D" w:rsidP="008C53BA">
            <w:pPr>
              <w:pStyle w:val="Bezmezer"/>
              <w:rPr>
                <w:rFonts w:eastAsia="Calibri"/>
                <w:sz w:val="16"/>
                <w:szCs w:val="22"/>
              </w:rPr>
            </w:pPr>
            <w:r w:rsidRPr="008C53BA">
              <w:rPr>
                <w:rFonts w:eastAsia="Calibri"/>
                <w:sz w:val="16"/>
                <w:szCs w:val="22"/>
              </w:rPr>
              <w:t>2</w:t>
            </w:r>
          </w:p>
        </w:tc>
        <w:tc>
          <w:tcPr>
            <w:tcW w:w="1181" w:type="dxa"/>
            <w:shd w:val="clear" w:color="auto" w:fill="auto"/>
            <w:vAlign w:val="center"/>
          </w:tcPr>
          <w:p w14:paraId="3D3E15AC" w14:textId="77777777" w:rsidR="00EE354D" w:rsidRPr="008C53BA" w:rsidRDefault="00EE354D" w:rsidP="008C53BA">
            <w:pPr>
              <w:pStyle w:val="Bezmezer"/>
              <w:rPr>
                <w:rFonts w:eastAsia="Calibri"/>
                <w:sz w:val="16"/>
                <w:szCs w:val="22"/>
              </w:rPr>
            </w:pPr>
            <w:r w:rsidRPr="008C53BA">
              <w:rPr>
                <w:rFonts w:eastAsia="Calibri"/>
                <w:sz w:val="16"/>
                <w:szCs w:val="22"/>
              </w:rPr>
              <w:t>cimrman.wav</w:t>
            </w:r>
          </w:p>
        </w:tc>
        <w:tc>
          <w:tcPr>
            <w:tcW w:w="2835" w:type="dxa"/>
            <w:shd w:val="clear" w:color="auto" w:fill="auto"/>
            <w:vAlign w:val="center"/>
          </w:tcPr>
          <w:p w14:paraId="11D23962" w14:textId="77777777" w:rsidR="00EE354D" w:rsidRPr="008C53BA" w:rsidRDefault="00EE354D" w:rsidP="008C53BA">
            <w:pPr>
              <w:pStyle w:val="Bezmezer"/>
              <w:rPr>
                <w:rFonts w:eastAsia="Calibri"/>
                <w:sz w:val="16"/>
                <w:szCs w:val="22"/>
              </w:rPr>
            </w:pPr>
            <w:r w:rsidRPr="008C53BA">
              <w:rPr>
                <w:rFonts w:eastAsia="Calibri"/>
                <w:sz w:val="16"/>
                <w:szCs w:val="22"/>
              </w:rPr>
              <w:t xml:space="preserve">Part of </w:t>
            </w:r>
            <w:r w:rsidRPr="008C53BA">
              <w:rPr>
                <w:rStyle w:val="Zdraznnjemn"/>
                <w:rFonts w:eastAsia="Calibri"/>
                <w:i w:val="0"/>
                <w:iCs w:val="0"/>
                <w:color w:val="000000"/>
                <w:sz w:val="16"/>
                <w:szCs w:val="22"/>
              </w:rPr>
              <w:t>Czech play “</w:t>
            </w:r>
            <w:proofErr w:type="spellStart"/>
            <w:r w:rsidRPr="008C53BA">
              <w:rPr>
                <w:rFonts w:eastAsia="Calibri"/>
                <w:sz w:val="16"/>
                <w:szCs w:val="22"/>
              </w:rPr>
              <w:t>Opeřený</w:t>
            </w:r>
            <w:proofErr w:type="spellEnd"/>
            <w:r w:rsidRPr="008C53BA">
              <w:rPr>
                <w:rFonts w:eastAsia="Calibri"/>
                <w:sz w:val="16"/>
                <w:szCs w:val="22"/>
              </w:rPr>
              <w:t xml:space="preserve"> Had</w:t>
            </w:r>
            <w:r w:rsidRPr="008C53BA">
              <w:rPr>
                <w:rStyle w:val="Zdraznnjemn"/>
                <w:rFonts w:eastAsia="Calibri"/>
                <w:i w:val="0"/>
                <w:iCs w:val="0"/>
                <w:color w:val="000000"/>
                <w:sz w:val="16"/>
                <w:szCs w:val="22"/>
              </w:rPr>
              <w:t>”</w:t>
            </w:r>
          </w:p>
        </w:tc>
        <w:tc>
          <w:tcPr>
            <w:tcW w:w="680" w:type="dxa"/>
            <w:shd w:val="clear" w:color="auto" w:fill="auto"/>
            <w:vAlign w:val="center"/>
          </w:tcPr>
          <w:p w14:paraId="48F02C88" w14:textId="77777777" w:rsidR="00EE354D" w:rsidRPr="008C53BA" w:rsidRDefault="00EE354D" w:rsidP="008C53BA">
            <w:pPr>
              <w:pStyle w:val="Bezmezer"/>
              <w:rPr>
                <w:rFonts w:eastAsia="Calibri"/>
                <w:sz w:val="16"/>
                <w:szCs w:val="22"/>
              </w:rPr>
            </w:pPr>
            <w:r w:rsidRPr="008C53BA">
              <w:rPr>
                <w:rFonts w:eastAsia="Calibri"/>
                <w:sz w:val="16"/>
                <w:szCs w:val="22"/>
              </w:rPr>
              <w:t>speech</w:t>
            </w:r>
          </w:p>
        </w:tc>
      </w:tr>
      <w:tr w:rsidR="008C53BA" w:rsidRPr="008C53BA" w14:paraId="125A8C5E" w14:textId="77777777" w:rsidTr="008C53BA">
        <w:trPr>
          <w:cantSplit/>
          <w:trHeight w:val="170"/>
          <w:jc w:val="center"/>
        </w:trPr>
        <w:tc>
          <w:tcPr>
            <w:tcW w:w="236" w:type="dxa"/>
            <w:shd w:val="clear" w:color="auto" w:fill="auto"/>
            <w:vAlign w:val="center"/>
          </w:tcPr>
          <w:p w14:paraId="502124BA" w14:textId="77777777" w:rsidR="00EE354D" w:rsidRPr="008C53BA" w:rsidRDefault="00EE354D" w:rsidP="008C53BA">
            <w:pPr>
              <w:pStyle w:val="Bezmezer"/>
              <w:rPr>
                <w:rFonts w:eastAsia="Calibri"/>
                <w:sz w:val="16"/>
                <w:szCs w:val="22"/>
              </w:rPr>
            </w:pPr>
            <w:r w:rsidRPr="008C53BA">
              <w:rPr>
                <w:rFonts w:eastAsia="Calibri"/>
                <w:sz w:val="16"/>
                <w:szCs w:val="22"/>
              </w:rPr>
              <w:t>3</w:t>
            </w:r>
          </w:p>
        </w:tc>
        <w:tc>
          <w:tcPr>
            <w:tcW w:w="1181" w:type="dxa"/>
            <w:shd w:val="clear" w:color="auto" w:fill="auto"/>
            <w:vAlign w:val="center"/>
          </w:tcPr>
          <w:p w14:paraId="228ADB59" w14:textId="77777777" w:rsidR="00EE354D" w:rsidRPr="008C53BA" w:rsidRDefault="00EE354D" w:rsidP="008C53BA">
            <w:pPr>
              <w:pStyle w:val="Bezmezer"/>
              <w:rPr>
                <w:rFonts w:eastAsia="Calibri"/>
                <w:sz w:val="16"/>
                <w:szCs w:val="22"/>
              </w:rPr>
            </w:pPr>
            <w:r w:rsidRPr="008C53BA">
              <w:rPr>
                <w:rFonts w:eastAsia="Calibri"/>
                <w:sz w:val="16"/>
                <w:szCs w:val="22"/>
              </w:rPr>
              <w:t>dubstep.wav</w:t>
            </w:r>
          </w:p>
        </w:tc>
        <w:tc>
          <w:tcPr>
            <w:tcW w:w="2835" w:type="dxa"/>
            <w:shd w:val="clear" w:color="auto" w:fill="auto"/>
            <w:vAlign w:val="center"/>
          </w:tcPr>
          <w:p w14:paraId="440DAEC3" w14:textId="77777777" w:rsidR="00EE354D" w:rsidRPr="008C53BA" w:rsidRDefault="00EE354D" w:rsidP="008C53BA">
            <w:pPr>
              <w:pStyle w:val="Bezmezer"/>
              <w:rPr>
                <w:rFonts w:eastAsia="Calibri"/>
                <w:sz w:val="16"/>
                <w:szCs w:val="22"/>
              </w:rPr>
            </w:pPr>
            <w:r w:rsidRPr="008C53BA">
              <w:rPr>
                <w:rFonts w:eastAsia="Calibri"/>
                <w:sz w:val="16"/>
                <w:szCs w:val="22"/>
              </w:rPr>
              <w:t>Electronic music</w:t>
            </w:r>
          </w:p>
        </w:tc>
        <w:tc>
          <w:tcPr>
            <w:tcW w:w="680" w:type="dxa"/>
            <w:shd w:val="clear" w:color="auto" w:fill="auto"/>
            <w:vAlign w:val="center"/>
          </w:tcPr>
          <w:p w14:paraId="5BF648FA" w14:textId="77777777" w:rsidR="00EE354D" w:rsidRPr="008C53BA" w:rsidRDefault="00EE354D" w:rsidP="008C53BA">
            <w:pPr>
              <w:pStyle w:val="Bezmezer"/>
              <w:rPr>
                <w:rFonts w:eastAsia="Calibri"/>
                <w:sz w:val="16"/>
                <w:szCs w:val="22"/>
              </w:rPr>
            </w:pPr>
            <w:r w:rsidRPr="008C53BA">
              <w:rPr>
                <w:rFonts w:eastAsia="Calibri"/>
                <w:sz w:val="16"/>
                <w:szCs w:val="22"/>
              </w:rPr>
              <w:t>music</w:t>
            </w:r>
          </w:p>
        </w:tc>
      </w:tr>
      <w:tr w:rsidR="008C53BA" w:rsidRPr="008C53BA" w14:paraId="18A681DC" w14:textId="77777777" w:rsidTr="008C53BA">
        <w:trPr>
          <w:cantSplit/>
          <w:trHeight w:val="170"/>
          <w:jc w:val="center"/>
        </w:trPr>
        <w:tc>
          <w:tcPr>
            <w:tcW w:w="236" w:type="dxa"/>
            <w:shd w:val="clear" w:color="auto" w:fill="auto"/>
            <w:vAlign w:val="center"/>
          </w:tcPr>
          <w:p w14:paraId="36C7BB0E" w14:textId="77777777" w:rsidR="00EE354D" w:rsidRPr="008C53BA" w:rsidRDefault="00EE354D" w:rsidP="008C53BA">
            <w:pPr>
              <w:pStyle w:val="Bezmezer"/>
              <w:rPr>
                <w:rFonts w:eastAsia="Calibri"/>
                <w:sz w:val="16"/>
                <w:szCs w:val="22"/>
              </w:rPr>
            </w:pPr>
            <w:r w:rsidRPr="008C53BA">
              <w:rPr>
                <w:rFonts w:eastAsia="Calibri"/>
                <w:sz w:val="16"/>
                <w:szCs w:val="22"/>
              </w:rPr>
              <w:t>4</w:t>
            </w:r>
          </w:p>
        </w:tc>
        <w:tc>
          <w:tcPr>
            <w:tcW w:w="1181" w:type="dxa"/>
            <w:shd w:val="clear" w:color="auto" w:fill="auto"/>
            <w:vAlign w:val="center"/>
          </w:tcPr>
          <w:p w14:paraId="275FD7D0" w14:textId="77777777" w:rsidR="00EE354D" w:rsidRPr="008C53BA" w:rsidRDefault="00EE354D" w:rsidP="008C53BA">
            <w:pPr>
              <w:pStyle w:val="Bezmezer"/>
              <w:rPr>
                <w:rFonts w:eastAsia="Calibri"/>
                <w:sz w:val="16"/>
                <w:szCs w:val="22"/>
              </w:rPr>
            </w:pPr>
            <w:r w:rsidRPr="008C53BA">
              <w:rPr>
                <w:rFonts w:eastAsia="Calibri"/>
                <w:sz w:val="16"/>
                <w:szCs w:val="22"/>
              </w:rPr>
              <w:t>holmes.wav</w:t>
            </w:r>
          </w:p>
        </w:tc>
        <w:tc>
          <w:tcPr>
            <w:tcW w:w="2835" w:type="dxa"/>
            <w:shd w:val="clear" w:color="auto" w:fill="auto"/>
            <w:vAlign w:val="center"/>
          </w:tcPr>
          <w:p w14:paraId="22E7043B" w14:textId="0071B1B3" w:rsidR="00EE354D" w:rsidRPr="008C53BA" w:rsidRDefault="00EE354D" w:rsidP="008C53BA">
            <w:pPr>
              <w:pStyle w:val="Bezmezer"/>
              <w:rPr>
                <w:rFonts w:eastAsia="Calibri"/>
                <w:sz w:val="16"/>
                <w:szCs w:val="22"/>
              </w:rPr>
            </w:pPr>
            <w:r w:rsidRPr="008C53BA">
              <w:rPr>
                <w:rFonts w:eastAsia="Calibri"/>
                <w:sz w:val="16"/>
                <w:szCs w:val="22"/>
              </w:rPr>
              <w:t>Reading from</w:t>
            </w:r>
            <w:r w:rsidRPr="008C53BA">
              <w:rPr>
                <w:rStyle w:val="Zdraznnjemn"/>
                <w:rFonts w:eastAsia="Calibri"/>
                <w:i w:val="0"/>
                <w:iCs w:val="0"/>
                <w:color w:val="000000"/>
                <w:sz w:val="16"/>
                <w:szCs w:val="22"/>
              </w:rPr>
              <w:t xml:space="preserve"> a</w:t>
            </w:r>
            <w:r w:rsidRPr="008C53BA">
              <w:rPr>
                <w:rFonts w:eastAsia="Calibri"/>
                <w:sz w:val="16"/>
                <w:szCs w:val="22"/>
              </w:rPr>
              <w:t xml:space="preserve"> book: Sherlock Holm</w:t>
            </w:r>
            <w:r w:rsidR="00F36E41">
              <w:rPr>
                <w:rFonts w:eastAsia="Calibri"/>
                <w:sz w:val="16"/>
                <w:szCs w:val="22"/>
              </w:rPr>
              <w:t>e</w:t>
            </w:r>
            <w:r w:rsidRPr="008C53BA">
              <w:rPr>
                <w:rFonts w:eastAsia="Calibri"/>
                <w:sz w:val="16"/>
                <w:szCs w:val="22"/>
              </w:rPr>
              <w:t>s</w:t>
            </w:r>
          </w:p>
        </w:tc>
        <w:tc>
          <w:tcPr>
            <w:tcW w:w="680" w:type="dxa"/>
            <w:shd w:val="clear" w:color="auto" w:fill="auto"/>
            <w:vAlign w:val="center"/>
          </w:tcPr>
          <w:p w14:paraId="139A11B8" w14:textId="77777777" w:rsidR="00EE354D" w:rsidRPr="008C53BA" w:rsidRDefault="00EE354D" w:rsidP="008C53BA">
            <w:pPr>
              <w:pStyle w:val="Bezmezer"/>
              <w:rPr>
                <w:rFonts w:eastAsia="Calibri"/>
                <w:sz w:val="16"/>
                <w:szCs w:val="22"/>
              </w:rPr>
            </w:pPr>
            <w:r w:rsidRPr="008C53BA">
              <w:rPr>
                <w:rFonts w:eastAsia="Calibri"/>
                <w:sz w:val="16"/>
                <w:szCs w:val="22"/>
              </w:rPr>
              <w:t>speech</w:t>
            </w:r>
          </w:p>
        </w:tc>
      </w:tr>
      <w:tr w:rsidR="008C53BA" w:rsidRPr="008C53BA" w14:paraId="7D5FA3C4" w14:textId="77777777" w:rsidTr="008C53BA">
        <w:trPr>
          <w:cantSplit/>
          <w:trHeight w:val="170"/>
          <w:jc w:val="center"/>
        </w:trPr>
        <w:tc>
          <w:tcPr>
            <w:tcW w:w="236" w:type="dxa"/>
            <w:shd w:val="clear" w:color="auto" w:fill="auto"/>
            <w:vAlign w:val="center"/>
          </w:tcPr>
          <w:p w14:paraId="46D0895F" w14:textId="77777777" w:rsidR="00EE354D" w:rsidRPr="008C53BA" w:rsidRDefault="00EE354D" w:rsidP="008C53BA">
            <w:pPr>
              <w:pStyle w:val="Bezmezer"/>
              <w:rPr>
                <w:rFonts w:eastAsia="Calibri"/>
                <w:sz w:val="16"/>
                <w:szCs w:val="22"/>
              </w:rPr>
            </w:pPr>
            <w:r w:rsidRPr="008C53BA">
              <w:rPr>
                <w:rFonts w:eastAsia="Calibri"/>
                <w:sz w:val="16"/>
                <w:szCs w:val="22"/>
              </w:rPr>
              <w:t>5</w:t>
            </w:r>
          </w:p>
        </w:tc>
        <w:tc>
          <w:tcPr>
            <w:tcW w:w="1181" w:type="dxa"/>
            <w:shd w:val="clear" w:color="auto" w:fill="auto"/>
            <w:vAlign w:val="center"/>
          </w:tcPr>
          <w:p w14:paraId="4932E10C" w14:textId="77777777" w:rsidR="00EE354D" w:rsidRPr="008C53BA" w:rsidRDefault="00EE354D" w:rsidP="008C53BA">
            <w:pPr>
              <w:pStyle w:val="Bezmezer"/>
              <w:rPr>
                <w:rFonts w:eastAsia="Calibri"/>
                <w:sz w:val="16"/>
                <w:szCs w:val="22"/>
              </w:rPr>
            </w:pPr>
            <w:r w:rsidRPr="008C53BA">
              <w:rPr>
                <w:rFonts w:eastAsia="Calibri"/>
                <w:sz w:val="16"/>
                <w:szCs w:val="22"/>
              </w:rPr>
              <w:t>pennylane.wav</w:t>
            </w:r>
          </w:p>
        </w:tc>
        <w:tc>
          <w:tcPr>
            <w:tcW w:w="2835" w:type="dxa"/>
            <w:shd w:val="clear" w:color="auto" w:fill="auto"/>
            <w:vAlign w:val="center"/>
          </w:tcPr>
          <w:p w14:paraId="3FF0538A" w14:textId="39F47B8D" w:rsidR="00EE354D" w:rsidRPr="008C53BA" w:rsidRDefault="00EE354D" w:rsidP="008C53BA">
            <w:pPr>
              <w:pStyle w:val="Bezmezer"/>
              <w:rPr>
                <w:rFonts w:eastAsia="Calibri"/>
                <w:sz w:val="16"/>
                <w:szCs w:val="22"/>
              </w:rPr>
            </w:pPr>
            <w:r w:rsidRPr="008C53BA">
              <w:rPr>
                <w:rFonts w:eastAsia="Calibri"/>
                <w:sz w:val="16"/>
                <w:szCs w:val="22"/>
              </w:rPr>
              <w:t>The Beatles:</w:t>
            </w:r>
            <w:r w:rsidRPr="008C53BA">
              <w:rPr>
                <w:rStyle w:val="Zdraznnjemn"/>
                <w:rFonts w:eastAsia="Calibri"/>
                <w:i w:val="0"/>
                <w:iCs w:val="0"/>
                <w:color w:val="000000"/>
                <w:sz w:val="16"/>
                <w:szCs w:val="22"/>
              </w:rPr>
              <w:t xml:space="preserve"> Penny Lane</w:t>
            </w:r>
          </w:p>
        </w:tc>
        <w:tc>
          <w:tcPr>
            <w:tcW w:w="680" w:type="dxa"/>
            <w:shd w:val="clear" w:color="auto" w:fill="auto"/>
            <w:vAlign w:val="center"/>
          </w:tcPr>
          <w:p w14:paraId="01C1A83B" w14:textId="77777777" w:rsidR="00EE354D" w:rsidRPr="008C53BA" w:rsidRDefault="00EE354D" w:rsidP="008C53BA">
            <w:pPr>
              <w:pStyle w:val="Bezmezer"/>
              <w:rPr>
                <w:rFonts w:eastAsia="Calibri"/>
                <w:sz w:val="16"/>
                <w:szCs w:val="22"/>
              </w:rPr>
            </w:pPr>
            <w:r w:rsidRPr="008C53BA">
              <w:rPr>
                <w:rFonts w:eastAsia="Calibri"/>
                <w:sz w:val="16"/>
                <w:szCs w:val="22"/>
              </w:rPr>
              <w:t>music</w:t>
            </w:r>
          </w:p>
        </w:tc>
      </w:tr>
      <w:tr w:rsidR="008C53BA" w:rsidRPr="008C53BA" w14:paraId="387D0EE9" w14:textId="77777777" w:rsidTr="008C53BA">
        <w:trPr>
          <w:cantSplit/>
          <w:trHeight w:val="170"/>
          <w:jc w:val="center"/>
        </w:trPr>
        <w:tc>
          <w:tcPr>
            <w:tcW w:w="236" w:type="dxa"/>
            <w:shd w:val="clear" w:color="auto" w:fill="auto"/>
            <w:vAlign w:val="center"/>
          </w:tcPr>
          <w:p w14:paraId="591A8938" w14:textId="77777777" w:rsidR="00EE354D" w:rsidRPr="008C53BA" w:rsidRDefault="00EE354D" w:rsidP="008C53BA">
            <w:pPr>
              <w:pStyle w:val="Bezmezer"/>
              <w:rPr>
                <w:rFonts w:eastAsia="Calibri"/>
                <w:sz w:val="16"/>
                <w:szCs w:val="22"/>
              </w:rPr>
            </w:pPr>
            <w:r w:rsidRPr="008C53BA">
              <w:rPr>
                <w:rStyle w:val="Zdraznnjemn"/>
                <w:rFonts w:eastAsia="Calibri"/>
                <w:i w:val="0"/>
                <w:iCs w:val="0"/>
                <w:color w:val="000000"/>
                <w:sz w:val="16"/>
                <w:szCs w:val="22"/>
              </w:rPr>
              <w:t>6</w:t>
            </w:r>
          </w:p>
        </w:tc>
        <w:tc>
          <w:tcPr>
            <w:tcW w:w="1181" w:type="dxa"/>
            <w:shd w:val="clear" w:color="auto" w:fill="auto"/>
            <w:vAlign w:val="center"/>
          </w:tcPr>
          <w:p w14:paraId="6A0F1337" w14:textId="77777777" w:rsidR="00EE354D" w:rsidRPr="008C53BA" w:rsidRDefault="00EE354D" w:rsidP="008C53BA">
            <w:pPr>
              <w:pStyle w:val="Bezmezer"/>
              <w:rPr>
                <w:rFonts w:eastAsia="Calibri"/>
                <w:sz w:val="16"/>
                <w:szCs w:val="22"/>
              </w:rPr>
            </w:pPr>
            <w:r w:rsidRPr="008C53BA">
              <w:rPr>
                <w:rFonts w:eastAsia="Calibri"/>
                <w:sz w:val="16"/>
                <w:szCs w:val="22"/>
              </w:rPr>
              <w:t>rickroll.wav</w:t>
            </w:r>
          </w:p>
        </w:tc>
        <w:tc>
          <w:tcPr>
            <w:tcW w:w="2835" w:type="dxa"/>
            <w:shd w:val="clear" w:color="auto" w:fill="auto"/>
            <w:vAlign w:val="center"/>
          </w:tcPr>
          <w:p w14:paraId="5F611812" w14:textId="7C43CE4B" w:rsidR="00EE354D" w:rsidRPr="008C53BA" w:rsidRDefault="00EE354D" w:rsidP="008C53BA">
            <w:pPr>
              <w:pStyle w:val="Bezmezer"/>
              <w:rPr>
                <w:rFonts w:eastAsia="Calibri"/>
                <w:sz w:val="16"/>
                <w:szCs w:val="22"/>
              </w:rPr>
            </w:pPr>
            <w:r w:rsidRPr="008C53BA">
              <w:rPr>
                <w:rFonts w:eastAsia="Calibri"/>
                <w:sz w:val="16"/>
                <w:szCs w:val="22"/>
              </w:rPr>
              <w:t xml:space="preserve">Rick Astley: Never </w:t>
            </w:r>
            <w:proofErr w:type="spellStart"/>
            <w:r w:rsidRPr="008C53BA">
              <w:rPr>
                <w:rFonts w:eastAsia="Calibri"/>
                <w:sz w:val="16"/>
                <w:szCs w:val="22"/>
              </w:rPr>
              <w:t>Gonna</w:t>
            </w:r>
            <w:proofErr w:type="spellEnd"/>
            <w:r w:rsidRPr="008C53BA">
              <w:rPr>
                <w:rFonts w:eastAsia="Calibri"/>
                <w:sz w:val="16"/>
                <w:szCs w:val="22"/>
              </w:rPr>
              <w:t xml:space="preserve"> Give You Up</w:t>
            </w:r>
          </w:p>
        </w:tc>
        <w:tc>
          <w:tcPr>
            <w:tcW w:w="680" w:type="dxa"/>
            <w:shd w:val="clear" w:color="auto" w:fill="auto"/>
            <w:vAlign w:val="center"/>
          </w:tcPr>
          <w:p w14:paraId="2AE54461" w14:textId="77777777" w:rsidR="00EE354D" w:rsidRPr="008C53BA" w:rsidRDefault="00EE354D" w:rsidP="008C53BA">
            <w:pPr>
              <w:pStyle w:val="Bezmezer"/>
              <w:keepNext/>
              <w:rPr>
                <w:rFonts w:eastAsia="Calibri"/>
                <w:sz w:val="16"/>
                <w:szCs w:val="22"/>
              </w:rPr>
            </w:pPr>
            <w:r w:rsidRPr="008C53BA">
              <w:rPr>
                <w:rFonts w:eastAsia="Calibri"/>
                <w:sz w:val="16"/>
                <w:szCs w:val="22"/>
              </w:rPr>
              <w:t>music</w:t>
            </w:r>
          </w:p>
        </w:tc>
      </w:tr>
    </w:tbl>
    <w:bookmarkEnd w:id="1"/>
    <w:p w14:paraId="17409776" w14:textId="706F8428" w:rsidR="00EE354D" w:rsidRDefault="006A433F" w:rsidP="001B2F79">
      <w:pPr>
        <w:pStyle w:val="Titulek"/>
        <w:jc w:val="center"/>
        <w:rPr>
          <w:b w:val="0"/>
        </w:rPr>
      </w:pPr>
      <w:r>
        <w:t xml:space="preserve">Tab. </w:t>
      </w:r>
      <w:r>
        <w:fldChar w:fldCharType="begin"/>
      </w:r>
      <w:r>
        <w:instrText xml:space="preserve"> SEQ Tab. \* ARABIC </w:instrText>
      </w:r>
      <w:r>
        <w:fldChar w:fldCharType="separate"/>
      </w:r>
      <w:r w:rsidR="00AC4F25">
        <w:rPr>
          <w:noProof/>
        </w:rPr>
        <w:t>2</w:t>
      </w:r>
      <w:r>
        <w:fldChar w:fldCharType="end"/>
      </w:r>
      <w:r>
        <w:t xml:space="preserve"> </w:t>
      </w:r>
      <w:r>
        <w:rPr>
          <w:b w:val="0"/>
        </w:rPr>
        <w:t>Set of audio files</w:t>
      </w:r>
    </w:p>
    <w:p w14:paraId="087ADF11" w14:textId="6F40DB7B" w:rsidR="006A433F" w:rsidRDefault="006A433F" w:rsidP="006A433F">
      <w:pPr>
        <w:pStyle w:val="Nadpis2"/>
      </w:pPr>
      <w:r>
        <w:t>Used Audio Codecs and bitrates</w:t>
      </w:r>
    </w:p>
    <w:p w14:paraId="2630F0A0" w14:textId="28A1E959" w:rsidR="006A433F" w:rsidRDefault="001C7187" w:rsidP="006A433F">
      <w:pPr>
        <w:rPr>
          <w:noProof/>
          <w:lang w:val="cs-CZ"/>
        </w:rPr>
      </w:pPr>
      <w:r>
        <w:rPr>
          <w:noProof/>
          <w:lang w:val="cs-CZ"/>
        </w:rPr>
        <w:t xml:space="preserve"> Coding of previously mentioned audio samples was </w:t>
      </w:r>
      <w:r w:rsidR="00EE5D92">
        <w:rPr>
          <w:noProof/>
          <w:lang w:val="cs-CZ"/>
        </w:rPr>
        <w:t>prepared</w:t>
      </w:r>
      <w:r>
        <w:rPr>
          <w:noProof/>
          <w:lang w:val="cs-CZ"/>
        </w:rPr>
        <w:t xml:space="preserve"> to standard used in DAB/DAB+ </w:t>
      </w:r>
      <w:r w:rsidRPr="001C7187">
        <w:rPr>
          <w:noProof/>
          <w:lang w:val="cs-CZ"/>
        </w:rPr>
        <w:t>[</w:t>
      </w:r>
      <w:r w:rsidR="001C79A1">
        <w:rPr>
          <w:noProof/>
          <w:lang w:val="cs-CZ"/>
        </w:rPr>
        <w:t>5</w:t>
      </w:r>
      <w:r w:rsidRPr="001C7187">
        <w:rPr>
          <w:noProof/>
          <w:lang w:val="cs-CZ"/>
        </w:rPr>
        <w:t>]</w:t>
      </w:r>
      <w:r>
        <w:rPr>
          <w:noProof/>
          <w:lang w:val="cs-CZ"/>
        </w:rPr>
        <w:t>.</w:t>
      </w:r>
      <w:r w:rsidR="00EE5D92">
        <w:rPr>
          <w:noProof/>
          <w:lang w:val="cs-CZ"/>
        </w:rPr>
        <w:t xml:space="preserve"> According to (mpeg) MPEG 1 Layer II can be coded into fourteen possible bitrates from 8 kbps to 384 kbps. Encoder TwoLame</w:t>
      </w:r>
      <w:r w:rsidR="00EE60B4">
        <w:rPr>
          <w:noProof/>
          <w:lang w:val="cs-CZ"/>
        </w:rPr>
        <w:t xml:space="preserve"> [6]</w:t>
      </w:r>
      <w:r w:rsidR="00EE5D92">
        <w:rPr>
          <w:noProof/>
          <w:lang w:val="cs-CZ"/>
        </w:rPr>
        <w:t xml:space="preserve"> was used </w:t>
      </w:r>
      <w:r w:rsidR="00AC1EE5">
        <w:rPr>
          <w:noProof/>
          <w:lang w:val="cs-CZ"/>
        </w:rPr>
        <w:t>set to stereo output.</w:t>
      </w:r>
    </w:p>
    <w:p w14:paraId="5CEADD54" w14:textId="0339F79F" w:rsidR="00AC1EE5" w:rsidRPr="006A433F" w:rsidRDefault="00AC1EE5" w:rsidP="006A433F">
      <w:r>
        <w:t>Second coding method used was Advanced Audio Cod</w:t>
      </w:r>
      <w:r w:rsidR="00CB188A">
        <w:t>ing</w:t>
      </w:r>
      <w:r w:rsidR="00F36E41">
        <w:t xml:space="preserve"> </w:t>
      </w:r>
      <w:r>
        <w:t>in three different profiles.</w:t>
      </w:r>
      <w:r w:rsidR="00CB188A">
        <w:t xml:space="preserve"> First</w:t>
      </w:r>
      <w:r>
        <w:t xml:space="preserve"> LC-AAC (Low complexity)</w:t>
      </w:r>
      <w:r w:rsidR="00CB188A">
        <w:t xml:space="preserve"> is based on conversion to frequency domain using Discrete Cosine Transform </w:t>
      </w:r>
      <w:r w:rsidR="000432DD">
        <w:t>similarly</w:t>
      </w:r>
      <w:r w:rsidR="00CB188A">
        <w:t xml:space="preserve"> to JPEG.</w:t>
      </w:r>
      <w:r>
        <w:t xml:space="preserve"> HE-AAC v1</w:t>
      </w:r>
      <w:r w:rsidR="00C447EE">
        <w:t xml:space="preserve"> </w:t>
      </w:r>
      <w:r w:rsidR="00CB188A">
        <w:t xml:space="preserve">adds to </w:t>
      </w:r>
      <w:r w:rsidR="00C447EE">
        <w:t>LC</w:t>
      </w:r>
      <w:r w:rsidR="000432DD">
        <w:t xml:space="preserve"> a </w:t>
      </w:r>
      <w:r w:rsidR="00CB188A">
        <w:t>process called</w:t>
      </w:r>
      <w:r w:rsidR="00C447EE">
        <w:t xml:space="preserve"> Spectral Band Replication</w:t>
      </w:r>
      <w:r w:rsidR="00156FFE">
        <w:t>.</w:t>
      </w:r>
      <w:r w:rsidR="000432DD">
        <w:t xml:space="preserve"> Since last one or two </w:t>
      </w:r>
      <w:r w:rsidR="00CB188A">
        <w:t>octave</w:t>
      </w:r>
      <w:r w:rsidR="000432DD">
        <w:t>s</w:t>
      </w:r>
      <w:r w:rsidR="00CB188A">
        <w:t xml:space="preserve"> of audible spectrum </w:t>
      </w:r>
      <w:r w:rsidR="000432DD">
        <w:t>don’t carry an important information but when they are simply cut off by low pass filter listeners describe sound as “dull”. SBR replicates lower part of spectrum to simulate higher harmonics. T</w:t>
      </w:r>
      <w:r w:rsidR="00156FFE">
        <w:t>he third used profile was</w:t>
      </w:r>
      <w:r>
        <w:t xml:space="preserve"> HE-AAC v2</w:t>
      </w:r>
      <w:r w:rsidR="00C447EE">
        <w:t xml:space="preserve"> which adds the usage of Parametric Stereo</w:t>
      </w:r>
      <w:r w:rsidR="00156FFE">
        <w:t xml:space="preserve"> to previous profiles</w:t>
      </w:r>
      <w:r w:rsidR="00C447EE">
        <w:t>, comb</w:t>
      </w:r>
      <w:r w:rsidR="00CB188A">
        <w:t>in</w:t>
      </w:r>
      <w:r w:rsidR="00C447EE">
        <w:t xml:space="preserve">ing stereo </w:t>
      </w:r>
      <w:r w:rsidR="00CB188A">
        <w:t>channels</w:t>
      </w:r>
      <w:r w:rsidR="00C447EE">
        <w:t xml:space="preserve"> into one mono channel. The Spatial information is coded into three parameters </w:t>
      </w:r>
      <w:r w:rsidR="00C447EE" w:rsidRPr="00C447EE">
        <w:t>Inter-channel Intensity Difference (IID)</w:t>
      </w:r>
      <w:r w:rsidR="00C447EE">
        <w:t xml:space="preserve">, </w:t>
      </w:r>
      <w:r w:rsidR="00C447EE" w:rsidRPr="00C447EE">
        <w:t>Inter-channel Cross-Correlation (ICC)</w:t>
      </w:r>
      <w:r w:rsidR="00C447EE">
        <w:t xml:space="preserve"> and </w:t>
      </w:r>
      <w:r w:rsidR="00C447EE" w:rsidRPr="00C447EE">
        <w:t>Inter-channel Phase Difference (IPD)</w:t>
      </w:r>
      <w:r>
        <w:t>.</w:t>
      </w:r>
      <w:r w:rsidR="00A66B64">
        <w:t xml:space="preserve"> </w:t>
      </w:r>
      <w:r w:rsidR="00C95C15">
        <w:t xml:space="preserve">Samples were encoded </w:t>
      </w:r>
      <w:r w:rsidR="00F36E41">
        <w:t>with</w:t>
      </w:r>
      <w:r w:rsidR="00C95C15">
        <w:t xml:space="preserve"> </w:t>
      </w:r>
      <w:proofErr w:type="spellStart"/>
      <w:r w:rsidR="00C95C15">
        <w:t>FFMpeg</w:t>
      </w:r>
      <w:proofErr w:type="spellEnd"/>
      <w:r w:rsidR="00C95C15">
        <w:t xml:space="preserve"> </w:t>
      </w:r>
      <w:r w:rsidR="00C95C15" w:rsidRPr="00C95C15">
        <w:rPr>
          <w:noProof/>
          <w:lang w:val="cs-CZ"/>
        </w:rPr>
        <w:t>[</w:t>
      </w:r>
      <w:r w:rsidR="00EE60B4">
        <w:rPr>
          <w:noProof/>
          <w:lang w:val="cs-CZ"/>
        </w:rPr>
        <w:t>7</w:t>
      </w:r>
      <w:r w:rsidR="00C95C15" w:rsidRPr="00C95C15">
        <w:rPr>
          <w:noProof/>
          <w:lang w:val="cs-CZ"/>
        </w:rPr>
        <w:t>]</w:t>
      </w:r>
      <w:r w:rsidR="00C95C15">
        <w:t xml:space="preserve"> in following bitrates. For LC profile from 8 kbps to 256 kbps with step 4 kbps. For v2 profile the same only the upper limit is limited to 128 kbps and for v2 profile to 64 kbps.</w:t>
      </w:r>
    </w:p>
    <w:p w14:paraId="19ABF544" w14:textId="33F525A3" w:rsidR="006A433F" w:rsidRDefault="009A0F40" w:rsidP="009A0F40">
      <w:pPr>
        <w:pStyle w:val="Nadpis1"/>
      </w:pPr>
      <w:r>
        <w:lastRenderedPageBreak/>
        <w:t>Results</w:t>
      </w:r>
    </w:p>
    <w:p w14:paraId="6F599D82" w14:textId="5DC0D053" w:rsidR="002057CB" w:rsidRDefault="0032177E" w:rsidP="00C32C7E">
      <w:r w:rsidRPr="0032177E">
        <w:t>Fig</w:t>
      </w:r>
      <w:r>
        <w:t>.1</w:t>
      </w:r>
      <w:r w:rsidRPr="0032177E">
        <w:t xml:space="preserve"> shows a comparison of two selected methods. In the first line, the ODG averages of the speech samples are plotted and the second is the average of the music samples. The first column shows the PEAQ rating. For better comparison of individual codecs, the dependencies are plotted on a single graph. The second column shows the results of the ViSQOL algorithm. Its standard output is MOS-LQO, which corresponds to ratings on a scale of one </w:t>
      </w:r>
      <w:r w:rsidRPr="0032177E">
        <w:t xml:space="preserve">to five. In comparison, however, MOS-LQO is remapped to ODG. The last column shows the difference between the two methods. It is obvious that the biggest differences are at low bitrates, which </w:t>
      </w:r>
      <w:r>
        <w:t>is</w:t>
      </w:r>
      <w:r w:rsidRPr="0032177E">
        <w:t xml:space="preserve"> already suggested by articles</w:t>
      </w:r>
      <w:r>
        <w:t xml:space="preserve"> </w:t>
      </w:r>
      <w:r w:rsidRPr="0032177E">
        <w:rPr>
          <w:noProof/>
          <w:lang w:val="cs-CZ"/>
        </w:rPr>
        <w:t>[</w:t>
      </w:r>
      <w:r w:rsidR="001C79A1">
        <w:rPr>
          <w:noProof/>
          <w:lang w:val="cs-CZ"/>
        </w:rPr>
        <w:t>8</w:t>
      </w:r>
      <w:r w:rsidRPr="0032177E">
        <w:rPr>
          <w:noProof/>
          <w:lang w:val="cs-CZ"/>
        </w:rPr>
        <w:t>]</w:t>
      </w:r>
      <w:r>
        <w:rPr>
          <w:lang w:val="cs-CZ"/>
        </w:rPr>
        <w:t xml:space="preserve"> and</w:t>
      </w:r>
      <w:r>
        <w:rPr>
          <w:noProof/>
          <w:lang w:val="cs-CZ"/>
        </w:rPr>
        <w:t xml:space="preserve"> </w:t>
      </w:r>
      <w:r w:rsidRPr="0032177E">
        <w:rPr>
          <w:noProof/>
          <w:lang w:val="cs-CZ"/>
        </w:rPr>
        <w:t>[</w:t>
      </w:r>
      <w:r w:rsidR="001C79A1">
        <w:rPr>
          <w:noProof/>
          <w:lang w:val="cs-CZ"/>
        </w:rPr>
        <w:t>9</w:t>
      </w:r>
      <w:r w:rsidRPr="0032177E">
        <w:rPr>
          <w:noProof/>
          <w:lang w:val="cs-CZ"/>
        </w:rPr>
        <w:t>]</w:t>
      </w:r>
      <w:r w:rsidRPr="0032177E">
        <w:t>. ViSQOL gives higher quality to more modern codecs.</w:t>
      </w:r>
    </w:p>
    <w:p w14:paraId="7BB9FE80" w14:textId="29655F6D" w:rsidR="0032177E" w:rsidRDefault="0032177E" w:rsidP="00C32C7E"/>
    <w:p w14:paraId="4CA6E6BF" w14:textId="77777777" w:rsidR="0083148D" w:rsidRDefault="0083148D" w:rsidP="009A0F40"/>
    <w:p w14:paraId="00A4AFF7" w14:textId="085F575B" w:rsidR="000432DD" w:rsidRDefault="000432DD" w:rsidP="009A0F40">
      <w:pPr>
        <w:sectPr w:rsidR="000432DD">
          <w:footnotePr>
            <w:pos w:val="beneathText"/>
          </w:footnotePr>
          <w:type w:val="continuous"/>
          <w:pgSz w:w="11905" w:h="16837"/>
          <w:pgMar w:top="1418" w:right="851" w:bottom="1418" w:left="1135" w:header="709" w:footer="708" w:gutter="0"/>
          <w:cols w:num="2" w:space="340"/>
          <w:docGrid w:linePitch="360"/>
        </w:sectPr>
      </w:pPr>
    </w:p>
    <w:p w14:paraId="59706995" w14:textId="552F96AA" w:rsidR="0011250A" w:rsidRDefault="0077522A" w:rsidP="0011250A">
      <w:pPr>
        <w:pStyle w:val="Bezmezer"/>
        <w:keepNext/>
      </w:pPr>
      <w:r>
        <w:pict w14:anchorId="1AE80021">
          <v:shape id="_x0000_i1025" type="#_x0000_t75" style="width:495.75pt;height:299.25pt">
            <v:imagedata r:id="rId12" o:title="poster" cropbottom="3076f" cropleft="6643f" cropright="5453f"/>
          </v:shape>
        </w:pict>
      </w:r>
    </w:p>
    <w:p w14:paraId="27868413" w14:textId="02A9D6AB" w:rsidR="009A0F40" w:rsidRDefault="0011250A" w:rsidP="00BB4B77">
      <w:pPr>
        <w:pStyle w:val="Titulek"/>
        <w:jc w:val="center"/>
      </w:pPr>
      <w:r>
        <w:t xml:space="preserve">Fig. </w:t>
      </w:r>
      <w:r>
        <w:fldChar w:fldCharType="begin"/>
      </w:r>
      <w:r>
        <w:instrText xml:space="preserve"> SEQ Fig. \* ARABIC </w:instrText>
      </w:r>
      <w:r>
        <w:fldChar w:fldCharType="separate"/>
      </w:r>
      <w:r w:rsidR="00AC4F25">
        <w:rPr>
          <w:noProof/>
        </w:rPr>
        <w:t>2</w:t>
      </w:r>
      <w:r>
        <w:fldChar w:fldCharType="end"/>
      </w:r>
      <w:r>
        <w:t xml:space="preserve">: </w:t>
      </w:r>
      <w:r w:rsidRPr="0011250A">
        <w:rPr>
          <w:b w:val="0"/>
        </w:rPr>
        <w:t>Left: Average ODG evaluated with PE</w:t>
      </w:r>
      <w:r w:rsidR="00F36E41">
        <w:rPr>
          <w:b w:val="0"/>
        </w:rPr>
        <w:t>A</w:t>
      </w:r>
      <w:r w:rsidRPr="0011250A">
        <w:rPr>
          <w:b w:val="0"/>
        </w:rPr>
        <w:t>Q, Center average ODG evaluated with ViSQOL, Right: Difference between them</w:t>
      </w:r>
    </w:p>
    <w:p w14:paraId="50B344B3" w14:textId="77777777" w:rsidR="00C32C7E" w:rsidRDefault="00C32C7E">
      <w:pPr>
        <w:pStyle w:val="Reference-headline"/>
      </w:pPr>
    </w:p>
    <w:p w14:paraId="03FFAE3E" w14:textId="48ED3FBE" w:rsidR="000432DD" w:rsidRDefault="000432DD">
      <w:pPr>
        <w:pStyle w:val="Reference-headline"/>
        <w:sectPr w:rsidR="000432DD" w:rsidSect="0011250A">
          <w:footnotePr>
            <w:pos w:val="beneathText"/>
          </w:footnotePr>
          <w:type w:val="continuous"/>
          <w:pgSz w:w="11905" w:h="16837"/>
          <w:pgMar w:top="1418" w:right="851" w:bottom="1418" w:left="1135" w:header="709" w:footer="708" w:gutter="0"/>
          <w:cols w:space="340"/>
          <w:docGrid w:linePitch="360"/>
        </w:sectPr>
      </w:pPr>
    </w:p>
    <w:p w14:paraId="4BF3B035" w14:textId="49871A7C" w:rsidR="00BB4B77" w:rsidRDefault="00BB4B77" w:rsidP="00BB4B77">
      <w:pPr>
        <w:pStyle w:val="Nadpis1"/>
      </w:pPr>
      <w:r>
        <w:t>Conclusion</w:t>
      </w:r>
    </w:p>
    <w:p w14:paraId="5F0FE348" w14:textId="71978AC4" w:rsidR="00BB4B77" w:rsidRDefault="00BB4B77" w:rsidP="001322A9">
      <w:r w:rsidRPr="00BB4B77">
        <w:t xml:space="preserve">As shown in the third column, the difference in evaluation of the two presented methods reaches up to two degrees on the ODG scale. </w:t>
      </w:r>
      <w:r w:rsidR="00ED2A50">
        <w:t>W</w:t>
      </w:r>
      <w:r w:rsidRPr="00BB4B77">
        <w:t>hich</w:t>
      </w:r>
      <w:r w:rsidR="00ED2A50">
        <w:t xml:space="preserve"> one</w:t>
      </w:r>
      <w:r w:rsidRPr="00BB4B77">
        <w:t xml:space="preserve"> of the methods represents reality more precisely must be judged by subjective </w:t>
      </w:r>
      <w:proofErr w:type="gramStart"/>
      <w:r w:rsidRPr="00BB4B77">
        <w:t>methods.</w:t>
      </w:r>
      <w:proofErr w:type="gramEnd"/>
      <w:r w:rsidRPr="00BB4B77">
        <w:t xml:space="preserve"> The MUSHRA</w:t>
      </w:r>
      <w:r w:rsidR="001322A9">
        <w:rPr>
          <w:noProof/>
          <w:lang w:val="cs-CZ"/>
        </w:rPr>
        <w:t xml:space="preserve"> </w:t>
      </w:r>
      <w:r w:rsidR="001322A9" w:rsidRPr="001322A9">
        <w:rPr>
          <w:noProof/>
          <w:lang w:val="cs-CZ"/>
        </w:rPr>
        <w:t>[</w:t>
      </w:r>
      <w:r w:rsidR="00E63651">
        <w:rPr>
          <w:noProof/>
          <w:lang w:val="cs-CZ"/>
        </w:rPr>
        <w:t>2</w:t>
      </w:r>
      <w:r w:rsidR="001322A9" w:rsidRPr="001322A9">
        <w:rPr>
          <w:noProof/>
          <w:lang w:val="cs-CZ"/>
        </w:rPr>
        <w:t>]</w:t>
      </w:r>
      <w:r w:rsidRPr="00BB4B77">
        <w:t xml:space="preserve"> was selected to verify this credibility. An interface for the test was prepared in </w:t>
      </w:r>
      <w:proofErr w:type="spellStart"/>
      <w:r w:rsidRPr="00BB4B77">
        <w:t>Matlab</w:t>
      </w:r>
      <w:proofErr w:type="spellEnd"/>
      <w:r w:rsidR="001322A9">
        <w:t xml:space="preserve"> (shown on Fig. 2)</w:t>
      </w:r>
      <w:r w:rsidRPr="00BB4B77">
        <w:t xml:space="preserve">, and preliminary results suggest that ViSQOL is closer to reality. However, it is necessary to perform the tests on a larger group of subjects, which the author will devote to in </w:t>
      </w:r>
      <w:r w:rsidR="001322A9">
        <w:t>his</w:t>
      </w:r>
      <w:r>
        <w:t xml:space="preserve"> diploma</w:t>
      </w:r>
      <w:r w:rsidRPr="00BB4B77">
        <w:t xml:space="preserve"> thesis.</w:t>
      </w:r>
    </w:p>
    <w:p w14:paraId="751BC361" w14:textId="77777777" w:rsidR="006F2E6C" w:rsidRDefault="00F36E41" w:rsidP="006F2E6C">
      <w:pPr>
        <w:keepNext/>
        <w:ind w:firstLine="0"/>
      </w:pPr>
      <w:r>
        <w:pict w14:anchorId="25C4E4E5">
          <v:shape id="_x0000_i1026" type="#_x0000_t75" style="width:239.25pt;height:151.5pt">
            <v:imagedata r:id="rId13" o:title="mushra"/>
          </v:shape>
        </w:pict>
      </w:r>
    </w:p>
    <w:p w14:paraId="373841B2" w14:textId="225E9BF6" w:rsidR="006F2E6C" w:rsidRPr="00BB4B77" w:rsidRDefault="006F2E6C" w:rsidP="006F2E6C">
      <w:pPr>
        <w:pStyle w:val="Titulek"/>
        <w:jc w:val="center"/>
      </w:pPr>
      <w:r>
        <w:t xml:space="preserve">Fig. </w:t>
      </w:r>
      <w:r>
        <w:fldChar w:fldCharType="begin"/>
      </w:r>
      <w:r>
        <w:instrText xml:space="preserve"> SEQ Fig. \* ARABIC </w:instrText>
      </w:r>
      <w:r>
        <w:fldChar w:fldCharType="separate"/>
      </w:r>
      <w:r w:rsidR="00AC4F25">
        <w:rPr>
          <w:noProof/>
        </w:rPr>
        <w:t>3</w:t>
      </w:r>
      <w:r>
        <w:fldChar w:fldCharType="end"/>
      </w:r>
      <w:r>
        <w:t xml:space="preserve">: </w:t>
      </w:r>
      <w:r w:rsidRPr="006F2E6C">
        <w:rPr>
          <w:b w:val="0"/>
        </w:rPr>
        <w:t>GUI of MUSHRA test</w:t>
      </w:r>
    </w:p>
    <w:p w14:paraId="1FD5C630" w14:textId="77777777" w:rsidR="000432DD" w:rsidRDefault="000432DD">
      <w:pPr>
        <w:pStyle w:val="Reference-headline"/>
      </w:pPr>
    </w:p>
    <w:p w14:paraId="23FF382D" w14:textId="39EEF911" w:rsidR="00092EE9" w:rsidRDefault="00092EE9">
      <w:pPr>
        <w:pStyle w:val="Reference-headline"/>
      </w:pPr>
      <w:r>
        <w:lastRenderedPageBreak/>
        <w:t>Acknowledgements</w:t>
      </w:r>
    </w:p>
    <w:p w14:paraId="111AD391" w14:textId="26ABC88A" w:rsidR="00092EE9" w:rsidRDefault="00092EE9" w:rsidP="00162B37">
      <w:r>
        <w:t xml:space="preserve">Research described in the paper was supervised by </w:t>
      </w:r>
      <w:r w:rsidR="00162B37">
        <w:t>Ing</w:t>
      </w:r>
      <w:r>
        <w:t xml:space="preserve">. </w:t>
      </w:r>
      <w:r w:rsidR="00162B37">
        <w:t>K</w:t>
      </w:r>
      <w:r>
        <w:t xml:space="preserve">. </w:t>
      </w:r>
      <w:proofErr w:type="spellStart"/>
      <w:r w:rsidR="00162B37">
        <w:t>Ulovec</w:t>
      </w:r>
      <w:proofErr w:type="spellEnd"/>
      <w:r w:rsidR="00162B37">
        <w:t xml:space="preserve"> </w:t>
      </w:r>
      <w:r w:rsidR="00EE5D92">
        <w:t>Ph.D.</w:t>
      </w:r>
      <w:r>
        <w:t>, FEE CTU in Prague and supported by the Grant Agency</w:t>
      </w:r>
      <w:r w:rsidR="00162B37">
        <w:t xml:space="preserve"> of the Czech Technical University in Prague,</w:t>
      </w:r>
      <w:r>
        <w:t xml:space="preserve"> under grant No. </w:t>
      </w:r>
      <w:r w:rsidR="00162B37" w:rsidRPr="00162B37">
        <w:t>SGS17/190/OHK3/3T/13</w:t>
      </w:r>
      <w:r>
        <w:t>.</w:t>
      </w:r>
    </w:p>
    <w:p w14:paraId="09573961" w14:textId="67BACE1D" w:rsidR="006F2E6C" w:rsidRDefault="00092EE9" w:rsidP="006F2E6C">
      <w:pPr>
        <w:pStyle w:val="Reference-headline"/>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37"/>
      </w:tblGrid>
      <w:tr w:rsidR="00E63651" w14:paraId="7819BDBD" w14:textId="77777777" w:rsidTr="003B4D3A">
        <w:trPr>
          <w:divId w:val="1121877459"/>
          <w:tblCellSpacing w:w="15" w:type="dxa"/>
        </w:trPr>
        <w:tc>
          <w:tcPr>
            <w:tcW w:w="272" w:type="pct"/>
          </w:tcPr>
          <w:p w14:paraId="33E9A0F6" w14:textId="5415ACD4" w:rsidR="00E63651" w:rsidRDefault="00E63651" w:rsidP="00E63651">
            <w:pPr>
              <w:pStyle w:val="Bibliografie"/>
              <w:rPr>
                <w:noProof/>
                <w:sz w:val="24"/>
                <w:szCs w:val="24"/>
              </w:rPr>
            </w:pPr>
            <w:r>
              <w:rPr>
                <w:noProof/>
              </w:rPr>
              <w:t xml:space="preserve"> [1] </w:t>
            </w:r>
          </w:p>
        </w:tc>
        <w:tc>
          <w:tcPr>
            <w:tcW w:w="0" w:type="auto"/>
          </w:tcPr>
          <w:p w14:paraId="24D0C4C7" w14:textId="06F4F3A1" w:rsidR="00E63651" w:rsidRDefault="00E63651" w:rsidP="00E63651">
            <w:pPr>
              <w:pStyle w:val="Bibliografie"/>
              <w:rPr>
                <w:noProof/>
              </w:rPr>
            </w:pPr>
            <w:r>
              <w:rPr>
                <w:noProof/>
              </w:rPr>
              <w:t xml:space="preserve">ITU-R, „Methods for the subjective assessment of small impairments in audio systems“. </w:t>
            </w:r>
            <w:r w:rsidR="00705657">
              <w:rPr>
                <w:noProof/>
              </w:rPr>
              <w:t>Recommendation</w:t>
            </w:r>
            <w:r>
              <w:rPr>
                <w:noProof/>
              </w:rPr>
              <w:t xml:space="preserve"> ITU-R BS.1116-1, 1997.</w:t>
            </w:r>
          </w:p>
        </w:tc>
      </w:tr>
      <w:tr w:rsidR="00E63651" w14:paraId="4E8BDC0A" w14:textId="77777777" w:rsidTr="003B4D3A">
        <w:trPr>
          <w:divId w:val="1121877459"/>
          <w:tblCellSpacing w:w="15" w:type="dxa"/>
        </w:trPr>
        <w:tc>
          <w:tcPr>
            <w:tcW w:w="272" w:type="pct"/>
          </w:tcPr>
          <w:p w14:paraId="67C63BFA" w14:textId="4FB256AB" w:rsidR="00E63651" w:rsidRDefault="00E63651" w:rsidP="00E63651">
            <w:pPr>
              <w:pStyle w:val="Bibliografie"/>
              <w:rPr>
                <w:noProof/>
              </w:rPr>
            </w:pPr>
            <w:r>
              <w:rPr>
                <w:noProof/>
              </w:rPr>
              <w:t xml:space="preserve">[2] </w:t>
            </w:r>
          </w:p>
        </w:tc>
        <w:tc>
          <w:tcPr>
            <w:tcW w:w="0" w:type="auto"/>
          </w:tcPr>
          <w:p w14:paraId="3AF7C6A1" w14:textId="796D684C" w:rsidR="00E63651" w:rsidRDefault="00E63651" w:rsidP="00E63651">
            <w:pPr>
              <w:pStyle w:val="Bibliografie"/>
              <w:rPr>
                <w:noProof/>
              </w:rPr>
            </w:pPr>
            <w:r>
              <w:rPr>
                <w:noProof/>
              </w:rPr>
              <w:t xml:space="preserve">ITU-R, „Method for the subjective assessment of intermediate quality level of coding systems“. </w:t>
            </w:r>
            <w:r w:rsidR="00705657">
              <w:rPr>
                <w:noProof/>
              </w:rPr>
              <w:t>Recommendation</w:t>
            </w:r>
            <w:r>
              <w:rPr>
                <w:noProof/>
              </w:rPr>
              <w:t xml:space="preserve"> ITU-R BS.1534-1, 2003.</w:t>
            </w:r>
          </w:p>
        </w:tc>
      </w:tr>
      <w:tr w:rsidR="00E63651" w14:paraId="7CC303FC" w14:textId="77777777" w:rsidTr="003B4D3A">
        <w:trPr>
          <w:divId w:val="1121877459"/>
          <w:tblCellSpacing w:w="15" w:type="dxa"/>
        </w:trPr>
        <w:tc>
          <w:tcPr>
            <w:tcW w:w="272" w:type="pct"/>
          </w:tcPr>
          <w:p w14:paraId="66854565" w14:textId="1202680F" w:rsidR="00E63651" w:rsidRDefault="00E63651" w:rsidP="00E63651">
            <w:pPr>
              <w:pStyle w:val="Bibliografie"/>
              <w:rPr>
                <w:noProof/>
              </w:rPr>
            </w:pPr>
            <w:r>
              <w:rPr>
                <w:noProof/>
              </w:rPr>
              <w:t xml:space="preserve">[3] </w:t>
            </w:r>
          </w:p>
        </w:tc>
        <w:tc>
          <w:tcPr>
            <w:tcW w:w="0" w:type="auto"/>
          </w:tcPr>
          <w:p w14:paraId="21C424C3" w14:textId="6B02873D" w:rsidR="00E63651" w:rsidRDefault="00E63651" w:rsidP="00705657">
            <w:pPr>
              <w:pStyle w:val="Bibliografie"/>
              <w:rPr>
                <w:noProof/>
              </w:rPr>
            </w:pPr>
            <w:r>
              <w:rPr>
                <w:noProof/>
              </w:rPr>
              <w:t>P. K</w:t>
            </w:r>
            <w:r w:rsidR="00705657">
              <w:rPr>
                <w:noProof/>
              </w:rPr>
              <w:t>ABAL</w:t>
            </w:r>
            <w:r>
              <w:rPr>
                <w:noProof/>
              </w:rPr>
              <w:t>, „GitHub,“ 2002. [Online]. Available: https://github.com/NikolajAndersson/PEAQ.</w:t>
            </w:r>
          </w:p>
        </w:tc>
      </w:tr>
      <w:tr w:rsidR="00E63651" w14:paraId="4E9CBEFD" w14:textId="77777777" w:rsidTr="003B4D3A">
        <w:trPr>
          <w:divId w:val="1121877459"/>
          <w:tblCellSpacing w:w="15" w:type="dxa"/>
        </w:trPr>
        <w:tc>
          <w:tcPr>
            <w:tcW w:w="272" w:type="pct"/>
          </w:tcPr>
          <w:p w14:paraId="607CCEC2" w14:textId="0EF1315D" w:rsidR="00E63651" w:rsidRPr="00E63651" w:rsidRDefault="00E63651" w:rsidP="00E63651">
            <w:pPr>
              <w:pStyle w:val="Bibliografie"/>
              <w:rPr>
                <w:noProof/>
              </w:rPr>
            </w:pPr>
            <w:r w:rsidRPr="00E63651">
              <w:rPr>
                <w:noProof/>
                <w:color w:val="auto"/>
                <w:lang w:val="cs-CZ" w:eastAsia="zh-CN"/>
              </w:rPr>
              <w:t>[</w:t>
            </w:r>
            <w:r>
              <w:rPr>
                <w:noProof/>
                <w:color w:val="auto"/>
                <w:lang w:val="cs-CZ" w:eastAsia="zh-CN"/>
              </w:rPr>
              <w:t>4</w:t>
            </w:r>
            <w:r w:rsidRPr="00E63651">
              <w:rPr>
                <w:noProof/>
                <w:color w:val="auto"/>
                <w:lang w:val="cs-CZ" w:eastAsia="zh-CN"/>
              </w:rPr>
              <w:t xml:space="preserve">] </w:t>
            </w:r>
          </w:p>
        </w:tc>
        <w:tc>
          <w:tcPr>
            <w:tcW w:w="0" w:type="auto"/>
          </w:tcPr>
          <w:p w14:paraId="2F14DE31" w14:textId="109FF104" w:rsidR="00E63651" w:rsidRPr="00E63651" w:rsidRDefault="00E63651" w:rsidP="00E63651">
            <w:pPr>
              <w:pStyle w:val="Bibliografie"/>
              <w:rPr>
                <w:noProof/>
              </w:rPr>
            </w:pPr>
            <w:r w:rsidRPr="00E63651">
              <w:rPr>
                <w:noProof/>
                <w:color w:val="auto"/>
                <w:lang w:val="cs-CZ" w:eastAsia="zh-CN"/>
              </w:rPr>
              <w:t>J. M</w:t>
            </w:r>
            <w:r w:rsidR="00705657">
              <w:rPr>
                <w:noProof/>
                <w:color w:val="auto"/>
                <w:lang w:val="cs-CZ" w:eastAsia="zh-CN"/>
              </w:rPr>
              <w:t>C</w:t>
            </w:r>
            <w:r w:rsidRPr="00E63651">
              <w:rPr>
                <w:noProof/>
                <w:color w:val="auto"/>
                <w:lang w:val="cs-CZ" w:eastAsia="zh-CN"/>
              </w:rPr>
              <w:t>N</w:t>
            </w:r>
            <w:r w:rsidR="00705657">
              <w:rPr>
                <w:noProof/>
                <w:color w:val="auto"/>
                <w:lang w:val="cs-CZ" w:eastAsia="zh-CN"/>
              </w:rPr>
              <w:t>ALLY</w:t>
            </w:r>
            <w:r w:rsidRPr="00E63651">
              <w:rPr>
                <w:noProof/>
                <w:color w:val="auto"/>
                <w:lang w:val="cs-CZ" w:eastAsia="zh-CN"/>
              </w:rPr>
              <w:t>, Towards improving ViSQOL, Dublin: Dublin Institute of Technology, 2017.</w:t>
            </w:r>
          </w:p>
        </w:tc>
      </w:tr>
      <w:tr w:rsidR="00E63651" w14:paraId="16CE7F19" w14:textId="77777777" w:rsidTr="003B4D3A">
        <w:trPr>
          <w:divId w:val="1121877459"/>
          <w:tblCellSpacing w:w="15" w:type="dxa"/>
        </w:trPr>
        <w:tc>
          <w:tcPr>
            <w:tcW w:w="272" w:type="pct"/>
          </w:tcPr>
          <w:p w14:paraId="6E57CACC" w14:textId="6D4CC89C" w:rsidR="00E63651" w:rsidRDefault="00E63651" w:rsidP="00E63651">
            <w:pPr>
              <w:pStyle w:val="Bibliografie"/>
              <w:rPr>
                <w:noProof/>
              </w:rPr>
            </w:pPr>
            <w:r w:rsidRPr="00E63651">
              <w:rPr>
                <w:noProof/>
                <w:color w:val="auto"/>
                <w:lang w:eastAsia="zh-CN"/>
              </w:rPr>
              <w:t>[</w:t>
            </w:r>
            <w:r>
              <w:rPr>
                <w:noProof/>
                <w:color w:val="auto"/>
                <w:lang w:eastAsia="zh-CN"/>
              </w:rPr>
              <w:t>5</w:t>
            </w:r>
            <w:r w:rsidRPr="00E63651">
              <w:rPr>
                <w:noProof/>
                <w:color w:val="auto"/>
                <w:lang w:eastAsia="zh-CN"/>
              </w:rPr>
              <w:t xml:space="preserve">] </w:t>
            </w:r>
          </w:p>
        </w:tc>
        <w:tc>
          <w:tcPr>
            <w:tcW w:w="0" w:type="auto"/>
          </w:tcPr>
          <w:p w14:paraId="390BDA9D" w14:textId="57D80B01" w:rsidR="00E63651" w:rsidRDefault="00E63651" w:rsidP="00E63651">
            <w:pPr>
              <w:pStyle w:val="Bibliografie"/>
              <w:rPr>
                <w:noProof/>
              </w:rPr>
            </w:pPr>
            <w:r w:rsidRPr="00E63651">
              <w:rPr>
                <w:noProof/>
                <w:color w:val="auto"/>
                <w:lang w:eastAsia="zh-CN"/>
              </w:rPr>
              <w:t>E. T. S. I</w:t>
            </w:r>
            <w:r w:rsidR="00705657">
              <w:rPr>
                <w:noProof/>
                <w:color w:val="auto"/>
                <w:lang w:eastAsia="zh-CN"/>
              </w:rPr>
              <w:t>NSTITUE</w:t>
            </w:r>
            <w:r w:rsidRPr="00E63651">
              <w:rPr>
                <w:noProof/>
                <w:color w:val="auto"/>
                <w:lang w:eastAsia="zh-CN"/>
              </w:rPr>
              <w:t xml:space="preserve">, „Digital Audio Broadcasting (DAB)“. </w:t>
            </w:r>
            <w:r w:rsidR="00705657">
              <w:rPr>
                <w:noProof/>
                <w:color w:val="auto"/>
                <w:lang w:eastAsia="zh-CN"/>
              </w:rPr>
              <w:t>Recommendation</w:t>
            </w:r>
            <w:r w:rsidRPr="00E63651">
              <w:rPr>
                <w:noProof/>
                <w:color w:val="auto"/>
                <w:lang w:eastAsia="zh-CN"/>
              </w:rPr>
              <w:t xml:space="preserve"> ETSI TS 102 563 V2.1.1, 2017.</w:t>
            </w:r>
          </w:p>
        </w:tc>
      </w:tr>
      <w:tr w:rsidR="00E63651" w14:paraId="7272BA5A" w14:textId="77777777" w:rsidTr="003B4D3A">
        <w:trPr>
          <w:divId w:val="1121877459"/>
          <w:tblCellSpacing w:w="15" w:type="dxa"/>
        </w:trPr>
        <w:tc>
          <w:tcPr>
            <w:tcW w:w="272" w:type="pct"/>
          </w:tcPr>
          <w:p w14:paraId="382F19E2" w14:textId="40F48829" w:rsidR="00E63651" w:rsidRPr="00E63651" w:rsidRDefault="00E63651" w:rsidP="00E63651">
            <w:pPr>
              <w:pStyle w:val="Bibliografie"/>
              <w:rPr>
                <w:noProof/>
                <w:color w:val="auto"/>
                <w:lang w:eastAsia="zh-CN"/>
              </w:rPr>
            </w:pPr>
            <w:r>
              <w:rPr>
                <w:noProof/>
              </w:rPr>
              <w:t xml:space="preserve">[6] </w:t>
            </w:r>
          </w:p>
        </w:tc>
        <w:tc>
          <w:tcPr>
            <w:tcW w:w="0" w:type="auto"/>
          </w:tcPr>
          <w:p w14:paraId="0200C42E" w14:textId="53C9BEC1" w:rsidR="00E63651" w:rsidRPr="00705657" w:rsidRDefault="00E63651" w:rsidP="00705657">
            <w:pPr>
              <w:pStyle w:val="Bibliografie"/>
              <w:rPr>
                <w:noProof/>
                <w:lang w:eastAsia="zh-CN"/>
              </w:rPr>
            </w:pPr>
            <w:r w:rsidRPr="00705657">
              <w:rPr>
                <w:noProof/>
              </w:rPr>
              <w:t xml:space="preserve">M. </w:t>
            </w:r>
            <w:r w:rsidR="00705657">
              <w:rPr>
                <w:noProof/>
              </w:rPr>
              <w:t>CHENG</w:t>
            </w:r>
            <w:r w:rsidRPr="00705657">
              <w:rPr>
                <w:noProof/>
              </w:rPr>
              <w:t>, „</w:t>
            </w:r>
            <w:proofErr w:type="spellStart"/>
            <w:proofErr w:type="gramStart"/>
            <w:r w:rsidRPr="00705657">
              <w:t>TwoLame</w:t>
            </w:r>
            <w:proofErr w:type="spellEnd"/>
            <w:r w:rsidRPr="00705657">
              <w:rPr>
                <w:noProof/>
              </w:rPr>
              <w:t>,“</w:t>
            </w:r>
            <w:proofErr w:type="gramEnd"/>
            <w:r w:rsidRPr="00705657">
              <w:rPr>
                <w:noProof/>
              </w:rPr>
              <w:t xml:space="preserve"> [Online]. Available: http://www.twolame.org/.</w:t>
            </w:r>
          </w:p>
        </w:tc>
      </w:tr>
      <w:tr w:rsidR="00E63651" w14:paraId="2977066C" w14:textId="77777777" w:rsidTr="003B4D3A">
        <w:trPr>
          <w:divId w:val="1121877459"/>
          <w:tblCellSpacing w:w="15" w:type="dxa"/>
        </w:trPr>
        <w:tc>
          <w:tcPr>
            <w:tcW w:w="272" w:type="pct"/>
          </w:tcPr>
          <w:p w14:paraId="56BB76D5" w14:textId="4C1597F6" w:rsidR="00E63651" w:rsidRDefault="00E63651" w:rsidP="00E63651">
            <w:pPr>
              <w:pStyle w:val="Bibliografie"/>
              <w:rPr>
                <w:noProof/>
              </w:rPr>
            </w:pPr>
            <w:r>
              <w:rPr>
                <w:noProof/>
              </w:rPr>
              <w:t xml:space="preserve">[7] </w:t>
            </w:r>
          </w:p>
        </w:tc>
        <w:tc>
          <w:tcPr>
            <w:tcW w:w="0" w:type="auto"/>
          </w:tcPr>
          <w:p w14:paraId="70CAA709" w14:textId="4DF256FC" w:rsidR="00E63651" w:rsidRDefault="00E63651" w:rsidP="00E63651">
            <w:pPr>
              <w:pStyle w:val="Bibliografie"/>
              <w:rPr>
                <w:noProof/>
              </w:rPr>
            </w:pPr>
            <w:r>
              <w:rPr>
                <w:noProof/>
              </w:rPr>
              <w:t>FF</w:t>
            </w:r>
            <w:r w:rsidR="00705657">
              <w:rPr>
                <w:noProof/>
              </w:rPr>
              <w:t>MPEG PROJECT</w:t>
            </w:r>
            <w:r>
              <w:rPr>
                <w:noProof/>
              </w:rPr>
              <w:t>, „FFMpeg Documentation,“ 2019. [Online]. Available: https://ffmpeg.org/documentation.html.</w:t>
            </w:r>
          </w:p>
        </w:tc>
      </w:tr>
      <w:tr w:rsidR="00E63651" w14:paraId="52E26472" w14:textId="77777777" w:rsidTr="003B4D3A">
        <w:trPr>
          <w:divId w:val="1121877459"/>
          <w:tblCellSpacing w:w="15" w:type="dxa"/>
        </w:trPr>
        <w:tc>
          <w:tcPr>
            <w:tcW w:w="272" w:type="pct"/>
            <w:hideMark/>
          </w:tcPr>
          <w:p w14:paraId="0AEE8F31" w14:textId="16850BE7" w:rsidR="00E63651" w:rsidRDefault="00E63651">
            <w:pPr>
              <w:pStyle w:val="Bibliografie"/>
              <w:rPr>
                <w:noProof/>
              </w:rPr>
            </w:pPr>
            <w:r>
              <w:rPr>
                <w:noProof/>
              </w:rPr>
              <w:t xml:space="preserve">[8] </w:t>
            </w:r>
          </w:p>
        </w:tc>
        <w:tc>
          <w:tcPr>
            <w:tcW w:w="0" w:type="auto"/>
            <w:hideMark/>
          </w:tcPr>
          <w:p w14:paraId="7CF80B9C" w14:textId="77495553" w:rsidR="00E63651" w:rsidRDefault="00E63651">
            <w:pPr>
              <w:pStyle w:val="Bibliografie"/>
              <w:rPr>
                <w:noProof/>
              </w:rPr>
            </w:pPr>
            <w:r>
              <w:rPr>
                <w:noProof/>
              </w:rPr>
              <w:t>F. R</w:t>
            </w:r>
            <w:r w:rsidR="00705657">
              <w:rPr>
                <w:noProof/>
              </w:rPr>
              <w:t>UND</w:t>
            </w:r>
            <w:r>
              <w:rPr>
                <w:noProof/>
              </w:rPr>
              <w:t xml:space="preserve"> a K. U</w:t>
            </w:r>
            <w:r w:rsidR="00705657">
              <w:rPr>
                <w:noProof/>
              </w:rPr>
              <w:t>LOVEC</w:t>
            </w:r>
            <w:r>
              <w:rPr>
                <w:noProof/>
              </w:rPr>
              <w:t xml:space="preserve">, „Comparison of Two Objective Methods of Quality Assessment for Digital Audio Broadcasting,“ </w:t>
            </w:r>
            <w:r>
              <w:rPr>
                <w:i/>
                <w:iCs/>
                <w:noProof/>
              </w:rPr>
              <w:t xml:space="preserve">Radioelektronika, </w:t>
            </w:r>
            <w:r>
              <w:rPr>
                <w:noProof/>
              </w:rPr>
              <w:t xml:space="preserve">2018. </w:t>
            </w:r>
          </w:p>
        </w:tc>
      </w:tr>
      <w:tr w:rsidR="00E63651" w14:paraId="1E4F3759" w14:textId="77777777" w:rsidTr="003B4D3A">
        <w:trPr>
          <w:divId w:val="1121877459"/>
          <w:tblCellSpacing w:w="15" w:type="dxa"/>
        </w:trPr>
        <w:tc>
          <w:tcPr>
            <w:tcW w:w="272" w:type="pct"/>
            <w:hideMark/>
          </w:tcPr>
          <w:p w14:paraId="52343E28" w14:textId="1CD5F0A7" w:rsidR="00E63651" w:rsidRDefault="00E63651">
            <w:pPr>
              <w:pStyle w:val="Bibliografie"/>
              <w:rPr>
                <w:noProof/>
              </w:rPr>
            </w:pPr>
            <w:r>
              <w:rPr>
                <w:noProof/>
              </w:rPr>
              <w:t xml:space="preserve">[9] </w:t>
            </w:r>
          </w:p>
        </w:tc>
        <w:tc>
          <w:tcPr>
            <w:tcW w:w="0" w:type="auto"/>
            <w:hideMark/>
          </w:tcPr>
          <w:p w14:paraId="39416F14" w14:textId="413CE3C4" w:rsidR="00B754DD" w:rsidRPr="00B754DD" w:rsidRDefault="00E63651" w:rsidP="00B754DD">
            <w:pPr>
              <w:pStyle w:val="Bibliografie"/>
              <w:rPr>
                <w:noProof/>
              </w:rPr>
            </w:pPr>
            <w:r>
              <w:rPr>
                <w:noProof/>
              </w:rPr>
              <w:t xml:space="preserve">P. </w:t>
            </w:r>
            <w:r w:rsidR="005613F3">
              <w:rPr>
                <w:noProof/>
              </w:rPr>
              <w:t>POČTA</w:t>
            </w:r>
            <w:r>
              <w:rPr>
                <w:noProof/>
              </w:rPr>
              <w:t xml:space="preserve"> a J. G. B</w:t>
            </w:r>
            <w:r w:rsidR="005613F3">
              <w:rPr>
                <w:noProof/>
              </w:rPr>
              <w:t>EERENDS</w:t>
            </w:r>
            <w:r>
              <w:rPr>
                <w:noProof/>
              </w:rPr>
              <w:t xml:space="preserve">, „Subjective and Objective Assessment of Perceived Audio Quality of Current Digital Audio Broadcasting Systems and Web-Casting Applications,“ </w:t>
            </w:r>
            <w:r>
              <w:rPr>
                <w:i/>
                <w:iCs/>
                <w:noProof/>
              </w:rPr>
              <w:t xml:space="preserve">IEEE TRANSACTIONS ON BROADCASTING, </w:t>
            </w:r>
            <w:r>
              <w:rPr>
                <w:noProof/>
              </w:rPr>
              <w:t>sv. 16, č. 3, 2016.</w:t>
            </w:r>
          </w:p>
        </w:tc>
      </w:tr>
      <w:tr w:rsidR="00B754DD" w14:paraId="4DC161D3" w14:textId="77777777" w:rsidTr="003B4D3A">
        <w:trPr>
          <w:divId w:val="1121877459"/>
          <w:tblCellSpacing w:w="15" w:type="dxa"/>
        </w:trPr>
        <w:tc>
          <w:tcPr>
            <w:tcW w:w="272" w:type="pct"/>
          </w:tcPr>
          <w:p w14:paraId="02E06E2B" w14:textId="4608B719" w:rsidR="00B754DD" w:rsidRDefault="00B754DD" w:rsidP="003B4D3A">
            <w:pPr>
              <w:pStyle w:val="Bibliografie"/>
              <w:rPr>
                <w:noProof/>
              </w:rPr>
            </w:pPr>
            <w:r>
              <w:rPr>
                <w:noProof/>
              </w:rPr>
              <w:t>[10]</w:t>
            </w:r>
          </w:p>
        </w:tc>
        <w:tc>
          <w:tcPr>
            <w:tcW w:w="0" w:type="auto"/>
          </w:tcPr>
          <w:p w14:paraId="76EF19E5" w14:textId="03B14A09" w:rsidR="00B754DD" w:rsidRDefault="00B754DD" w:rsidP="003B4D3A">
            <w:pPr>
              <w:pStyle w:val="Bibliografie"/>
              <w:rPr>
                <w:noProof/>
              </w:rPr>
            </w:pPr>
            <w:r w:rsidRPr="00B754DD">
              <w:rPr>
                <w:noProof/>
              </w:rPr>
              <w:t>International Telecommunication Union. Rec. ITU-R BS.1387-1: Method for objective measurements of perceived audio quality. ITU-R, 2001, 100 p</w:t>
            </w:r>
          </w:p>
        </w:tc>
      </w:tr>
      <w:tr w:rsidR="003B4D3A" w14:paraId="116749A2" w14:textId="77777777" w:rsidTr="003B4D3A">
        <w:trPr>
          <w:divId w:val="1121877459"/>
          <w:tblCellSpacing w:w="15" w:type="dxa"/>
        </w:trPr>
        <w:tc>
          <w:tcPr>
            <w:tcW w:w="272" w:type="pct"/>
          </w:tcPr>
          <w:p w14:paraId="4E59ACA4" w14:textId="478B244E" w:rsidR="003B4D3A" w:rsidRDefault="003B4D3A" w:rsidP="003B4D3A">
            <w:pPr>
              <w:pStyle w:val="Bibliografie"/>
              <w:rPr>
                <w:noProof/>
              </w:rPr>
            </w:pPr>
            <w:r>
              <w:rPr>
                <w:noProof/>
              </w:rPr>
              <w:t>[1</w:t>
            </w:r>
            <w:r w:rsidR="00B754DD">
              <w:rPr>
                <w:noProof/>
              </w:rPr>
              <w:t>1</w:t>
            </w:r>
            <w:r>
              <w:rPr>
                <w:noProof/>
              </w:rPr>
              <w:t xml:space="preserve">] </w:t>
            </w:r>
          </w:p>
        </w:tc>
        <w:tc>
          <w:tcPr>
            <w:tcW w:w="0" w:type="auto"/>
          </w:tcPr>
          <w:p w14:paraId="6140E392" w14:textId="5604A82E" w:rsidR="003B4D3A" w:rsidRDefault="003B4D3A" w:rsidP="003B4D3A">
            <w:pPr>
              <w:pStyle w:val="Bibliografie"/>
              <w:rPr>
                <w:noProof/>
              </w:rPr>
            </w:pPr>
            <w:r>
              <w:rPr>
                <w:noProof/>
              </w:rPr>
              <w:t>Opticom, „OPERA™,“ Opticom, 2019. [Online]. Available: https://www.opticom.de/products/opera.php.</w:t>
            </w:r>
          </w:p>
        </w:tc>
      </w:tr>
    </w:tbl>
    <w:p w14:paraId="5B532103" w14:textId="7F8AC291" w:rsidR="00092EE9" w:rsidRDefault="00092EE9" w:rsidP="006F2E6C">
      <w:pPr>
        <w:pStyle w:val="Reference-headline"/>
      </w:pPr>
      <w:r>
        <w:t>About Author...</w:t>
      </w:r>
    </w:p>
    <w:p w14:paraId="12C3F94E" w14:textId="77777777" w:rsidR="00A66B64" w:rsidRDefault="00B53484">
      <w:pPr>
        <w:pStyle w:val="Authors-text"/>
      </w:pPr>
      <w:r>
        <w:rPr>
          <w:b/>
          <w:bCs w:val="0"/>
        </w:rPr>
        <w:t>Adam</w:t>
      </w:r>
      <w:r w:rsidR="00092EE9">
        <w:rPr>
          <w:b/>
          <w:bCs w:val="0"/>
        </w:rPr>
        <w:t xml:space="preserve"> </w:t>
      </w:r>
      <w:r>
        <w:rPr>
          <w:b/>
          <w:bCs w:val="0"/>
        </w:rPr>
        <w:t>BARTYZAL</w:t>
      </w:r>
      <w:r w:rsidR="00092EE9">
        <w:t xml:space="preserve"> was born in</w:t>
      </w:r>
      <w:r w:rsidR="00F2526B">
        <w:t xml:space="preserve"> </w:t>
      </w:r>
      <w:proofErr w:type="spellStart"/>
      <w:r w:rsidR="00F2526B">
        <w:t>Jindřichův</w:t>
      </w:r>
      <w:proofErr w:type="spellEnd"/>
      <w:r w:rsidR="00F2526B">
        <w:t xml:space="preserve"> Hradec, Czech Republic in 1994.</w:t>
      </w:r>
      <w:r w:rsidR="00162B37">
        <w:t xml:space="preserve"> In 2016 he</w:t>
      </w:r>
      <w:r w:rsidR="00F2526B">
        <w:t xml:space="preserve"> </w:t>
      </w:r>
      <w:r w:rsidR="00162B37">
        <w:t>o</w:t>
      </w:r>
      <w:r w:rsidR="00F2526B">
        <w:t xml:space="preserve">btained his </w:t>
      </w:r>
      <w:r w:rsidR="00162B37">
        <w:t>bachelor’s</w:t>
      </w:r>
      <w:r w:rsidR="00F2526B">
        <w:t xml:space="preserve"> degree</w:t>
      </w:r>
      <w:r w:rsidR="00162B37">
        <w:t xml:space="preserve"> in department of Electromagnetic field</w:t>
      </w:r>
      <w:r w:rsidR="00F2526B">
        <w:t xml:space="preserve"> on </w:t>
      </w:r>
      <w:r w:rsidR="00162B37">
        <w:t>F</w:t>
      </w:r>
      <w:r w:rsidR="00F2526B">
        <w:t xml:space="preserve">aulty of </w:t>
      </w:r>
      <w:r w:rsidR="00162B37">
        <w:t>Electrotechnics, Czech</w:t>
      </w:r>
      <w:r w:rsidR="00F2526B">
        <w:t xml:space="preserve"> Technical University in Prague</w:t>
      </w:r>
      <w:r w:rsidR="00162B37">
        <w:t xml:space="preserve"> and currently is continuing in master’s degree phase in the same department.</w:t>
      </w:r>
      <w:r w:rsidR="00A66B64" w:rsidRPr="00A66B64">
        <w:t xml:space="preserve"> </w:t>
      </w:r>
    </w:p>
    <w:p w14:paraId="1F266847" w14:textId="7D5143F4" w:rsidR="00092EE9" w:rsidRDefault="00F36E41">
      <w:pPr>
        <w:pStyle w:val="Authors-text"/>
      </w:pPr>
      <w:r>
        <w:pict w14:anchorId="648142A6">
          <v:shape id="_x0000_i1027" type="#_x0000_t75" style="width:68.25pt;height:90.75pt;mso-position-horizontal-relative:margin;mso-position-vertical-relative:margin">
            <v:imagedata r:id="rId14" o:title="" grayscale="t"/>
          </v:shape>
        </w:pict>
      </w:r>
    </w:p>
    <w:p w14:paraId="154DE245" w14:textId="3913369B" w:rsidR="003B4D3A" w:rsidRDefault="003B4D3A">
      <w:pPr>
        <w:pStyle w:val="Authors-text"/>
        <w:rPr>
          <w:bCs w:val="0"/>
          <w:noProof/>
          <w:color w:val="auto"/>
          <w:lang w:val="cs-CZ" w:eastAsia="zh-C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86"/>
      </w:tblGrid>
      <w:tr w:rsidR="003B4D3A" w14:paraId="5F97A918" w14:textId="77777777" w:rsidTr="003B4D3A">
        <w:trPr>
          <w:divId w:val="1962615830"/>
          <w:tblCellSpacing w:w="15" w:type="dxa"/>
        </w:trPr>
        <w:tc>
          <w:tcPr>
            <w:tcW w:w="50" w:type="pct"/>
          </w:tcPr>
          <w:p w14:paraId="62960175" w14:textId="674B7EBB" w:rsidR="003B4D3A" w:rsidRDefault="003B4D3A">
            <w:pPr>
              <w:pStyle w:val="Bibliografie"/>
              <w:rPr>
                <w:noProof/>
                <w:sz w:val="24"/>
                <w:szCs w:val="24"/>
              </w:rPr>
            </w:pPr>
          </w:p>
        </w:tc>
        <w:tc>
          <w:tcPr>
            <w:tcW w:w="0" w:type="auto"/>
          </w:tcPr>
          <w:p w14:paraId="2FC2CF4E" w14:textId="7AA6AD19" w:rsidR="003B4D3A" w:rsidRDefault="003B4D3A">
            <w:pPr>
              <w:pStyle w:val="Bibliografie"/>
              <w:rPr>
                <w:noProof/>
              </w:rPr>
            </w:pPr>
          </w:p>
        </w:tc>
      </w:tr>
      <w:tr w:rsidR="003B4D3A" w14:paraId="54221F23" w14:textId="77777777" w:rsidTr="003B4D3A">
        <w:trPr>
          <w:divId w:val="1962615830"/>
          <w:tblCellSpacing w:w="15" w:type="dxa"/>
        </w:trPr>
        <w:tc>
          <w:tcPr>
            <w:tcW w:w="50" w:type="pct"/>
          </w:tcPr>
          <w:p w14:paraId="583EDBAD" w14:textId="674EB637" w:rsidR="003B4D3A" w:rsidRDefault="003B4D3A">
            <w:pPr>
              <w:pStyle w:val="Bibliografie"/>
              <w:rPr>
                <w:noProof/>
              </w:rPr>
            </w:pPr>
          </w:p>
        </w:tc>
        <w:tc>
          <w:tcPr>
            <w:tcW w:w="0" w:type="auto"/>
          </w:tcPr>
          <w:p w14:paraId="7E7E7381" w14:textId="5649C671" w:rsidR="003B4D3A" w:rsidRDefault="003B4D3A">
            <w:pPr>
              <w:pStyle w:val="Bibliografie"/>
              <w:rPr>
                <w:noProof/>
              </w:rPr>
            </w:pPr>
          </w:p>
        </w:tc>
      </w:tr>
      <w:tr w:rsidR="003B4D3A" w14:paraId="1600E840" w14:textId="77777777" w:rsidTr="003B4D3A">
        <w:trPr>
          <w:divId w:val="1962615830"/>
          <w:tblCellSpacing w:w="15" w:type="dxa"/>
        </w:trPr>
        <w:tc>
          <w:tcPr>
            <w:tcW w:w="50" w:type="pct"/>
          </w:tcPr>
          <w:p w14:paraId="3C11648C" w14:textId="174AC0E0" w:rsidR="003B4D3A" w:rsidRDefault="003B4D3A">
            <w:pPr>
              <w:pStyle w:val="Bibliografie"/>
              <w:rPr>
                <w:noProof/>
              </w:rPr>
            </w:pPr>
          </w:p>
        </w:tc>
        <w:tc>
          <w:tcPr>
            <w:tcW w:w="0" w:type="auto"/>
          </w:tcPr>
          <w:p w14:paraId="024B18BE" w14:textId="51B13BAA" w:rsidR="003B4D3A" w:rsidRDefault="003B4D3A">
            <w:pPr>
              <w:pStyle w:val="Bibliografie"/>
              <w:rPr>
                <w:noProof/>
              </w:rPr>
            </w:pPr>
          </w:p>
        </w:tc>
      </w:tr>
      <w:tr w:rsidR="003B4D3A" w14:paraId="748FD488" w14:textId="77777777" w:rsidTr="003B4D3A">
        <w:trPr>
          <w:divId w:val="1962615830"/>
          <w:tblCellSpacing w:w="15" w:type="dxa"/>
        </w:trPr>
        <w:tc>
          <w:tcPr>
            <w:tcW w:w="50" w:type="pct"/>
          </w:tcPr>
          <w:p w14:paraId="3BDA8DB5" w14:textId="1605C885" w:rsidR="003B4D3A" w:rsidRDefault="003B4D3A">
            <w:pPr>
              <w:pStyle w:val="Bibliografie"/>
              <w:rPr>
                <w:noProof/>
              </w:rPr>
            </w:pPr>
          </w:p>
        </w:tc>
        <w:tc>
          <w:tcPr>
            <w:tcW w:w="0" w:type="auto"/>
          </w:tcPr>
          <w:p w14:paraId="4A7B3AE9" w14:textId="29D61C3B" w:rsidR="003B4D3A" w:rsidRDefault="003B4D3A">
            <w:pPr>
              <w:pStyle w:val="Bibliografie"/>
              <w:rPr>
                <w:noProof/>
              </w:rPr>
            </w:pPr>
          </w:p>
        </w:tc>
      </w:tr>
      <w:tr w:rsidR="003B4D3A" w14:paraId="3F0126C0" w14:textId="77777777" w:rsidTr="003B4D3A">
        <w:trPr>
          <w:divId w:val="1962615830"/>
          <w:tblCellSpacing w:w="15" w:type="dxa"/>
        </w:trPr>
        <w:tc>
          <w:tcPr>
            <w:tcW w:w="50" w:type="pct"/>
          </w:tcPr>
          <w:p w14:paraId="4CD96815" w14:textId="17D56320" w:rsidR="003B4D3A" w:rsidRDefault="003B4D3A">
            <w:pPr>
              <w:pStyle w:val="Bibliografie"/>
              <w:rPr>
                <w:noProof/>
              </w:rPr>
            </w:pPr>
          </w:p>
        </w:tc>
        <w:tc>
          <w:tcPr>
            <w:tcW w:w="0" w:type="auto"/>
          </w:tcPr>
          <w:p w14:paraId="4B7ABF13" w14:textId="76EA5BEC" w:rsidR="003B4D3A" w:rsidRDefault="003B4D3A">
            <w:pPr>
              <w:pStyle w:val="Bibliografie"/>
              <w:rPr>
                <w:noProof/>
              </w:rPr>
            </w:pPr>
          </w:p>
        </w:tc>
      </w:tr>
      <w:tr w:rsidR="003B4D3A" w14:paraId="2A743657" w14:textId="77777777" w:rsidTr="003B4D3A">
        <w:trPr>
          <w:divId w:val="1962615830"/>
          <w:tblCellSpacing w:w="15" w:type="dxa"/>
        </w:trPr>
        <w:tc>
          <w:tcPr>
            <w:tcW w:w="50" w:type="pct"/>
          </w:tcPr>
          <w:p w14:paraId="2A386E57" w14:textId="26DC15A3" w:rsidR="003B4D3A" w:rsidRDefault="003B4D3A">
            <w:pPr>
              <w:pStyle w:val="Bibliografie"/>
              <w:rPr>
                <w:noProof/>
              </w:rPr>
            </w:pPr>
          </w:p>
        </w:tc>
        <w:tc>
          <w:tcPr>
            <w:tcW w:w="0" w:type="auto"/>
          </w:tcPr>
          <w:p w14:paraId="51EDCA3C" w14:textId="704875CC" w:rsidR="003B4D3A" w:rsidRDefault="003B4D3A">
            <w:pPr>
              <w:pStyle w:val="Bibliografie"/>
              <w:rPr>
                <w:noProof/>
              </w:rPr>
            </w:pPr>
          </w:p>
        </w:tc>
      </w:tr>
      <w:tr w:rsidR="003B4D3A" w14:paraId="0BB4EADE" w14:textId="77777777" w:rsidTr="003B4D3A">
        <w:trPr>
          <w:divId w:val="1962615830"/>
          <w:tblCellSpacing w:w="15" w:type="dxa"/>
        </w:trPr>
        <w:tc>
          <w:tcPr>
            <w:tcW w:w="50" w:type="pct"/>
          </w:tcPr>
          <w:p w14:paraId="47557994" w14:textId="261E590A" w:rsidR="003B4D3A" w:rsidRDefault="003B4D3A">
            <w:pPr>
              <w:pStyle w:val="Bibliografie"/>
              <w:rPr>
                <w:noProof/>
              </w:rPr>
            </w:pPr>
          </w:p>
        </w:tc>
        <w:tc>
          <w:tcPr>
            <w:tcW w:w="0" w:type="auto"/>
          </w:tcPr>
          <w:p w14:paraId="3525F1AB" w14:textId="6436D1E0" w:rsidR="003B4D3A" w:rsidRDefault="003B4D3A">
            <w:pPr>
              <w:pStyle w:val="Bibliografie"/>
              <w:rPr>
                <w:noProof/>
              </w:rPr>
            </w:pPr>
          </w:p>
        </w:tc>
      </w:tr>
      <w:tr w:rsidR="003B4D3A" w14:paraId="6E1F125D" w14:textId="77777777" w:rsidTr="003B4D3A">
        <w:trPr>
          <w:divId w:val="1962615830"/>
          <w:tblCellSpacing w:w="15" w:type="dxa"/>
        </w:trPr>
        <w:tc>
          <w:tcPr>
            <w:tcW w:w="50" w:type="pct"/>
          </w:tcPr>
          <w:p w14:paraId="36A2ED8A" w14:textId="4BD7F7DB" w:rsidR="003B4D3A" w:rsidRDefault="003B4D3A">
            <w:pPr>
              <w:pStyle w:val="Bibliografie"/>
              <w:rPr>
                <w:noProof/>
              </w:rPr>
            </w:pPr>
          </w:p>
        </w:tc>
        <w:tc>
          <w:tcPr>
            <w:tcW w:w="0" w:type="auto"/>
          </w:tcPr>
          <w:p w14:paraId="237F8507" w14:textId="754AA63A" w:rsidR="003B4D3A" w:rsidRDefault="003B4D3A">
            <w:pPr>
              <w:pStyle w:val="Bibliografie"/>
              <w:rPr>
                <w:noProof/>
              </w:rPr>
            </w:pPr>
          </w:p>
        </w:tc>
      </w:tr>
      <w:tr w:rsidR="003B4D3A" w14:paraId="40911C59" w14:textId="77777777" w:rsidTr="003B4D3A">
        <w:trPr>
          <w:divId w:val="1962615830"/>
          <w:tblCellSpacing w:w="15" w:type="dxa"/>
        </w:trPr>
        <w:tc>
          <w:tcPr>
            <w:tcW w:w="50" w:type="pct"/>
          </w:tcPr>
          <w:p w14:paraId="39107C29" w14:textId="07E1B5AA" w:rsidR="003B4D3A" w:rsidRDefault="003B4D3A">
            <w:pPr>
              <w:pStyle w:val="Bibliografie"/>
              <w:rPr>
                <w:noProof/>
              </w:rPr>
            </w:pPr>
          </w:p>
        </w:tc>
        <w:tc>
          <w:tcPr>
            <w:tcW w:w="0" w:type="auto"/>
          </w:tcPr>
          <w:p w14:paraId="48780CD5" w14:textId="374C5EE8" w:rsidR="003B4D3A" w:rsidRDefault="003B4D3A">
            <w:pPr>
              <w:pStyle w:val="Bibliografie"/>
              <w:rPr>
                <w:noProof/>
              </w:rPr>
            </w:pPr>
          </w:p>
        </w:tc>
      </w:tr>
      <w:tr w:rsidR="003B4D3A" w14:paraId="25BE4484" w14:textId="77777777" w:rsidTr="003B4D3A">
        <w:trPr>
          <w:divId w:val="1962615830"/>
          <w:tblCellSpacing w:w="15" w:type="dxa"/>
        </w:trPr>
        <w:tc>
          <w:tcPr>
            <w:tcW w:w="50" w:type="pct"/>
          </w:tcPr>
          <w:p w14:paraId="19F95B6D" w14:textId="7EED9750" w:rsidR="003B4D3A" w:rsidRDefault="003B4D3A">
            <w:pPr>
              <w:pStyle w:val="Bibliografie"/>
              <w:rPr>
                <w:noProof/>
              </w:rPr>
            </w:pPr>
          </w:p>
        </w:tc>
        <w:tc>
          <w:tcPr>
            <w:tcW w:w="0" w:type="auto"/>
          </w:tcPr>
          <w:p w14:paraId="0E3516F4" w14:textId="7902E3E4" w:rsidR="003B4D3A" w:rsidRDefault="003B4D3A">
            <w:pPr>
              <w:pStyle w:val="Bibliografie"/>
              <w:rPr>
                <w:noProof/>
              </w:rPr>
            </w:pPr>
          </w:p>
        </w:tc>
      </w:tr>
      <w:tr w:rsidR="003B4D3A" w14:paraId="06CFFCAE" w14:textId="77777777" w:rsidTr="003B4D3A">
        <w:trPr>
          <w:divId w:val="1962615830"/>
          <w:tblCellSpacing w:w="15" w:type="dxa"/>
        </w:trPr>
        <w:tc>
          <w:tcPr>
            <w:tcW w:w="50" w:type="pct"/>
          </w:tcPr>
          <w:p w14:paraId="0F57466F" w14:textId="0816D3AA" w:rsidR="003B4D3A" w:rsidRDefault="003B4D3A">
            <w:pPr>
              <w:pStyle w:val="Bibliografie"/>
              <w:rPr>
                <w:noProof/>
              </w:rPr>
            </w:pPr>
          </w:p>
        </w:tc>
        <w:tc>
          <w:tcPr>
            <w:tcW w:w="0" w:type="auto"/>
          </w:tcPr>
          <w:p w14:paraId="2235D8EF" w14:textId="4746F44C" w:rsidR="003B4D3A" w:rsidRDefault="003B4D3A">
            <w:pPr>
              <w:pStyle w:val="Bibliografie"/>
              <w:rPr>
                <w:noProof/>
              </w:rPr>
            </w:pPr>
          </w:p>
        </w:tc>
      </w:tr>
    </w:tbl>
    <w:p w14:paraId="741D46FF" w14:textId="77777777" w:rsidR="003B4D3A" w:rsidRDefault="003B4D3A">
      <w:pPr>
        <w:divId w:val="1962615830"/>
        <w:rPr>
          <w:noProof/>
        </w:rPr>
      </w:pPr>
    </w:p>
    <w:p w14:paraId="31A8F256" w14:textId="67EE3925" w:rsidR="003B4D3A" w:rsidRDefault="003B4D3A">
      <w:pPr>
        <w:pStyle w:val="Authors-text"/>
      </w:pPr>
    </w:p>
    <w:sectPr w:rsidR="003B4D3A">
      <w:footnotePr>
        <w:pos w:val="beneathText"/>
      </w:footnotePr>
      <w:type w:val="continuous"/>
      <w:pgSz w:w="11905" w:h="16837"/>
      <w:pgMar w:top="1418" w:right="851" w:bottom="1418" w:left="1135" w:header="709" w:footer="708"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49E20" w14:textId="77777777" w:rsidR="00527322" w:rsidRDefault="00527322">
      <w:r>
        <w:separator/>
      </w:r>
    </w:p>
  </w:endnote>
  <w:endnote w:type="continuationSeparator" w:id="0">
    <w:p w14:paraId="74A7570B" w14:textId="77777777" w:rsidR="00527322" w:rsidRDefault="0052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ED71" w14:textId="77777777" w:rsidR="00527322" w:rsidRDefault="00527322">
      <w:r>
        <w:separator/>
      </w:r>
    </w:p>
  </w:footnote>
  <w:footnote w:type="continuationSeparator" w:id="0">
    <w:p w14:paraId="3B3FD255" w14:textId="77777777" w:rsidR="00527322" w:rsidRDefault="00527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7AB9" w14:textId="77777777" w:rsidR="00EF661E" w:rsidRDefault="00EF661E">
    <w:pPr>
      <w:pStyle w:val="Zhlav1"/>
    </w:pPr>
    <w:r>
      <w:fldChar w:fldCharType="begin"/>
    </w:r>
    <w:r>
      <w:instrText xml:space="preserve"> PAGE </w:instrText>
    </w:r>
    <w:r>
      <w:fldChar w:fldCharType="separate"/>
    </w:r>
    <w:r w:rsidR="007D362E">
      <w:rPr>
        <w:noProof/>
      </w:rPr>
      <w:t>2</w:t>
    </w:r>
    <w:r>
      <w:fldChar w:fldCharType="end"/>
    </w:r>
    <w:r>
      <w:tab/>
    </w:r>
    <w:r>
      <w:rPr>
        <w:color w:val="auto"/>
      </w:rPr>
      <w:t>F. S. Author, S. S. Author, Sample Paper for Poster 201</w:t>
    </w:r>
    <w:r w:rsidR="007D362E">
      <w:rPr>
        <w:color w:val="auto"/>
      </w:rPr>
      <w:t>9</w:t>
    </w:r>
    <w:r>
      <w:rPr>
        <w:color w:val="auto"/>
      </w:rPr>
      <w:t xml:space="preserve"> Conference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2EA6" w14:textId="77777777" w:rsidR="00EF661E" w:rsidRDefault="00EF661E">
    <w:pPr>
      <w:pStyle w:val="Zhlav1"/>
    </w:pPr>
    <w:r>
      <w:t>POSTER 201</w:t>
    </w:r>
    <w:r w:rsidR="00645802">
      <w:t>9</w:t>
    </w:r>
    <w:r>
      <w:t xml:space="preserve">, Prague May </w:t>
    </w:r>
    <w:r w:rsidR="00645802">
      <w:t>23</w:t>
    </w:r>
    <w:r>
      <w:tab/>
    </w:r>
    <w:r>
      <w:fldChar w:fldCharType="begin"/>
    </w:r>
    <w:r>
      <w:instrText xml:space="preserve"> PAGE </w:instrText>
    </w:r>
    <w:r>
      <w:fldChar w:fldCharType="separate"/>
    </w:r>
    <w:r w:rsidR="007D362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decimal"/>
      <w:pStyle w:val="Nadpis1"/>
      <w:lvlText w:val="%1."/>
      <w:lvlJc w:val="left"/>
      <w:pPr>
        <w:tabs>
          <w:tab w:val="num" w:pos="0"/>
        </w:tabs>
        <w:ind w:left="0" w:firstLine="0"/>
      </w:pPr>
    </w:lvl>
    <w:lvl w:ilvl="1">
      <w:start w:val="1"/>
      <w:numFmt w:val="decimal"/>
      <w:pStyle w:val="Nadpis2"/>
      <w:lvlText w:val="%1.%2"/>
      <w:lvlJc w:val="left"/>
      <w:pPr>
        <w:tabs>
          <w:tab w:val="num" w:pos="0"/>
        </w:tabs>
        <w:ind w:left="0" w:firstLine="0"/>
      </w:pPr>
    </w:lvl>
    <w:lvl w:ilvl="2">
      <w:start w:val="1"/>
      <w:numFmt w:val="decimal"/>
      <w:pStyle w:val="Nadpis3"/>
      <w:lvlText w:val="%1.%2.%3"/>
      <w:lvlJc w:val="left"/>
      <w:pPr>
        <w:tabs>
          <w:tab w:val="num" w:pos="0"/>
        </w:tabs>
        <w:ind w:left="0" w:firstLine="0"/>
      </w:pPr>
    </w:lvl>
    <w:lvl w:ilvl="3">
      <w:start w:val="1"/>
      <w:numFmt w:val="decimal"/>
      <w:pStyle w:val="Nadpis4"/>
      <w:lvlText w:val="%1.%2.%3.%4"/>
      <w:lvlJc w:val="left"/>
      <w:pPr>
        <w:tabs>
          <w:tab w:val="num" w:pos="0"/>
        </w:tabs>
        <w:ind w:left="0" w:firstLine="0"/>
      </w:pPr>
    </w:lvl>
    <w:lvl w:ilvl="4">
      <w:start w:val="1"/>
      <w:numFmt w:val="decimal"/>
      <w:pStyle w:val="Nadpis5"/>
      <w:lvlText w:val="%1.%2.%3.%4.%5"/>
      <w:lvlJc w:val="left"/>
      <w:pPr>
        <w:tabs>
          <w:tab w:val="num" w:pos="0"/>
        </w:tabs>
        <w:ind w:left="0" w:firstLine="0"/>
      </w:pPr>
    </w:lvl>
    <w:lvl w:ilvl="5">
      <w:start w:val="1"/>
      <w:numFmt w:val="decimal"/>
      <w:pStyle w:val="Nadpis6"/>
      <w:lvlText w:val="%1.%2.%3.%4.%5.%6"/>
      <w:lvlJc w:val="left"/>
      <w:pPr>
        <w:tabs>
          <w:tab w:val="num" w:pos="0"/>
        </w:tabs>
        <w:ind w:left="0" w:firstLine="0"/>
      </w:pPr>
    </w:lvl>
    <w:lvl w:ilvl="6">
      <w:start w:val="1"/>
      <w:numFmt w:val="decimal"/>
      <w:pStyle w:val="Nadpis7"/>
      <w:lvlText w:val="%1.%2.%3.%4.%5.%6.%7"/>
      <w:lvlJc w:val="left"/>
      <w:pPr>
        <w:tabs>
          <w:tab w:val="num" w:pos="0"/>
        </w:tabs>
        <w:ind w:left="0" w:firstLine="0"/>
      </w:pPr>
    </w:lvl>
    <w:lvl w:ilvl="7">
      <w:start w:val="1"/>
      <w:numFmt w:val="decimal"/>
      <w:pStyle w:val="Nadpis8"/>
      <w:lvlText w:val="%1.%2.%3.%4.%5.%6.%7.%8"/>
      <w:lvlJc w:val="left"/>
      <w:pPr>
        <w:tabs>
          <w:tab w:val="num" w:pos="0"/>
        </w:tabs>
        <w:ind w:left="0" w:firstLine="0"/>
      </w:pPr>
    </w:lvl>
    <w:lvl w:ilvl="8">
      <w:start w:val="1"/>
      <w:numFmt w:val="decimal"/>
      <w:pStyle w:val="Nadpis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
      <w:lvlText w:val="[%1]"/>
      <w:lvlJc w:val="left"/>
      <w:pPr>
        <w:tabs>
          <w:tab w:val="num" w:pos="340"/>
        </w:tabs>
        <w:ind w:left="340" w:hanging="340"/>
      </w:pPr>
    </w:lvl>
  </w:abstractNum>
  <w:abstractNum w:abstractNumId="2" w15:restartNumberingAfterBreak="0">
    <w:nsid w:val="00000003"/>
    <w:multiLevelType w:val="singleLevel"/>
    <w:tmpl w:val="00000003"/>
    <w:name w:val="WW8Num3"/>
    <w:lvl w:ilvl="0">
      <w:start w:val="1"/>
      <w:numFmt w:val="bullet"/>
      <w:pStyle w:val="Item"/>
      <w:lvlText w:val=""/>
      <w:lvlJc w:val="left"/>
      <w:pPr>
        <w:tabs>
          <w:tab w:val="num" w:pos="720"/>
        </w:tabs>
        <w:ind w:left="720" w:hanging="360"/>
      </w:pPr>
      <w:rPr>
        <w:rFonts w:ascii="Symbol" w:hAnsi="Symbol"/>
      </w:rPr>
    </w:lvl>
  </w:abstractNum>
  <w:abstractNum w:abstractNumId="3" w15:restartNumberingAfterBreak="0">
    <w:nsid w:val="00000004"/>
    <w:multiLevelType w:val="multilevel"/>
    <w:tmpl w:val="00000004"/>
    <w:name w:val="Outline"/>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C3sDQ2NTAzMjS2NLBU0lEKTi0uzszPAykwrAUAX4lflCwAAAA="/>
  </w:docVars>
  <w:rsids>
    <w:rsidRoot w:val="00092EE9"/>
    <w:rsid w:val="000019DB"/>
    <w:rsid w:val="00013C3B"/>
    <w:rsid w:val="000432DD"/>
    <w:rsid w:val="000435EA"/>
    <w:rsid w:val="000621F8"/>
    <w:rsid w:val="000734F7"/>
    <w:rsid w:val="000773A5"/>
    <w:rsid w:val="00092EE9"/>
    <w:rsid w:val="000F36BE"/>
    <w:rsid w:val="0011250A"/>
    <w:rsid w:val="001322A9"/>
    <w:rsid w:val="00156FFE"/>
    <w:rsid w:val="00162B37"/>
    <w:rsid w:val="00184577"/>
    <w:rsid w:val="001B2F79"/>
    <w:rsid w:val="001C7187"/>
    <w:rsid w:val="001C79A1"/>
    <w:rsid w:val="001D4E0B"/>
    <w:rsid w:val="001D7657"/>
    <w:rsid w:val="001F4091"/>
    <w:rsid w:val="00204DAB"/>
    <w:rsid w:val="002057CB"/>
    <w:rsid w:val="00231650"/>
    <w:rsid w:val="00266992"/>
    <w:rsid w:val="00274EFA"/>
    <w:rsid w:val="00276BDF"/>
    <w:rsid w:val="002B2EC1"/>
    <w:rsid w:val="002E0BB3"/>
    <w:rsid w:val="002F2F87"/>
    <w:rsid w:val="0032177E"/>
    <w:rsid w:val="00383486"/>
    <w:rsid w:val="003A0E0B"/>
    <w:rsid w:val="003A3500"/>
    <w:rsid w:val="003B4D3A"/>
    <w:rsid w:val="00413443"/>
    <w:rsid w:val="00417100"/>
    <w:rsid w:val="00426270"/>
    <w:rsid w:val="00465444"/>
    <w:rsid w:val="00472D8E"/>
    <w:rsid w:val="00476C35"/>
    <w:rsid w:val="00486251"/>
    <w:rsid w:val="004A7EE7"/>
    <w:rsid w:val="004B3B17"/>
    <w:rsid w:val="004D15B6"/>
    <w:rsid w:val="004E38F5"/>
    <w:rsid w:val="00500C0B"/>
    <w:rsid w:val="00503FAF"/>
    <w:rsid w:val="00527322"/>
    <w:rsid w:val="005551BF"/>
    <w:rsid w:val="0055536E"/>
    <w:rsid w:val="005613F3"/>
    <w:rsid w:val="005B3375"/>
    <w:rsid w:val="005B3853"/>
    <w:rsid w:val="005C55FD"/>
    <w:rsid w:val="005E0C37"/>
    <w:rsid w:val="006210E6"/>
    <w:rsid w:val="00645802"/>
    <w:rsid w:val="00652CC4"/>
    <w:rsid w:val="006740A1"/>
    <w:rsid w:val="006A433F"/>
    <w:rsid w:val="006B4A35"/>
    <w:rsid w:val="006F2E6C"/>
    <w:rsid w:val="007010A6"/>
    <w:rsid w:val="00705657"/>
    <w:rsid w:val="007278CD"/>
    <w:rsid w:val="0077522A"/>
    <w:rsid w:val="007A3EA5"/>
    <w:rsid w:val="007B742D"/>
    <w:rsid w:val="007D362E"/>
    <w:rsid w:val="007D623D"/>
    <w:rsid w:val="007E1215"/>
    <w:rsid w:val="00826292"/>
    <w:rsid w:val="0083148D"/>
    <w:rsid w:val="00894C3C"/>
    <w:rsid w:val="00894CAE"/>
    <w:rsid w:val="008A070D"/>
    <w:rsid w:val="008C53BA"/>
    <w:rsid w:val="008C7BA4"/>
    <w:rsid w:val="008D246E"/>
    <w:rsid w:val="008D4AAF"/>
    <w:rsid w:val="008D4E53"/>
    <w:rsid w:val="00946C8D"/>
    <w:rsid w:val="009A0F40"/>
    <w:rsid w:val="009C57DA"/>
    <w:rsid w:val="009D09F3"/>
    <w:rsid w:val="00A3195A"/>
    <w:rsid w:val="00A66B64"/>
    <w:rsid w:val="00A71FC7"/>
    <w:rsid w:val="00AC1EE5"/>
    <w:rsid w:val="00AC4F25"/>
    <w:rsid w:val="00AD14F2"/>
    <w:rsid w:val="00AD155B"/>
    <w:rsid w:val="00AE4524"/>
    <w:rsid w:val="00AE6C8B"/>
    <w:rsid w:val="00AF7F78"/>
    <w:rsid w:val="00B10EF3"/>
    <w:rsid w:val="00B27D7C"/>
    <w:rsid w:val="00B36F7B"/>
    <w:rsid w:val="00B53484"/>
    <w:rsid w:val="00B754DD"/>
    <w:rsid w:val="00BB1E8C"/>
    <w:rsid w:val="00BB4B77"/>
    <w:rsid w:val="00BC75C4"/>
    <w:rsid w:val="00C02A84"/>
    <w:rsid w:val="00C32C7E"/>
    <w:rsid w:val="00C447EE"/>
    <w:rsid w:val="00C47EFD"/>
    <w:rsid w:val="00C536C2"/>
    <w:rsid w:val="00C67FBB"/>
    <w:rsid w:val="00C95C15"/>
    <w:rsid w:val="00CB188A"/>
    <w:rsid w:val="00D21596"/>
    <w:rsid w:val="00D23B8C"/>
    <w:rsid w:val="00D51D04"/>
    <w:rsid w:val="00D53663"/>
    <w:rsid w:val="00D65274"/>
    <w:rsid w:val="00D841E7"/>
    <w:rsid w:val="00E63651"/>
    <w:rsid w:val="00E71122"/>
    <w:rsid w:val="00ED2A50"/>
    <w:rsid w:val="00EE354D"/>
    <w:rsid w:val="00EE5D92"/>
    <w:rsid w:val="00EE60B4"/>
    <w:rsid w:val="00EF661E"/>
    <w:rsid w:val="00F04CFD"/>
    <w:rsid w:val="00F2526B"/>
    <w:rsid w:val="00F2573C"/>
    <w:rsid w:val="00F31435"/>
    <w:rsid w:val="00F36E41"/>
    <w:rsid w:val="00F37B65"/>
    <w:rsid w:val="00F82F57"/>
    <w:rsid w:val="00F839A6"/>
    <w:rsid w:val="00FA135D"/>
    <w:rsid w:val="00FC61FD"/>
    <w:rsid w:val="00FE4E0B"/>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EA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pPr>
      <w:suppressAutoHyphens/>
      <w:spacing w:before="120"/>
      <w:ind w:firstLine="425"/>
      <w:jc w:val="both"/>
    </w:pPr>
    <w:rPr>
      <w:color w:val="000000"/>
      <w:lang w:val="en-US" w:eastAsia="ar-SA"/>
    </w:rPr>
  </w:style>
  <w:style w:type="paragraph" w:styleId="Nadpis1">
    <w:name w:val="heading 1"/>
    <w:basedOn w:val="Normln"/>
    <w:next w:val="Normln"/>
    <w:link w:val="Nadpis1Char"/>
    <w:uiPriority w:val="9"/>
    <w:qFormat/>
    <w:pPr>
      <w:keepNext/>
      <w:numPr>
        <w:numId w:val="1"/>
      </w:numPr>
      <w:spacing w:before="480"/>
      <w:jc w:val="left"/>
      <w:outlineLvl w:val="0"/>
    </w:pPr>
    <w:rPr>
      <w:b/>
      <w:kern w:val="1"/>
      <w:sz w:val="28"/>
    </w:rPr>
  </w:style>
  <w:style w:type="paragraph" w:styleId="Nadpis2">
    <w:name w:val="heading 2"/>
    <w:basedOn w:val="Normln"/>
    <w:next w:val="Normln"/>
    <w:qFormat/>
    <w:pPr>
      <w:keepNext/>
      <w:numPr>
        <w:ilvl w:val="1"/>
        <w:numId w:val="1"/>
      </w:numPr>
      <w:spacing w:before="360"/>
      <w:jc w:val="left"/>
      <w:outlineLvl w:val="1"/>
    </w:pPr>
    <w:rPr>
      <w:b/>
      <w:sz w:val="24"/>
    </w:rPr>
  </w:style>
  <w:style w:type="paragraph" w:styleId="Nadpis3">
    <w:name w:val="heading 3"/>
    <w:basedOn w:val="Normln"/>
    <w:next w:val="Normln"/>
    <w:qFormat/>
    <w:pPr>
      <w:keepNext/>
      <w:numPr>
        <w:ilvl w:val="2"/>
        <w:numId w:val="1"/>
      </w:numPr>
      <w:spacing w:before="240" w:after="60"/>
      <w:outlineLvl w:val="2"/>
    </w:pPr>
    <w:rPr>
      <w:b/>
      <w:sz w:val="24"/>
    </w:rPr>
  </w:style>
  <w:style w:type="paragraph" w:styleId="Nadpis4">
    <w:name w:val="heading 4"/>
    <w:basedOn w:val="Normln"/>
    <w:next w:val="Normln"/>
    <w:qFormat/>
    <w:pPr>
      <w:keepNext/>
      <w:numPr>
        <w:ilvl w:val="3"/>
        <w:numId w:val="1"/>
      </w:numPr>
      <w:spacing w:before="240" w:after="60"/>
      <w:outlineLvl w:val="3"/>
    </w:pPr>
    <w:rPr>
      <w:b/>
      <w:i/>
      <w:sz w:val="24"/>
    </w:rPr>
  </w:style>
  <w:style w:type="paragraph" w:styleId="Nadpis5">
    <w:name w:val="heading 5"/>
    <w:basedOn w:val="Normln"/>
    <w:next w:val="Normln"/>
    <w:qFormat/>
    <w:pPr>
      <w:numPr>
        <w:ilvl w:val="4"/>
        <w:numId w:val="1"/>
      </w:numPr>
      <w:spacing w:before="240" w:after="60"/>
      <w:outlineLvl w:val="4"/>
    </w:pPr>
    <w:rPr>
      <w:rFonts w:ascii="Arial" w:hAnsi="Arial"/>
      <w:sz w:val="22"/>
    </w:rPr>
  </w:style>
  <w:style w:type="paragraph" w:styleId="Nadpis6">
    <w:name w:val="heading 6"/>
    <w:basedOn w:val="Normln"/>
    <w:next w:val="Normln"/>
    <w:qFormat/>
    <w:pPr>
      <w:numPr>
        <w:ilvl w:val="5"/>
        <w:numId w:val="1"/>
      </w:numPr>
      <w:spacing w:before="240" w:after="60"/>
      <w:outlineLvl w:val="5"/>
    </w:pPr>
    <w:rPr>
      <w:rFonts w:ascii="Arial" w:hAnsi="Arial"/>
      <w:i/>
      <w:sz w:val="22"/>
    </w:rPr>
  </w:style>
  <w:style w:type="paragraph" w:styleId="Nadpis7">
    <w:name w:val="heading 7"/>
    <w:basedOn w:val="Normln"/>
    <w:next w:val="Normln"/>
    <w:qFormat/>
    <w:pPr>
      <w:numPr>
        <w:ilvl w:val="6"/>
        <w:numId w:val="1"/>
      </w:numPr>
      <w:spacing w:before="240" w:after="60"/>
      <w:outlineLvl w:val="6"/>
    </w:pPr>
    <w:rPr>
      <w:rFonts w:ascii="Arial" w:hAnsi="Arial"/>
    </w:rPr>
  </w:style>
  <w:style w:type="paragraph" w:styleId="Nadpis8">
    <w:name w:val="heading 8"/>
    <w:basedOn w:val="Normln"/>
    <w:next w:val="Normln"/>
    <w:qFormat/>
    <w:pPr>
      <w:numPr>
        <w:ilvl w:val="7"/>
        <w:numId w:val="1"/>
      </w:numPr>
      <w:spacing w:before="240" w:after="60"/>
      <w:outlineLvl w:val="7"/>
    </w:pPr>
    <w:rPr>
      <w:rFonts w:ascii="Arial" w:hAnsi="Arial"/>
      <w:i/>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Standardnpsmoodstavce1">
    <w:name w:val="Standardní písmo odstavce1"/>
  </w:style>
  <w:style w:type="character" w:styleId="slostrnky">
    <w:name w:val="page number"/>
    <w:basedOn w:val="Standardnpsmoodstavce1"/>
  </w:style>
  <w:style w:type="paragraph" w:styleId="Zkladntext">
    <w:name w:val="Body Text"/>
    <w:basedOn w:val="Normln"/>
    <w:pPr>
      <w:spacing w:before="0" w:after="120"/>
    </w:pPr>
  </w:style>
  <w:style w:type="paragraph" w:styleId="Seznam">
    <w:name w:val="List"/>
    <w:basedOn w:val="Zkladntext"/>
    <w:rPr>
      <w:rFonts w:cs="Tahoma"/>
    </w:rPr>
  </w:style>
  <w:style w:type="paragraph" w:customStyle="1" w:styleId="Popisek">
    <w:name w:val="Popisek"/>
    <w:basedOn w:val="Normln"/>
    <w:pPr>
      <w:suppressLineNumbers/>
      <w:spacing w:after="120"/>
    </w:pPr>
    <w:rPr>
      <w:rFonts w:cs="Tahoma"/>
      <w:i/>
      <w:iCs/>
    </w:rPr>
  </w:style>
  <w:style w:type="paragraph" w:customStyle="1" w:styleId="Rejstk">
    <w:name w:val="Rejstřík"/>
    <w:basedOn w:val="Normln"/>
    <w:pPr>
      <w:suppressLineNumbers/>
    </w:pPr>
    <w:rPr>
      <w:rFonts w:cs="Tahoma"/>
    </w:rPr>
  </w:style>
  <w:style w:type="paragraph" w:customStyle="1" w:styleId="Nadpis">
    <w:name w:val="Nadpis"/>
    <w:basedOn w:val="Normln"/>
    <w:next w:val="Zkladntext"/>
    <w:pPr>
      <w:keepNext/>
      <w:spacing w:before="240" w:after="120"/>
    </w:pPr>
    <w:rPr>
      <w:rFonts w:ascii="Arial" w:eastAsia="Lucida Sans Unicode" w:hAnsi="Arial" w:cs="Tahoma"/>
      <w:sz w:val="28"/>
      <w:szCs w:val="28"/>
    </w:rPr>
  </w:style>
  <w:style w:type="paragraph" w:customStyle="1" w:styleId="Reference">
    <w:name w:val="Reference"/>
    <w:pPr>
      <w:numPr>
        <w:numId w:val="2"/>
      </w:numPr>
      <w:suppressAutoHyphens/>
      <w:spacing w:before="120"/>
      <w:ind w:left="0" w:firstLine="0"/>
      <w:jc w:val="both"/>
    </w:pPr>
    <w:rPr>
      <w:color w:val="000000"/>
      <w:sz w:val="16"/>
      <w:lang w:val="en-GB" w:eastAsia="ar-SA"/>
    </w:rPr>
  </w:style>
  <w:style w:type="paragraph" w:customStyle="1" w:styleId="Figure">
    <w:name w:val="Figure"/>
    <w:basedOn w:val="Normln"/>
    <w:pPr>
      <w:spacing w:before="240"/>
      <w:ind w:firstLine="0"/>
      <w:jc w:val="center"/>
    </w:pPr>
  </w:style>
  <w:style w:type="paragraph" w:customStyle="1" w:styleId="Table">
    <w:name w:val="Table"/>
    <w:basedOn w:val="Normln"/>
    <w:pPr>
      <w:spacing w:before="40" w:after="40"/>
      <w:ind w:firstLine="0"/>
      <w:jc w:val="center"/>
    </w:pPr>
    <w:rPr>
      <w:rFonts w:ascii="Arial" w:hAnsi="Arial" w:cs="Arial"/>
      <w:b/>
      <w:bCs/>
      <w:sz w:val="16"/>
    </w:rPr>
  </w:style>
  <w:style w:type="paragraph" w:customStyle="1" w:styleId="Zhlav1">
    <w:name w:val="Záhlaví1"/>
    <w:basedOn w:val="Normln"/>
    <w:pPr>
      <w:pBdr>
        <w:bottom w:val="single" w:sz="4" w:space="4" w:color="000000"/>
      </w:pBdr>
      <w:tabs>
        <w:tab w:val="right" w:pos="9921"/>
      </w:tabs>
      <w:spacing w:after="360"/>
      <w:ind w:firstLine="0"/>
    </w:pPr>
    <w:rPr>
      <w:rFonts w:ascii="Arial" w:hAnsi="Arial"/>
      <w:caps/>
      <w:sz w:val="16"/>
    </w:rPr>
  </w:style>
  <w:style w:type="paragraph" w:customStyle="1" w:styleId="Gap">
    <w:name w:val="Gap"/>
    <w:basedOn w:val="Normln"/>
    <w:pPr>
      <w:spacing w:before="0"/>
      <w:ind w:firstLine="0"/>
      <w:jc w:val="left"/>
    </w:pPr>
    <w:rPr>
      <w:sz w:val="12"/>
    </w:rPr>
  </w:style>
  <w:style w:type="paragraph" w:customStyle="1" w:styleId="Abstract">
    <w:name w:val="Abstract"/>
    <w:basedOn w:val="Normln"/>
    <w:pPr>
      <w:spacing w:before="0" w:after="120"/>
      <w:ind w:firstLine="0"/>
    </w:pPr>
    <w:rPr>
      <w:bCs/>
      <w:i/>
      <w:iCs/>
    </w:rPr>
  </w:style>
  <w:style w:type="paragraph" w:customStyle="1" w:styleId="Continuing">
    <w:name w:val="Continuing"/>
    <w:basedOn w:val="Normln"/>
    <w:pPr>
      <w:ind w:firstLine="0"/>
    </w:pPr>
  </w:style>
  <w:style w:type="paragraph" w:customStyle="1" w:styleId="Item">
    <w:name w:val="Item"/>
    <w:basedOn w:val="Continuing"/>
    <w:pPr>
      <w:numPr>
        <w:numId w:val="3"/>
      </w:numPr>
      <w:tabs>
        <w:tab w:val="left" w:pos="426"/>
      </w:tabs>
      <w:ind w:left="-578" w:firstLine="0"/>
    </w:pPr>
  </w:style>
  <w:style w:type="paragraph" w:customStyle="1" w:styleId="Keywords">
    <w:name w:val="Keywords"/>
    <w:basedOn w:val="Normln"/>
    <w:pPr>
      <w:spacing w:before="480"/>
      <w:ind w:firstLine="0"/>
      <w:jc w:val="left"/>
    </w:pPr>
    <w:rPr>
      <w:b/>
      <w:sz w:val="28"/>
    </w:rPr>
  </w:style>
  <w:style w:type="paragraph" w:customStyle="1" w:styleId="Keywordstext">
    <w:name w:val="Keywords text"/>
    <w:basedOn w:val="Normln"/>
    <w:pPr>
      <w:ind w:left="425" w:firstLine="0"/>
    </w:pPr>
  </w:style>
  <w:style w:type="paragraph" w:customStyle="1" w:styleId="Description">
    <w:name w:val="Description"/>
    <w:basedOn w:val="Normln"/>
    <w:pPr>
      <w:ind w:left="851" w:right="254" w:hanging="567"/>
    </w:pPr>
    <w:rPr>
      <w:bCs/>
      <w:sz w:val="16"/>
    </w:rPr>
  </w:style>
  <w:style w:type="paragraph" w:customStyle="1" w:styleId="Equation">
    <w:name w:val="Equation"/>
    <w:basedOn w:val="Normln"/>
    <w:pPr>
      <w:tabs>
        <w:tab w:val="right" w:pos="4790"/>
      </w:tabs>
      <w:ind w:left="425" w:firstLine="0"/>
    </w:pPr>
  </w:style>
  <w:style w:type="paragraph" w:customStyle="1" w:styleId="Reference-headline">
    <w:name w:val="Reference - headline"/>
    <w:basedOn w:val="Normln"/>
    <w:pPr>
      <w:spacing w:before="480"/>
      <w:ind w:firstLine="0"/>
      <w:jc w:val="left"/>
    </w:pPr>
    <w:rPr>
      <w:b/>
      <w:sz w:val="28"/>
    </w:rPr>
  </w:style>
  <w:style w:type="paragraph" w:customStyle="1" w:styleId="Authors">
    <w:name w:val="Authors"/>
    <w:basedOn w:val="Normln"/>
    <w:pPr>
      <w:spacing w:before="480"/>
      <w:ind w:firstLine="0"/>
      <w:jc w:val="center"/>
    </w:pPr>
    <w:rPr>
      <w:b/>
      <w:sz w:val="28"/>
    </w:rPr>
  </w:style>
  <w:style w:type="paragraph" w:customStyle="1" w:styleId="Authors-text">
    <w:name w:val="Authors - text"/>
    <w:basedOn w:val="Normln"/>
    <w:pPr>
      <w:ind w:firstLine="0"/>
    </w:pPr>
    <w:rPr>
      <w:bCs/>
    </w:rPr>
  </w:style>
  <w:style w:type="paragraph" w:customStyle="1" w:styleId="Nzev1">
    <w:name w:val="Název1"/>
    <w:basedOn w:val="Normln"/>
    <w:pPr>
      <w:spacing w:before="240"/>
      <w:ind w:firstLine="0"/>
      <w:jc w:val="center"/>
    </w:pPr>
    <w:rPr>
      <w:b/>
      <w:bCs/>
      <w:sz w:val="40"/>
    </w:rPr>
  </w:style>
  <w:style w:type="paragraph" w:customStyle="1" w:styleId="Title-authors">
    <w:name w:val="Title-authors"/>
    <w:basedOn w:val="Normln"/>
    <w:pPr>
      <w:spacing w:before="360"/>
      <w:ind w:firstLine="0"/>
      <w:jc w:val="center"/>
    </w:pPr>
    <w:rPr>
      <w:i/>
      <w:iCs/>
      <w:sz w:val="24"/>
    </w:rPr>
  </w:style>
  <w:style w:type="paragraph" w:customStyle="1" w:styleId="Title-address">
    <w:name w:val="Title-address"/>
    <w:basedOn w:val="Normln"/>
    <w:pPr>
      <w:spacing w:before="240"/>
      <w:ind w:firstLine="0"/>
      <w:jc w:val="center"/>
    </w:pPr>
  </w:style>
  <w:style w:type="paragraph" w:styleId="Zkladntextodsazen">
    <w:name w:val="Body Text Indent"/>
    <w:basedOn w:val="Normln"/>
  </w:style>
  <w:style w:type="paragraph" w:styleId="Zpat">
    <w:name w:val="footer"/>
    <w:basedOn w:val="Normln"/>
    <w:pPr>
      <w:tabs>
        <w:tab w:val="center" w:pos="4536"/>
        <w:tab w:val="right" w:pos="9072"/>
      </w:tabs>
    </w:pPr>
  </w:style>
  <w:style w:type="paragraph" w:styleId="Zhlav">
    <w:name w:val="header"/>
    <w:basedOn w:val="Normln"/>
    <w:pPr>
      <w:tabs>
        <w:tab w:val="center" w:pos="4536"/>
        <w:tab w:val="right" w:pos="9072"/>
      </w:tabs>
    </w:p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i/>
      <w:iCs/>
    </w:rPr>
  </w:style>
  <w:style w:type="character" w:styleId="Hypertextovodkaz">
    <w:name w:val="Hyperlink"/>
    <w:rsid w:val="00B36F7B"/>
    <w:rPr>
      <w:color w:val="0563C1"/>
      <w:u w:val="single"/>
    </w:rPr>
  </w:style>
  <w:style w:type="character" w:styleId="Nevyeenzmnka">
    <w:name w:val="Unresolved Mention"/>
    <w:uiPriority w:val="99"/>
    <w:semiHidden/>
    <w:unhideWhenUsed/>
    <w:rsid w:val="00B36F7B"/>
    <w:rPr>
      <w:color w:val="605E5C"/>
      <w:shd w:val="clear" w:color="auto" w:fill="E1DFDD"/>
    </w:rPr>
  </w:style>
  <w:style w:type="paragraph" w:styleId="Bezmezer">
    <w:name w:val="No Spacing"/>
    <w:uiPriority w:val="1"/>
    <w:qFormat/>
    <w:rsid w:val="00C32C7E"/>
    <w:pPr>
      <w:suppressAutoHyphens/>
      <w:jc w:val="center"/>
    </w:pPr>
    <w:rPr>
      <w:color w:val="000000"/>
      <w:lang w:val="en-US" w:eastAsia="ar-SA"/>
    </w:rPr>
  </w:style>
  <w:style w:type="table" w:styleId="Mkatabulky">
    <w:name w:val="Table Grid"/>
    <w:basedOn w:val="Normlntabulka"/>
    <w:uiPriority w:val="39"/>
    <w:rsid w:val="00EE354D"/>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draznnjemn">
    <w:name w:val="Subtle Emphasis"/>
    <w:uiPriority w:val="19"/>
    <w:qFormat/>
    <w:rsid w:val="00EE354D"/>
    <w:rPr>
      <w:i/>
      <w:iCs/>
      <w:color w:val="404040"/>
    </w:rPr>
  </w:style>
  <w:style w:type="paragraph" w:styleId="Titulek">
    <w:name w:val="caption"/>
    <w:basedOn w:val="Normln"/>
    <w:next w:val="Normln"/>
    <w:unhideWhenUsed/>
    <w:qFormat/>
    <w:rsid w:val="006A433F"/>
    <w:rPr>
      <w:b/>
      <w:bCs/>
      <w:sz w:val="16"/>
    </w:rPr>
  </w:style>
  <w:style w:type="paragraph" w:styleId="Bibliografie">
    <w:name w:val="Bibliography"/>
    <w:basedOn w:val="Normln"/>
    <w:next w:val="Normln"/>
    <w:uiPriority w:val="37"/>
    <w:unhideWhenUsed/>
    <w:rsid w:val="00705657"/>
    <w:pPr>
      <w:ind w:firstLine="0"/>
      <w:jc w:val="left"/>
    </w:pPr>
    <w:rPr>
      <w:sz w:val="16"/>
    </w:rPr>
  </w:style>
  <w:style w:type="character" w:styleId="Odkaznakoment">
    <w:name w:val="annotation reference"/>
    <w:rsid w:val="00476C35"/>
    <w:rPr>
      <w:sz w:val="16"/>
      <w:szCs w:val="16"/>
    </w:rPr>
  </w:style>
  <w:style w:type="paragraph" w:styleId="Textkomente">
    <w:name w:val="annotation text"/>
    <w:basedOn w:val="Normln"/>
    <w:link w:val="TextkomenteChar"/>
    <w:rsid w:val="00476C35"/>
  </w:style>
  <w:style w:type="character" w:customStyle="1" w:styleId="TextkomenteChar">
    <w:name w:val="Text komentáře Char"/>
    <w:link w:val="Textkomente"/>
    <w:rsid w:val="00476C35"/>
    <w:rPr>
      <w:color w:val="000000"/>
      <w:lang w:val="en-US" w:eastAsia="ar-SA"/>
    </w:rPr>
  </w:style>
  <w:style w:type="paragraph" w:styleId="Pedmtkomente">
    <w:name w:val="annotation subject"/>
    <w:basedOn w:val="Textkomente"/>
    <w:next w:val="Textkomente"/>
    <w:link w:val="PedmtkomenteChar"/>
    <w:rsid w:val="00476C35"/>
    <w:rPr>
      <w:b/>
      <w:bCs/>
    </w:rPr>
  </w:style>
  <w:style w:type="character" w:customStyle="1" w:styleId="PedmtkomenteChar">
    <w:name w:val="Předmět komentáře Char"/>
    <w:link w:val="Pedmtkomente"/>
    <w:rsid w:val="00476C35"/>
    <w:rPr>
      <w:b/>
      <w:bCs/>
      <w:color w:val="000000"/>
      <w:lang w:val="en-US" w:eastAsia="ar-SA"/>
    </w:rPr>
  </w:style>
  <w:style w:type="paragraph" w:styleId="Textbubliny">
    <w:name w:val="Balloon Text"/>
    <w:basedOn w:val="Normln"/>
    <w:link w:val="TextbublinyChar"/>
    <w:rsid w:val="00476C35"/>
    <w:pPr>
      <w:spacing w:before="0"/>
    </w:pPr>
    <w:rPr>
      <w:rFonts w:ascii="Segoe UI" w:hAnsi="Segoe UI" w:cs="Segoe UI"/>
      <w:sz w:val="18"/>
      <w:szCs w:val="18"/>
    </w:rPr>
  </w:style>
  <w:style w:type="character" w:customStyle="1" w:styleId="TextbublinyChar">
    <w:name w:val="Text bubliny Char"/>
    <w:link w:val="Textbubliny"/>
    <w:rsid w:val="00476C35"/>
    <w:rPr>
      <w:rFonts w:ascii="Segoe UI" w:hAnsi="Segoe UI" w:cs="Segoe UI"/>
      <w:color w:val="000000"/>
      <w:sz w:val="18"/>
      <w:szCs w:val="18"/>
      <w:lang w:val="en-US" w:eastAsia="ar-SA"/>
    </w:rPr>
  </w:style>
  <w:style w:type="character" w:customStyle="1" w:styleId="Nadpis1Char">
    <w:name w:val="Nadpis 1 Char"/>
    <w:link w:val="Nadpis1"/>
    <w:uiPriority w:val="9"/>
    <w:rsid w:val="001C79A1"/>
    <w:rPr>
      <w:b/>
      <w:color w:val="000000"/>
      <w:kern w:val="1"/>
      <w:sz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1832">
      <w:bodyDiv w:val="1"/>
      <w:marLeft w:val="0"/>
      <w:marRight w:val="0"/>
      <w:marTop w:val="0"/>
      <w:marBottom w:val="0"/>
      <w:divBdr>
        <w:top w:val="none" w:sz="0" w:space="0" w:color="auto"/>
        <w:left w:val="none" w:sz="0" w:space="0" w:color="auto"/>
        <w:bottom w:val="none" w:sz="0" w:space="0" w:color="auto"/>
        <w:right w:val="none" w:sz="0" w:space="0" w:color="auto"/>
      </w:divBdr>
    </w:div>
    <w:div w:id="309361527">
      <w:bodyDiv w:val="1"/>
      <w:marLeft w:val="0"/>
      <w:marRight w:val="0"/>
      <w:marTop w:val="0"/>
      <w:marBottom w:val="0"/>
      <w:divBdr>
        <w:top w:val="none" w:sz="0" w:space="0" w:color="auto"/>
        <w:left w:val="none" w:sz="0" w:space="0" w:color="auto"/>
        <w:bottom w:val="none" w:sz="0" w:space="0" w:color="auto"/>
        <w:right w:val="none" w:sz="0" w:space="0" w:color="auto"/>
      </w:divBdr>
    </w:div>
    <w:div w:id="315884114">
      <w:bodyDiv w:val="1"/>
      <w:marLeft w:val="0"/>
      <w:marRight w:val="0"/>
      <w:marTop w:val="0"/>
      <w:marBottom w:val="0"/>
      <w:divBdr>
        <w:top w:val="none" w:sz="0" w:space="0" w:color="auto"/>
        <w:left w:val="none" w:sz="0" w:space="0" w:color="auto"/>
        <w:bottom w:val="none" w:sz="0" w:space="0" w:color="auto"/>
        <w:right w:val="none" w:sz="0" w:space="0" w:color="auto"/>
      </w:divBdr>
    </w:div>
    <w:div w:id="447895967">
      <w:bodyDiv w:val="1"/>
      <w:marLeft w:val="0"/>
      <w:marRight w:val="0"/>
      <w:marTop w:val="0"/>
      <w:marBottom w:val="0"/>
      <w:divBdr>
        <w:top w:val="none" w:sz="0" w:space="0" w:color="auto"/>
        <w:left w:val="none" w:sz="0" w:space="0" w:color="auto"/>
        <w:bottom w:val="none" w:sz="0" w:space="0" w:color="auto"/>
        <w:right w:val="none" w:sz="0" w:space="0" w:color="auto"/>
      </w:divBdr>
    </w:div>
    <w:div w:id="461922683">
      <w:bodyDiv w:val="1"/>
      <w:marLeft w:val="0"/>
      <w:marRight w:val="0"/>
      <w:marTop w:val="0"/>
      <w:marBottom w:val="0"/>
      <w:divBdr>
        <w:top w:val="none" w:sz="0" w:space="0" w:color="auto"/>
        <w:left w:val="none" w:sz="0" w:space="0" w:color="auto"/>
        <w:bottom w:val="none" w:sz="0" w:space="0" w:color="auto"/>
        <w:right w:val="none" w:sz="0" w:space="0" w:color="auto"/>
      </w:divBdr>
      <w:divsChild>
        <w:div w:id="193153373">
          <w:marLeft w:val="0"/>
          <w:marRight w:val="0"/>
          <w:marTop w:val="0"/>
          <w:marBottom w:val="0"/>
          <w:divBdr>
            <w:top w:val="none" w:sz="0" w:space="0" w:color="auto"/>
            <w:left w:val="none" w:sz="0" w:space="0" w:color="auto"/>
            <w:bottom w:val="none" w:sz="0" w:space="0" w:color="auto"/>
            <w:right w:val="none" w:sz="0" w:space="0" w:color="auto"/>
          </w:divBdr>
          <w:divsChild>
            <w:div w:id="252789191">
              <w:marLeft w:val="0"/>
              <w:marRight w:val="0"/>
              <w:marTop w:val="0"/>
              <w:marBottom w:val="0"/>
              <w:divBdr>
                <w:top w:val="none" w:sz="0" w:space="0" w:color="auto"/>
                <w:left w:val="none" w:sz="0" w:space="0" w:color="auto"/>
                <w:bottom w:val="none" w:sz="0" w:space="0" w:color="auto"/>
                <w:right w:val="none" w:sz="0" w:space="0" w:color="auto"/>
              </w:divBdr>
              <w:divsChild>
                <w:div w:id="1515074928">
                  <w:marLeft w:val="0"/>
                  <w:marRight w:val="0"/>
                  <w:marTop w:val="0"/>
                  <w:marBottom w:val="0"/>
                  <w:divBdr>
                    <w:top w:val="none" w:sz="0" w:space="0" w:color="auto"/>
                    <w:left w:val="none" w:sz="0" w:space="0" w:color="auto"/>
                    <w:bottom w:val="none" w:sz="0" w:space="0" w:color="auto"/>
                    <w:right w:val="none" w:sz="0" w:space="0" w:color="auto"/>
                  </w:divBdr>
                  <w:divsChild>
                    <w:div w:id="1807315885">
                      <w:marLeft w:val="0"/>
                      <w:marRight w:val="0"/>
                      <w:marTop w:val="0"/>
                      <w:marBottom w:val="0"/>
                      <w:divBdr>
                        <w:top w:val="none" w:sz="0" w:space="0" w:color="auto"/>
                        <w:left w:val="none" w:sz="0" w:space="0" w:color="auto"/>
                        <w:bottom w:val="none" w:sz="0" w:space="0" w:color="auto"/>
                        <w:right w:val="none" w:sz="0" w:space="0" w:color="auto"/>
                      </w:divBdr>
                      <w:divsChild>
                        <w:div w:id="525169248">
                          <w:marLeft w:val="0"/>
                          <w:marRight w:val="0"/>
                          <w:marTop w:val="0"/>
                          <w:marBottom w:val="0"/>
                          <w:divBdr>
                            <w:top w:val="none" w:sz="0" w:space="0" w:color="auto"/>
                            <w:left w:val="none" w:sz="0" w:space="0" w:color="auto"/>
                            <w:bottom w:val="none" w:sz="0" w:space="0" w:color="auto"/>
                            <w:right w:val="none" w:sz="0" w:space="0" w:color="auto"/>
                          </w:divBdr>
                          <w:divsChild>
                            <w:div w:id="114252564">
                              <w:marLeft w:val="0"/>
                              <w:marRight w:val="300"/>
                              <w:marTop w:val="180"/>
                              <w:marBottom w:val="0"/>
                              <w:divBdr>
                                <w:top w:val="none" w:sz="0" w:space="0" w:color="auto"/>
                                <w:left w:val="none" w:sz="0" w:space="0" w:color="auto"/>
                                <w:bottom w:val="none" w:sz="0" w:space="0" w:color="auto"/>
                                <w:right w:val="none" w:sz="0" w:space="0" w:color="auto"/>
                              </w:divBdr>
                              <w:divsChild>
                                <w:div w:id="828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3296">
          <w:marLeft w:val="0"/>
          <w:marRight w:val="0"/>
          <w:marTop w:val="0"/>
          <w:marBottom w:val="0"/>
          <w:divBdr>
            <w:top w:val="none" w:sz="0" w:space="0" w:color="auto"/>
            <w:left w:val="none" w:sz="0" w:space="0" w:color="auto"/>
            <w:bottom w:val="none" w:sz="0" w:space="0" w:color="auto"/>
            <w:right w:val="none" w:sz="0" w:space="0" w:color="auto"/>
          </w:divBdr>
          <w:divsChild>
            <w:div w:id="1117330296">
              <w:marLeft w:val="0"/>
              <w:marRight w:val="0"/>
              <w:marTop w:val="0"/>
              <w:marBottom w:val="0"/>
              <w:divBdr>
                <w:top w:val="none" w:sz="0" w:space="0" w:color="auto"/>
                <w:left w:val="none" w:sz="0" w:space="0" w:color="auto"/>
                <w:bottom w:val="none" w:sz="0" w:space="0" w:color="auto"/>
                <w:right w:val="none" w:sz="0" w:space="0" w:color="auto"/>
              </w:divBdr>
              <w:divsChild>
                <w:div w:id="1448894879">
                  <w:marLeft w:val="0"/>
                  <w:marRight w:val="0"/>
                  <w:marTop w:val="0"/>
                  <w:marBottom w:val="0"/>
                  <w:divBdr>
                    <w:top w:val="none" w:sz="0" w:space="0" w:color="auto"/>
                    <w:left w:val="none" w:sz="0" w:space="0" w:color="auto"/>
                    <w:bottom w:val="none" w:sz="0" w:space="0" w:color="auto"/>
                    <w:right w:val="none" w:sz="0" w:space="0" w:color="auto"/>
                  </w:divBdr>
                  <w:divsChild>
                    <w:div w:id="491065240">
                      <w:marLeft w:val="0"/>
                      <w:marRight w:val="0"/>
                      <w:marTop w:val="0"/>
                      <w:marBottom w:val="0"/>
                      <w:divBdr>
                        <w:top w:val="none" w:sz="0" w:space="0" w:color="auto"/>
                        <w:left w:val="none" w:sz="0" w:space="0" w:color="auto"/>
                        <w:bottom w:val="none" w:sz="0" w:space="0" w:color="auto"/>
                        <w:right w:val="none" w:sz="0" w:space="0" w:color="auto"/>
                      </w:divBdr>
                      <w:divsChild>
                        <w:div w:id="2964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583">
      <w:bodyDiv w:val="1"/>
      <w:marLeft w:val="0"/>
      <w:marRight w:val="0"/>
      <w:marTop w:val="0"/>
      <w:marBottom w:val="0"/>
      <w:divBdr>
        <w:top w:val="none" w:sz="0" w:space="0" w:color="auto"/>
        <w:left w:val="none" w:sz="0" w:space="0" w:color="auto"/>
        <w:bottom w:val="none" w:sz="0" w:space="0" w:color="auto"/>
        <w:right w:val="none" w:sz="0" w:space="0" w:color="auto"/>
      </w:divBdr>
    </w:div>
    <w:div w:id="645822232">
      <w:bodyDiv w:val="1"/>
      <w:marLeft w:val="0"/>
      <w:marRight w:val="0"/>
      <w:marTop w:val="0"/>
      <w:marBottom w:val="0"/>
      <w:divBdr>
        <w:top w:val="none" w:sz="0" w:space="0" w:color="auto"/>
        <w:left w:val="none" w:sz="0" w:space="0" w:color="auto"/>
        <w:bottom w:val="none" w:sz="0" w:space="0" w:color="auto"/>
        <w:right w:val="none" w:sz="0" w:space="0" w:color="auto"/>
      </w:divBdr>
    </w:div>
    <w:div w:id="690495964">
      <w:bodyDiv w:val="1"/>
      <w:marLeft w:val="0"/>
      <w:marRight w:val="0"/>
      <w:marTop w:val="0"/>
      <w:marBottom w:val="0"/>
      <w:divBdr>
        <w:top w:val="none" w:sz="0" w:space="0" w:color="auto"/>
        <w:left w:val="none" w:sz="0" w:space="0" w:color="auto"/>
        <w:bottom w:val="none" w:sz="0" w:space="0" w:color="auto"/>
        <w:right w:val="none" w:sz="0" w:space="0" w:color="auto"/>
      </w:divBdr>
    </w:div>
    <w:div w:id="753471962">
      <w:bodyDiv w:val="1"/>
      <w:marLeft w:val="0"/>
      <w:marRight w:val="0"/>
      <w:marTop w:val="0"/>
      <w:marBottom w:val="0"/>
      <w:divBdr>
        <w:top w:val="none" w:sz="0" w:space="0" w:color="auto"/>
        <w:left w:val="none" w:sz="0" w:space="0" w:color="auto"/>
        <w:bottom w:val="none" w:sz="0" w:space="0" w:color="auto"/>
        <w:right w:val="none" w:sz="0" w:space="0" w:color="auto"/>
      </w:divBdr>
    </w:div>
    <w:div w:id="826702448">
      <w:bodyDiv w:val="1"/>
      <w:marLeft w:val="0"/>
      <w:marRight w:val="0"/>
      <w:marTop w:val="0"/>
      <w:marBottom w:val="0"/>
      <w:divBdr>
        <w:top w:val="none" w:sz="0" w:space="0" w:color="auto"/>
        <w:left w:val="none" w:sz="0" w:space="0" w:color="auto"/>
        <w:bottom w:val="none" w:sz="0" w:space="0" w:color="auto"/>
        <w:right w:val="none" w:sz="0" w:space="0" w:color="auto"/>
      </w:divBdr>
    </w:div>
    <w:div w:id="890074341">
      <w:bodyDiv w:val="1"/>
      <w:marLeft w:val="0"/>
      <w:marRight w:val="0"/>
      <w:marTop w:val="0"/>
      <w:marBottom w:val="0"/>
      <w:divBdr>
        <w:top w:val="none" w:sz="0" w:space="0" w:color="auto"/>
        <w:left w:val="none" w:sz="0" w:space="0" w:color="auto"/>
        <w:bottom w:val="none" w:sz="0" w:space="0" w:color="auto"/>
        <w:right w:val="none" w:sz="0" w:space="0" w:color="auto"/>
      </w:divBdr>
    </w:div>
    <w:div w:id="901907405">
      <w:bodyDiv w:val="1"/>
      <w:marLeft w:val="0"/>
      <w:marRight w:val="0"/>
      <w:marTop w:val="0"/>
      <w:marBottom w:val="0"/>
      <w:divBdr>
        <w:top w:val="none" w:sz="0" w:space="0" w:color="auto"/>
        <w:left w:val="none" w:sz="0" w:space="0" w:color="auto"/>
        <w:bottom w:val="none" w:sz="0" w:space="0" w:color="auto"/>
        <w:right w:val="none" w:sz="0" w:space="0" w:color="auto"/>
      </w:divBdr>
    </w:div>
    <w:div w:id="1007368004">
      <w:bodyDiv w:val="1"/>
      <w:marLeft w:val="0"/>
      <w:marRight w:val="0"/>
      <w:marTop w:val="0"/>
      <w:marBottom w:val="0"/>
      <w:divBdr>
        <w:top w:val="none" w:sz="0" w:space="0" w:color="auto"/>
        <w:left w:val="none" w:sz="0" w:space="0" w:color="auto"/>
        <w:bottom w:val="none" w:sz="0" w:space="0" w:color="auto"/>
        <w:right w:val="none" w:sz="0" w:space="0" w:color="auto"/>
      </w:divBdr>
    </w:div>
    <w:div w:id="1061177543">
      <w:bodyDiv w:val="1"/>
      <w:marLeft w:val="0"/>
      <w:marRight w:val="0"/>
      <w:marTop w:val="0"/>
      <w:marBottom w:val="0"/>
      <w:divBdr>
        <w:top w:val="none" w:sz="0" w:space="0" w:color="auto"/>
        <w:left w:val="none" w:sz="0" w:space="0" w:color="auto"/>
        <w:bottom w:val="none" w:sz="0" w:space="0" w:color="auto"/>
        <w:right w:val="none" w:sz="0" w:space="0" w:color="auto"/>
      </w:divBdr>
    </w:div>
    <w:div w:id="1061755606">
      <w:bodyDiv w:val="1"/>
      <w:marLeft w:val="0"/>
      <w:marRight w:val="0"/>
      <w:marTop w:val="0"/>
      <w:marBottom w:val="0"/>
      <w:divBdr>
        <w:top w:val="none" w:sz="0" w:space="0" w:color="auto"/>
        <w:left w:val="none" w:sz="0" w:space="0" w:color="auto"/>
        <w:bottom w:val="none" w:sz="0" w:space="0" w:color="auto"/>
        <w:right w:val="none" w:sz="0" w:space="0" w:color="auto"/>
      </w:divBdr>
    </w:div>
    <w:div w:id="1121877459">
      <w:bodyDiv w:val="1"/>
      <w:marLeft w:val="0"/>
      <w:marRight w:val="0"/>
      <w:marTop w:val="0"/>
      <w:marBottom w:val="0"/>
      <w:divBdr>
        <w:top w:val="none" w:sz="0" w:space="0" w:color="auto"/>
        <w:left w:val="none" w:sz="0" w:space="0" w:color="auto"/>
        <w:bottom w:val="none" w:sz="0" w:space="0" w:color="auto"/>
        <w:right w:val="none" w:sz="0" w:space="0" w:color="auto"/>
      </w:divBdr>
    </w:div>
    <w:div w:id="1216968565">
      <w:bodyDiv w:val="1"/>
      <w:marLeft w:val="0"/>
      <w:marRight w:val="0"/>
      <w:marTop w:val="0"/>
      <w:marBottom w:val="0"/>
      <w:divBdr>
        <w:top w:val="none" w:sz="0" w:space="0" w:color="auto"/>
        <w:left w:val="none" w:sz="0" w:space="0" w:color="auto"/>
        <w:bottom w:val="none" w:sz="0" w:space="0" w:color="auto"/>
        <w:right w:val="none" w:sz="0" w:space="0" w:color="auto"/>
      </w:divBdr>
    </w:div>
    <w:div w:id="1306928596">
      <w:bodyDiv w:val="1"/>
      <w:marLeft w:val="0"/>
      <w:marRight w:val="0"/>
      <w:marTop w:val="0"/>
      <w:marBottom w:val="0"/>
      <w:divBdr>
        <w:top w:val="none" w:sz="0" w:space="0" w:color="auto"/>
        <w:left w:val="none" w:sz="0" w:space="0" w:color="auto"/>
        <w:bottom w:val="none" w:sz="0" w:space="0" w:color="auto"/>
        <w:right w:val="none" w:sz="0" w:space="0" w:color="auto"/>
      </w:divBdr>
    </w:div>
    <w:div w:id="1324816471">
      <w:bodyDiv w:val="1"/>
      <w:marLeft w:val="0"/>
      <w:marRight w:val="0"/>
      <w:marTop w:val="0"/>
      <w:marBottom w:val="0"/>
      <w:divBdr>
        <w:top w:val="none" w:sz="0" w:space="0" w:color="auto"/>
        <w:left w:val="none" w:sz="0" w:space="0" w:color="auto"/>
        <w:bottom w:val="none" w:sz="0" w:space="0" w:color="auto"/>
        <w:right w:val="none" w:sz="0" w:space="0" w:color="auto"/>
      </w:divBdr>
    </w:div>
    <w:div w:id="1386833864">
      <w:bodyDiv w:val="1"/>
      <w:marLeft w:val="0"/>
      <w:marRight w:val="0"/>
      <w:marTop w:val="0"/>
      <w:marBottom w:val="0"/>
      <w:divBdr>
        <w:top w:val="none" w:sz="0" w:space="0" w:color="auto"/>
        <w:left w:val="none" w:sz="0" w:space="0" w:color="auto"/>
        <w:bottom w:val="none" w:sz="0" w:space="0" w:color="auto"/>
        <w:right w:val="none" w:sz="0" w:space="0" w:color="auto"/>
      </w:divBdr>
    </w:div>
    <w:div w:id="1563171413">
      <w:bodyDiv w:val="1"/>
      <w:marLeft w:val="0"/>
      <w:marRight w:val="0"/>
      <w:marTop w:val="0"/>
      <w:marBottom w:val="0"/>
      <w:divBdr>
        <w:top w:val="none" w:sz="0" w:space="0" w:color="auto"/>
        <w:left w:val="none" w:sz="0" w:space="0" w:color="auto"/>
        <w:bottom w:val="none" w:sz="0" w:space="0" w:color="auto"/>
        <w:right w:val="none" w:sz="0" w:space="0" w:color="auto"/>
      </w:divBdr>
    </w:div>
    <w:div w:id="1671592914">
      <w:bodyDiv w:val="1"/>
      <w:marLeft w:val="0"/>
      <w:marRight w:val="0"/>
      <w:marTop w:val="0"/>
      <w:marBottom w:val="0"/>
      <w:divBdr>
        <w:top w:val="none" w:sz="0" w:space="0" w:color="auto"/>
        <w:left w:val="none" w:sz="0" w:space="0" w:color="auto"/>
        <w:bottom w:val="none" w:sz="0" w:space="0" w:color="auto"/>
        <w:right w:val="none" w:sz="0" w:space="0" w:color="auto"/>
      </w:divBdr>
    </w:div>
    <w:div w:id="1697467507">
      <w:bodyDiv w:val="1"/>
      <w:marLeft w:val="0"/>
      <w:marRight w:val="0"/>
      <w:marTop w:val="0"/>
      <w:marBottom w:val="0"/>
      <w:divBdr>
        <w:top w:val="none" w:sz="0" w:space="0" w:color="auto"/>
        <w:left w:val="none" w:sz="0" w:space="0" w:color="auto"/>
        <w:bottom w:val="none" w:sz="0" w:space="0" w:color="auto"/>
        <w:right w:val="none" w:sz="0" w:space="0" w:color="auto"/>
      </w:divBdr>
    </w:div>
    <w:div w:id="1720932467">
      <w:bodyDiv w:val="1"/>
      <w:marLeft w:val="0"/>
      <w:marRight w:val="0"/>
      <w:marTop w:val="0"/>
      <w:marBottom w:val="0"/>
      <w:divBdr>
        <w:top w:val="none" w:sz="0" w:space="0" w:color="auto"/>
        <w:left w:val="none" w:sz="0" w:space="0" w:color="auto"/>
        <w:bottom w:val="none" w:sz="0" w:space="0" w:color="auto"/>
        <w:right w:val="none" w:sz="0" w:space="0" w:color="auto"/>
      </w:divBdr>
    </w:div>
    <w:div w:id="1743746648">
      <w:bodyDiv w:val="1"/>
      <w:marLeft w:val="0"/>
      <w:marRight w:val="0"/>
      <w:marTop w:val="0"/>
      <w:marBottom w:val="0"/>
      <w:divBdr>
        <w:top w:val="none" w:sz="0" w:space="0" w:color="auto"/>
        <w:left w:val="none" w:sz="0" w:space="0" w:color="auto"/>
        <w:bottom w:val="none" w:sz="0" w:space="0" w:color="auto"/>
        <w:right w:val="none" w:sz="0" w:space="0" w:color="auto"/>
      </w:divBdr>
    </w:div>
    <w:div w:id="1908683400">
      <w:bodyDiv w:val="1"/>
      <w:marLeft w:val="0"/>
      <w:marRight w:val="0"/>
      <w:marTop w:val="0"/>
      <w:marBottom w:val="0"/>
      <w:divBdr>
        <w:top w:val="none" w:sz="0" w:space="0" w:color="auto"/>
        <w:left w:val="none" w:sz="0" w:space="0" w:color="auto"/>
        <w:bottom w:val="none" w:sz="0" w:space="0" w:color="auto"/>
        <w:right w:val="none" w:sz="0" w:space="0" w:color="auto"/>
      </w:divBdr>
    </w:div>
    <w:div w:id="1958486316">
      <w:bodyDiv w:val="1"/>
      <w:marLeft w:val="0"/>
      <w:marRight w:val="0"/>
      <w:marTop w:val="0"/>
      <w:marBottom w:val="0"/>
      <w:divBdr>
        <w:top w:val="none" w:sz="0" w:space="0" w:color="auto"/>
        <w:left w:val="none" w:sz="0" w:space="0" w:color="auto"/>
        <w:bottom w:val="none" w:sz="0" w:space="0" w:color="auto"/>
        <w:right w:val="none" w:sz="0" w:space="0" w:color="auto"/>
      </w:divBdr>
    </w:div>
    <w:div w:id="1962615830">
      <w:bodyDiv w:val="1"/>
      <w:marLeft w:val="0"/>
      <w:marRight w:val="0"/>
      <w:marTop w:val="0"/>
      <w:marBottom w:val="0"/>
      <w:divBdr>
        <w:top w:val="none" w:sz="0" w:space="0" w:color="auto"/>
        <w:left w:val="none" w:sz="0" w:space="0" w:color="auto"/>
        <w:bottom w:val="none" w:sz="0" w:space="0" w:color="auto"/>
        <w:right w:val="none" w:sz="0" w:space="0" w:color="auto"/>
      </w:divBdr>
    </w:div>
    <w:div w:id="1967002343">
      <w:bodyDiv w:val="1"/>
      <w:marLeft w:val="0"/>
      <w:marRight w:val="0"/>
      <w:marTop w:val="0"/>
      <w:marBottom w:val="0"/>
      <w:divBdr>
        <w:top w:val="none" w:sz="0" w:space="0" w:color="auto"/>
        <w:left w:val="none" w:sz="0" w:space="0" w:color="auto"/>
        <w:bottom w:val="none" w:sz="0" w:space="0" w:color="auto"/>
        <w:right w:val="none" w:sz="0" w:space="0" w:color="auto"/>
      </w:divBdr>
    </w:div>
    <w:div w:id="1992636620">
      <w:bodyDiv w:val="1"/>
      <w:marLeft w:val="0"/>
      <w:marRight w:val="0"/>
      <w:marTop w:val="0"/>
      <w:marBottom w:val="0"/>
      <w:divBdr>
        <w:top w:val="none" w:sz="0" w:space="0" w:color="auto"/>
        <w:left w:val="none" w:sz="0" w:space="0" w:color="auto"/>
        <w:bottom w:val="none" w:sz="0" w:space="0" w:color="auto"/>
        <w:right w:val="none" w:sz="0" w:space="0" w:color="auto"/>
      </w:divBdr>
    </w:div>
    <w:div w:id="21140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McN17</b:Tag>
    <b:SourceType>Book</b:SourceType>
    <b:Guid>{11B09020-267A-46B4-8619-FF2AA00E18DE}</b:Guid>
    <b:Title>Towards improving ViSQOL</b:Title>
    <b:Year>2017</b:Year>
    <b:Author>
      <b:Author>
        <b:NameList>
          <b:Person>
            <b:Last>McNally</b:Last>
            <b:First>Joseph</b:First>
          </b:Person>
        </b:NameList>
      </b:Author>
    </b:Author>
    <b:City>Dublin</b:City>
    <b:Publisher>Dublin Institute of Technology</b:Publisher>
    <b:RefOrder>2</b:RefOrder>
  </b:Source>
  <b:Source>
    <b:Tag>Eur17</b:Tag>
    <b:SourceType>Patent</b:SourceType>
    <b:Guid>{29D2124F-3CD1-4326-8949-5BB8233E2505}</b:Guid>
    <b:Title>Digital Audio Broadcasting (DAB)</b:Title>
    <b:Year>2017</b:Year>
    <b:Author>
      <b:Inventor>
        <b:NameList>
          <b:Person>
            <b:Last>Institute</b:Last>
            <b:First>European</b:First>
            <b:Middle>Telecommunications Standards</b:Middle>
          </b:Person>
        </b:NameList>
      </b:Inventor>
    </b:Author>
    <b:PatentNumber>ETSI TS 102 563 V2.1.1</b:PatentNumber>
    <b:RefOrder>3</b:RefOrder>
  </b:Source>
  <b:Source>
    <b:Tag>ITU97</b:Tag>
    <b:SourceType>Patent</b:SourceType>
    <b:Guid>{30C1A896-DB70-4AD6-B489-E8A324B74CBA}</b:Guid>
    <b:Author>
      <b:Inventor>
        <b:NameList>
          <b:Person>
            <b:Last>ITU-R</b:Last>
          </b:Person>
        </b:NameList>
      </b:Inventor>
    </b:Author>
    <b:Title>Methods for the subjective assessment of small impairments in audio systems</b:Title>
    <b:Year>1997</b:Year>
    <b:PatentNumber>ITU-R BS.1116-1</b:PatentNumber>
    <b:RefOrder>4</b:RefOrder>
  </b:Source>
  <b:Source>
    <b:Tag>ITU03</b:Tag>
    <b:SourceType>Patent</b:SourceType>
    <b:Guid>{3DE56EDE-53DC-4262-A199-FAAA2B064A84}</b:Guid>
    <b:Author>
      <b:Inventor>
        <b:NameList>
          <b:Person>
            <b:Last>ITU-R</b:Last>
          </b:Person>
        </b:NameList>
      </b:Inventor>
    </b:Author>
    <b:Title>Method for the subjective assessment of intermediate quality level of coding systems</b:Title>
    <b:Year>2003</b:Year>
    <b:PatentNumber>ITU-R BS.1534-1</b:PatentNumber>
    <b:RefOrder>1</b:RefOrder>
  </b:Source>
  <b:Source>
    <b:Tag>ITU01</b:Tag>
    <b:SourceType>Patent</b:SourceType>
    <b:Guid>{602DBD7D-2595-4E41-924D-D0284394CA6C}</b:Guid>
    <b:Author>
      <b:Inventor>
        <b:NameList>
          <b:Person>
            <b:Last>ITU-R</b:Last>
          </b:Person>
        </b:NameList>
      </b:Inventor>
    </b:Author>
    <b:Title>Method for objective measurements of perceived audio quality</b:Title>
    <b:Year>2001</b:Year>
    <b:PatentNumber>ITU-R BS.1387-1</b:PatentNumber>
    <b:RefOrder>5</b:RefOrder>
  </b:Source>
  <b:Source>
    <b:Tag>Pet02</b:Tag>
    <b:SourceType>InternetSite</b:SourceType>
    <b:Guid>{6DAACFF1-875D-4FBE-9A64-60C4DFB37026}</b:Guid>
    <b:Title>GitHub</b:Title>
    <b:Year>2002</b:Year>
    <b:Author>
      <b:Author>
        <b:NameList>
          <b:Person>
            <b:Last>Kabal</b:Last>
            <b:First>Peter</b:First>
          </b:Person>
        </b:NameList>
      </b:Author>
    </b:Author>
    <b:URL>https://github.com/NikolajAndersson/PEAQ</b:URL>
    <b:RefOrder>6</b:RefOrder>
  </b:Source>
  <b:Source>
    <b:Tag>Fra181</b:Tag>
    <b:SourceType>JournalArticle</b:SourceType>
    <b:Guid>{F0408662-9C71-4B85-B714-2D61C5104242}</b:Guid>
    <b:Title>Comparison of Two Objective Methods of Quality Assessment for Digital Audio Broadcasting</b:Title>
    <b:Year>2018</b:Year>
    <b:Author>
      <b:Author>
        <b:NameList>
          <b:Person>
            <b:Last>Rund</b:Last>
            <b:First>František</b:First>
          </b:Person>
          <b:Person>
            <b:Last>Ulovec</b:Last>
            <b:First>Karel</b:First>
          </b:Person>
        </b:NameList>
      </b:Author>
    </b:Author>
    <b:JournalName>Radioelektronika</b:JournalName>
    <b:RefOrder>7</b:RefOrder>
  </b:Source>
  <b:Source>
    <b:Tag>Pet16</b:Tag>
    <b:SourceType>JournalArticle</b:SourceType>
    <b:Guid>{1D0EBEE4-9669-4D32-939E-C0F91C240B9B}</b:Guid>
    <b:Author>
      <b:Author>
        <b:NameList>
          <b:Person>
            <b:Last>Počta</b:Last>
            <b:First>Peter</b:First>
          </b:Person>
          <b:Person>
            <b:Last>Beerends</b:Last>
            <b:First>John</b:First>
            <b:Middle>G.</b:Middle>
          </b:Person>
        </b:NameList>
      </b:Author>
    </b:Author>
    <b:Title>Subjective and Objective Assessment of Perceived Audio Quality of Current Digital Audio Broadcasting Systems and Web-Casting Applications</b:Title>
    <b:JournalName>IEEE TRANSACTIONS ON BROADCASTING</b:JournalName>
    <b:Year>2016</b:Year>
    <b:Volume>16</b:Volume>
    <b:Issue>3</b:Issue>
    <b:RefOrder>8</b:RefOrder>
  </b:Source>
  <b:Source>
    <b:Tag>FFM</b:Tag>
    <b:SourceType>InternetSite</b:SourceType>
    <b:Guid>{4C187E49-E6AD-4DEA-805C-B0998CC1596D}</b:Guid>
    <b:Title>FFMpeg Documentation</b:Title>
    <b:Year>2019</b:Year>
    <b:Author>
      <b:Author>
        <b:NameList>
          <b:Person>
            <b:Last>FFmpeg-project</b:Last>
          </b:Person>
        </b:NameList>
      </b:Author>
    </b:Author>
    <b:URL>https://ffmpeg.org/documentation.html</b:URL>
    <b:RefOrder>9</b:RefOrder>
  </b:Source>
  <b:Source>
    <b:Tag>Mik</b:Tag>
    <b:SourceType>InternetSite</b:SourceType>
    <b:Guid>{3B2F0E1C-408B-4597-9723-B7F95E7327AD}</b:Guid>
    <b:Author>
      <b:Author>
        <b:NameList>
          <b:Person>
            <b:Last>Cheng</b:Last>
            <b:First>Mike</b:First>
          </b:Person>
        </b:NameList>
      </b:Author>
    </b:Author>
    <b:Title>TwoLame</b:Title>
    <b:URL>http://www.twolame.org/</b:URL>
    <b:RefOrder>10</b:RefOrder>
  </b:Source>
  <b:Source>
    <b:Tag>Opt19</b:Tag>
    <b:SourceType>InternetSite</b:SourceType>
    <b:Guid>{D79EB356-1B48-4125-B8F4-E2908CDD9084}</b:Guid>
    <b:Author>
      <b:Author>
        <b:NameList>
          <b:Person>
            <b:Last>Opticom</b:Last>
          </b:Person>
        </b:NameList>
      </b:Author>
    </b:Author>
    <b:Title>OPERA™ </b:Title>
    <b:ProductionCompany>Opticom</b:ProductionCompany>
    <b:Year>2019</b:Year>
    <b:URL>https://www.opticom.de/products/opera.php</b:URL>
    <b:RefOrder>11</b:RefOrder>
  </b:Source>
  <b:Source>
    <b:Tag>Hin12</b:Tag>
    <b:SourceType>JournalArticle</b:SourceType>
    <b:Guid>{FD5FCCB4-14BD-4D92-A333-7CF9EFF38AF5}</b:Guid>
    <b:Title>ViSQOL: The Virtual Speech Quality</b:Title>
    <b:Year>2012</b:Year>
    <b:Author>
      <b:Author>
        <b:NameList>
          <b:Person>
            <b:Last>Hines</b:Last>
            <b:First>A.</b:First>
          </b:Person>
          <b:Person>
            <b:Last>Skoglund</b:Last>
            <b:First>J.</b:First>
          </b:Person>
          <b:Person>
            <b:Last>Kokaram</b:Last>
            <b:First>A.</b:First>
          </b:Person>
        </b:NameList>
      </b:Author>
    </b:Author>
    <b:JournalName>Acoustic Echo Noise Control (IWAENC), IEEE Intl. Workshop</b:JournalName>
    <b:ConferenceName>IEEE Intl. Workshop</b:ConferenceName>
    <b:RefOrder>12</b:RefOrder>
  </b:Source>
</b:Sources>
</file>

<file path=customXml/itemProps1.xml><?xml version="1.0" encoding="utf-8"?>
<ds:datastoreItem xmlns:ds="http://schemas.openxmlformats.org/officeDocument/2006/customXml" ds:itemID="{B47578BA-496A-44EA-BC7D-3A25D04C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1547</Words>
  <Characters>9128</Characters>
  <Application>Microsoft Office Word</Application>
  <DocSecurity>2</DocSecurity>
  <Lines>76</Lines>
  <Paragraphs>21</Paragraphs>
  <ScaleCrop>false</ScaleCrop>
  <HeadingPairs>
    <vt:vector size="2" baseType="variant">
      <vt:variant>
        <vt:lpstr>Název</vt:lpstr>
      </vt:variant>
      <vt:variant>
        <vt:i4>1</vt:i4>
      </vt:variant>
    </vt:vector>
  </HeadingPairs>
  <TitlesOfParts>
    <vt:vector size="1" baseType="lpstr">
      <vt:lpstr>Sample Paper for Poster Conference</vt:lpstr>
    </vt:vector>
  </TitlesOfParts>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for Poster Conference</dc:title>
  <dc:subject/>
  <dc:creator/>
  <cp:keywords/>
  <cp:lastModifiedBy/>
  <cp:revision>1</cp:revision>
  <cp:lastPrinted>2009-02-17T15:23:00Z</cp:lastPrinted>
  <dcterms:created xsi:type="dcterms:W3CDTF">2019-03-27T19:40:00Z</dcterms:created>
  <dcterms:modified xsi:type="dcterms:W3CDTF">2019-04-28T21:07:00Z</dcterms:modified>
</cp:coreProperties>
</file>