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PRISMA Y FICHA DE EXTRACCIÓN DE DATOS: GEOESTADÍSTICA Y APRENDIZAJE AUTOMÁTICO EN LA PREDICCIÓN ESPACIAL EN REGIONES MONTAÑOSAS</w:t>
      </w:r>
    </w:p>
    <w:p>
      <w:pPr>
        <w:spacing w:after="200" w:before="0" w:line="264"/>
      </w:pPr>
      <w:r>
        <w:rPr>
          <w:rFonts w:ascii="Times New Roman" w:cs="Times New Roman" w:eastAsia="Times New Roman" w:hAnsi="Times New Roman"/>
          <w:b/>
          <w:bCs/>
          <w:color w:val="0070C0"/>
          <w:sz w:val="24"/>
          <w:szCs w:val="24"/>
        </w:rPr>
        <w:t xml:space="preserve">Apellidos y Nombres: </w:t>
      </w:r>
      <w:r>
        <w:rPr>
          <w:rFonts w:ascii="Times New Roman" w:cs="Times New Roman" w:eastAsia="Times New Roman" w:hAnsi="Times New Roman"/>
          <w:b/>
          <w:bCs/>
          <w:color w:val="0070C0"/>
          <w:sz w:val="24"/>
          <w:szCs w:val="24"/>
        </w:rPr>
        <w:t xml:space="preserve">Colquehuanca Zapana, Kris Ximena; Laura Livise, Yeferson Dariun; Leon Mamani, Obed Eliu; Portillo Machaca, Kevin Pleyer</w:t>
      </w:r>
    </w:p>
    <w:p>
      <w:pPr>
        <w:spacing w:after="60" w:before="120" w:line="252"/>
      </w:pPr>
      <w:r>
        <w:rPr>
          <w:rFonts w:ascii="Times New Roman" w:cs="Times New Roman" w:eastAsia="Times New Roman" w:hAnsi="Times New Roman"/>
          <w:b/>
          <w:bCs/>
          <w:color w:val="00B050"/>
          <w:sz w:val="24"/>
          <w:szCs w:val="24"/>
        </w:rPr>
        <w:t xml:space="preserve">Ecuación canónica</w:t>
      </w:r>
    </w:p>
    <w:p>
      <w:pPr>
        <w:spacing w:after="70" w:before="0" w:line="250"/>
        <w:ind w:left="720"/>
      </w:pPr>
      <w:r>
        <w:rPr>
          <w:rFonts w:ascii="Times New Roman" w:cs="Times New Roman" w:eastAsia="Times New Roman" w:hAnsi="Times New Roman"/>
          <w:i w:val="false"/>
          <w:iCs w:val="false"/>
          <w:sz w:val="21"/>
          <w:szCs w:val="21"/>
        </w:rPr>
        <w:t xml:space="preserve">La ecuación encadena cinco bloques con AND; dentro de cada bloque los sinónimos van con OR y truncamiento (*). Los bloques 1 a 4 reproducen el PICO y el bloque 5 fuerza que el estudio reporte desempeño predictivo.</w:t>
      </w:r>
    </w:p>
    <w:p>
      <w:pPr>
        <w:spacing w:after="70" w:before="120" w:line="264"/>
      </w:pPr>
      <w:r>
        <w:rPr>
          <w:rFonts w:ascii="Times New Roman" w:cs="Times New Roman" w:eastAsia="Times New Roman" w:hAnsi="Times New Roman"/>
          <w:b/>
          <w:bCs/>
          <w:color w:val="FF0000"/>
          <w:sz w:val="24"/>
          <w:szCs w:val="24"/>
        </w:rPr>
        <w:t xml:space="preserve">Bloques de términos: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VARIABLE (P)</w:t>
            </w:r>
          </w:p>
        </w:tc>
        <w:tc>
          <w:tcPr>
            <w:tcW w:type="dxa" w:w="8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precipitation OR rainfall OR "air temperature" OR "drought index" OR SPI OR SPEI OR VCI OR PM2.5 OR "particulate matter"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CONTEXTO (P)</w:t>
            </w:r>
          </w:p>
        </w:tc>
        <w:tc>
          <w:tcPr>
            <w:tcW w:type="dxa" w:w="8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mountain* OR alpine OR highland* OR "complex terrain" OR "high altitude" OR Andes OR Andean OR Altiplano OR Himalaya* OR "Tibetan Plateau"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GEOESTADÍSTICA (I)</w:t>
            </w:r>
          </w:p>
        </w:tc>
        <w:tc>
          <w:tcPr>
            <w:tcW w:type="dxa" w:w="8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kriging OR cokriging OR geostatistic* OR variogram OR semivariogram OR "regression kriging" OR "external drift" OR "geographically weighted regression" OR GWR OR "Bayesian spatial"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APRENDIZAJE (C)</w:t>
            </w:r>
          </w:p>
        </w:tc>
        <w:tc>
          <w:tcPr>
            <w:tcW w:type="dxa" w:w="8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"machine learning" OR "random forest" OR XGBoost OR "gradient boosting" OR "support vector" OR "neural network*" OR "deep learning"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DESEMPEÑO (O)</w:t>
            </w:r>
          </w:p>
        </w:tc>
        <w:tc>
          <w:tcPr>
            <w:tcW w:type="dxa" w:w="8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RMSE OR "root mean square error" OR MAE OR "cross-validation" OR "predictive performance" OR "interpolation accuracy" OR validation</w:t>
            </w:r>
          </w:p>
        </w:tc>
      </w:tr>
    </w:tbl>
    <w:p>
      <w:pPr>
        <w:spacing w:after="100" w:before="0" w:line="250"/>
        <w:ind w:left="720"/>
      </w:pPr>
      <w:r>
        <w:rPr>
          <w:rFonts w:ascii="Times New Roman" w:cs="Times New Roman" w:eastAsia="Times New Roman" w:hAnsi="Times New Roman"/>
          <w:i w:val="false"/>
          <w:iCs w:val="false"/>
          <w:sz w:val="21"/>
          <w:szCs w:val="21"/>
        </w:rPr>
        <w:t xml:space="preserve">Ecuación canónica: (B1) AND (B2) AND (B3) AND (B4) AND (B5), con el rango 2015–2026 y restricción a artículos de revista y actas revisadas por pares.</w:t>
      </w:r>
    </w:p>
    <w:p>
      <w:pPr>
        <w:spacing w:after="70" w:before="120" w:line="264"/>
      </w:pPr>
      <w:r>
        <w:rPr>
          <w:rFonts w:ascii="Times New Roman" w:cs="Times New Roman" w:eastAsia="Times New Roman" w:hAnsi="Times New Roman"/>
          <w:b/>
          <w:bCs/>
          <w:color w:val="FF0000"/>
          <w:sz w:val="24"/>
          <w:szCs w:val="24"/>
        </w:rPr>
        <w:t xml:space="preserve">Sintaxis por base de datos: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SCOPUS</w:t>
            </w:r>
          </w:p>
        </w:tc>
        <w:tc>
          <w:tcPr>
            <w:tcW w:type="dxa" w:w="8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TITLE-ABS-KEY((B1) AND (B2) AND (B3) AND (B4) AND (B5)) AND PUBYEAR &gt; 2014 AND (LIMIT-TO(DOCTYPE,"ar") OR LIMIT-TO(DOCTYPE,"cp"))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WEB OF SCIENCE</w:t>
            </w:r>
          </w:p>
        </w:tc>
        <w:tc>
          <w:tcPr>
            <w:tcW w:type="dxa" w:w="8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TS=((B1) AND (B2) AND (B3) AND (B4) AND (B5)), refinado por año 2015–2026 y tipo Article o Proceedings Paper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SCIELO Y REDALYC</w:t>
            </w:r>
          </w:p>
        </w:tc>
        <w:tc>
          <w:tcPr>
            <w:tcW w:type="dxa" w:w="8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Bloques 1 a 4 en español e inglés: (precipitación OR temperatura OR sequía OR "material particulado") AND (montañ* OR andin* OR altiplano OR altoandin*) AND (kriging OR geoestadística OR "regresión ponderada") AND ("aprendizaje automático" OR "bosques aleatorios" OR "redes neuronales")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GOOGLE SCHOLAR</w:t>
            </w:r>
          </w:p>
        </w:tc>
        <w:tc>
          <w:tcPr>
            <w:tcW w:type="dxa" w:w="8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Versión reducida, sin bloque 5, limitada a los primeros 200 resultados por relevancia; solo para búsqueda complementaria y rastreo de citas</w:t>
            </w:r>
          </w:p>
        </w:tc>
      </w:tr>
    </w:tbl>
    <w:p>
      <w:pPr>
        <w:spacing w:after="80" w:before="0" w:line="250"/>
        <w:ind w:left="720"/>
      </w:pPr>
      <w:r>
        <w:rPr>
          <w:rFonts w:ascii="Times New Roman" w:cs="Times New Roman" w:eastAsia="Times New Roman" w:hAnsi="Times New Roman"/>
          <w:i w:val="false"/>
          <w:iCs w:val="false"/>
          <w:sz w:val="21"/>
          <w:szCs w:val="21"/>
        </w:rPr>
        <w:t xml:space="preserve">Búsquedas complementarias: revisión de las listas de referencias de los estudios incluidos (bola de nieve hacia atrás) y rastreo de citas en Google Scholar de los dos artículos semilla.</w:t>
      </w:r>
    </w:p>
    <w:p>
      <w:pPr>
        <w:spacing w:after="60" w:before="120" w:line="252"/>
      </w:pPr>
      <w:r>
        <w:rPr>
          <w:rFonts w:ascii="Times New Roman" w:cs="Times New Roman" w:eastAsia="Times New Roman" w:hAnsi="Times New Roman"/>
          <w:b/>
          <w:bCs/>
          <w:color w:val="00B050"/>
          <w:sz w:val="24"/>
          <w:szCs w:val="24"/>
        </w:rPr>
        <w:t xml:space="preserve">Filtrado: criterios de inclusión y exclusión</w:t>
      </w:r>
    </w:p>
    <w:p>
      <w:pPr>
        <w:spacing w:after="70" w:before="0" w:line="250"/>
        <w:ind w:left="720"/>
      </w:pPr>
      <w:r>
        <w:rPr>
          <w:rFonts w:ascii="Times New Roman" w:cs="Times New Roman" w:eastAsia="Times New Roman" w:hAnsi="Times New Roman"/>
          <w:i w:val="false"/>
          <w:iCs w:val="false"/>
          <w:sz w:val="21"/>
          <w:szCs w:val="21"/>
        </w:rPr>
        <w:t xml:space="preserve">El cribado lo hacen dos revisores de forma independiente, primero sobre título y resumen y luego sobre texto completo; los desacuerdos los resuelve un tercer revisor y la concordancia se reporta con kappa de Cohen.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70"/>
        <w:gridCol w:w="437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Criterio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 incluye si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 excluye si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Diseño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Estudio primario que ajusta y evalúa modelos de predicción espacial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Revisión, editorial, resumen de congreso sin datos, capítulo divulgativo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Periodo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Publicado entre 2015 y 2026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Anterior a 2015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Área de estudio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Región montañosa con parte sustancial del dominio sobre 1000 m s. n. m.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Llanura, costa, océano o dominio global sin estrato de montaña separable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Densidad de red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Red escasa: menos de 1 estación por cada 100 km² o declarada escasa por los autores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Red densa urbana o experimental sin relación con el problema de escasez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Precipitación, temperatura del aire, índices de sequía (SPI, SPEI, VCI) o PM2.5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Suelos, biomasa, caudal u otras variables fuera del PICO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Métodos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 menos un método geoestadístico y al menos un algoritmo de aprendizaje automático, con covariables comparables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 solo método; solo métodos determinísticos (IDW, splines, Thiessen) sin brazo de aprendizaje automático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Desempeño fuera de muestra contra estaciones: k-fold, leave-one-out, espacial por bloques o conjunto de prueba independiente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Solo error de ajuste en entrenamiento, o validación contra otro producto grillado sin estaciones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Métricas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Reporta RMSE, MAE, R², KGE o sesgo por método, con tamaño de muestra o número de estaciones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reporta métricas por método separado, o solo muestra mapas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Idioma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Inglés, español o portugués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Otros idiomas sin traducción disponible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Acceso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Texto completo recuperable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Texto completo no recuperable tras solicitud a los autores</w:t>
            </w:r>
          </w:p>
        </w:tc>
      </w:tr>
    </w:tbl>
    <w:p>
      <w:pPr>
        <w:spacing w:after="80" w:before="0" w:line="250"/>
        <w:ind w:left="720"/>
      </w:pPr>
      <w:r>
        <w:rPr>
          <w:rFonts w:ascii="Times New Roman" w:cs="Times New Roman" w:eastAsia="Times New Roman" w:hAnsi="Times New Roman"/>
          <w:i w:val="false"/>
          <w:iCs w:val="false"/>
          <w:sz w:val="21"/>
          <w:szCs w:val="21"/>
        </w:rPr>
        <w:t xml:space="preserve">Duplicados: se eliminan por DOI y por título normalizado antes del cribado. Informes múltiples del mismo conjunto de datos y la misma área se tratan como un solo estudio y se conserva el más completo.</w:t>
      </w:r>
    </w:p>
    <w:p>
      <w:pPr>
        <w:spacing w:after="60" w:before="120" w:line="252"/>
      </w:pPr>
      <w:r>
        <w:rPr>
          <w:rFonts w:ascii="Times New Roman" w:cs="Times New Roman" w:eastAsia="Times New Roman" w:hAnsi="Times New Roman"/>
          <w:b/>
          <w:bCs/>
          <w:color w:val="00B050"/>
          <w:sz w:val="24"/>
          <w:szCs w:val="24"/>
        </w:rPr>
        <w:t xml:space="preserve">PRISMA</w:t>
      </w:r>
    </w:p>
    <w:p>
      <w:pPr>
        <w:spacing w:after="30" w:before="30"/>
        <w:jc w:val="center"/>
      </w:pPr>
      <w:r>
        <w:drawing>
          <wp:inline distT="0" distB="0" distL="0" distR="0">
            <wp:extent cx="409575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3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1. Flujo PRISMA de cuatro fases. Búsqueda exploratoria de octubre de 2026.</w:t>
      </w:r>
    </w:p>
    <w:p>
      <w:pPr>
        <w:spacing w:after="70" w:before="0" w:line="250"/>
        <w:ind w:left="720"/>
      </w:pPr>
      <w:r>
        <w:rPr>
          <w:rFonts w:ascii="Times New Roman" w:cs="Times New Roman" w:eastAsia="Times New Roman" w:hAnsi="Times New Roman"/>
          <w:i w:val="false"/>
          <w:iCs w:val="false"/>
          <w:sz w:val="21"/>
          <w:szCs w:val="21"/>
        </w:rPr>
        <w:t xml:space="preserve">Los conteos provienen de la búsqueda exploratoria de octubre de 2026 en buscadores académicos abiertos y de los dos artículos semilla. Al ejecutar la ecuación canónica en Scopus, Web of Science y SciELO se reemplazarán por los conteos por base, como exige el reporte PRISMA 2020. El protocolo se registrará en OSF antes del cribado definitivo.</w:t>
      </w:r>
    </w:p>
    <w:p>
      <w:pPr>
        <w:spacing w:after="60" w:before="120" w:line="252"/>
      </w:pPr>
      <w:r>
        <w:rPr>
          <w:rFonts w:ascii="Times New Roman" w:cs="Times New Roman" w:eastAsia="Times New Roman" w:hAnsi="Times New Roman"/>
          <w:b/>
          <w:bCs/>
          <w:color w:val="00B050"/>
          <w:sz w:val="24"/>
          <w:szCs w:val="24"/>
        </w:rPr>
        <w:t xml:space="preserve">Ficha de extracción de datos</w:t>
      </w:r>
    </w:p>
    <w:p>
      <w:pPr>
        <w:spacing w:after="70" w:before="0" w:line="250"/>
        <w:ind w:left="720"/>
      </w:pPr>
      <w:r>
        <w:rPr>
          <w:rFonts w:ascii="Times New Roman" w:cs="Times New Roman" w:eastAsia="Times New Roman" w:hAnsi="Times New Roman"/>
          <w:i w:val="false"/>
          <w:iCs w:val="false"/>
          <w:sz w:val="21"/>
          <w:szCs w:val="21"/>
        </w:rPr>
        <w:t xml:space="preserve">La unidad de extracción es la comparación: un par geoestadística–aprendizaje automático para una variable, un área y un esquema de validación. Un estudio aporta varias filas y el identificador del estudio se conserva para modelar la dependencia entre ellas.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2760"/>
        <w:gridCol w:w="1300"/>
        <w:gridCol w:w="5000"/>
      </w:tblGrid>
      <w:tr>
        <w:trPr>
          <w:tblHeader/>
        </w:trP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Bloque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Regla de codificación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Identificación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id_estudio, id_comparacion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Apellido del primer autor y año (berrocal2020); cada comparación añade sufijo (berrocal2020_a)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Identificación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referencia_doi, extractor, fecha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texto, fecha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DOI completo; iniciales del revisor y fecha de extracción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Contexto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pais, area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País y nombre de la cuenca, ciudad o cordillera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Contexto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estrato_andino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0/1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si el área está en los Andes tropicales o el Altiplano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Contexto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altitud_min, max, media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número, m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Del texto o de la figura; si falta, estimar del MDE y marcar como imputado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Contexto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area_km2, n_estaciones, densidad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número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Superficie del dominio; estaciones en ajuste y validación; densidad = n_estaciones ÷ area_km2 × 1000 (moderadora)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Datos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variable, escala_temporal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categoría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precipitación, temperatura, SPI, SPEI, VCI, PM2.5 / diaria, mensual, estacional, anual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Datos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periodo, covariables, producto_satelital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texto, lista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Años de la serie; elevación, pendiente, distancia al mar, NDVI, LST; CHIRPS, IMERG, ERA5, MODIS o ninguno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Métodos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metodo_geo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categoría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KO, KU, KED, regresión-kriging, cokriging, GWR, bayesiano espacial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Métodos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metodo_aa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categoría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RF, XGBoost, SVM, RNA, otro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Métodos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hibrido, covariables_equivalentes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0/1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si el brazo combina aprendizaje automático con kriging de residuos; 1 si ambos brazos usan las mismas covariables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esquema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categoría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aleatoria k-fold, leave-one-out, espacial por bloques, estaciones independientes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 o n_bloques, n_validacion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entero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Número de particiones; observaciones o estaciones de evaluación, que ponderan el efecto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Resultados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rmse_geo, rmse_aa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número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 las unidades originales, que se registran aparte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Resultados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mae, r2, kge, sesgo_pct, cobertura_ic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número, %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Por brazo; vacío si no se reporta. Cobertura empírica de los intervalos de predicción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Efecto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ln_ratio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número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ln(rmse_geo / rmse_aa); los valores negativos favorecen a la geoestadística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Efecto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var_ln_ratio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número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Varianza por método delta o bootstrap; si falta, 1/n_validacion como aproximación, marcada</w:t>
            </w:r>
          </w:p>
        </w:tc>
      </w:tr>
      <w:tr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Calidad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riesgo_fuga, reporte_incompleto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categoría, 0/1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Bajo, dudoso o alto según si hay validación espacial y si los hiperparámetros se ajustan dentro del pliegue; 1 si hubo que pedir o estimar métricas</w:t>
            </w:r>
          </w:p>
        </w:tc>
      </w:tr>
    </w:tbl>
    <w:p>
      <w:pPr>
        <w:spacing w:after="50" w:before="0" w:line="250"/>
        <w:ind w:left="720"/>
      </w:pPr>
      <w:r>
        <w:rPr>
          <w:rFonts w:ascii="Times New Roman" w:cs="Times New Roman" w:eastAsia="Times New Roman" w:hAnsi="Times New Roman"/>
          <w:i w:val="false"/>
          <w:iCs w:val="false"/>
          <w:sz w:val="21"/>
          <w:szCs w:val="21"/>
        </w:rPr>
        <w:t xml:space="preserve">Se llena en una hoja compartida con listas desplegables; dos revisores extraen el 20 % por duplicado para estimar la concordancia.</w:t>
      </w:r>
    </w:p>
    <w:p>
      <w:pPr>
        <w:spacing w:after="60" w:before="120" w:line="252"/>
      </w:pPr>
      <w:r>
        <w:rPr>
          <w:rFonts w:ascii="Times New Roman" w:cs="Times New Roman" w:eastAsia="Times New Roman" w:hAnsi="Times New Roman"/>
          <w:b/>
          <w:bCs/>
          <w:color w:val="00B050"/>
          <w:sz w:val="24"/>
          <w:szCs w:val="24"/>
        </w:rPr>
        <w:t xml:space="preserve">Estudios evaluados a texto completo</w:t>
      </w:r>
    </w:p>
    <w:p>
      <w:pPr>
        <w:spacing w:after="70" w:before="0" w:line="250"/>
        <w:ind w:left="720"/>
      </w:pPr>
      <w:r>
        <w:rPr>
          <w:rFonts w:ascii="Times New Roman" w:cs="Times New Roman" w:eastAsia="Times New Roman" w:hAnsi="Times New Roman"/>
          <w:i w:val="false"/>
          <w:iCs w:val="false"/>
          <w:sz w:val="21"/>
          <w:szCs w:val="21"/>
        </w:rPr>
        <w:t xml:space="preserve">Doce registros pasaron el cribado: seis quedan en la síntesis preliminar y seis se excluyen con razón registrada.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4000"/>
        <w:gridCol w:w="2990"/>
      </w:tblGrid>
      <w:tr>
        <w:trPr>
          <w:tblHeader/>
        </w:trP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Estudio y enlace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Ámbito, variable y métodos</w:t>
            </w:r>
          </w:p>
        </w:tc>
        <w:tc>
          <w:tcPr>
            <w:tcW w:type="dxa" w:w="2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Decisión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6" w:before="10" w:line="215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Appelhans et al. (2015), Spatial Statistics 14, 91–113</w:t>
            </w:r>
          </w:p>
          <w:p>
            <w:pPr>
              <w:spacing w:after="10" w:before="0" w:line="215"/>
            </w:pPr>
            <w:hyperlink w:history="1" r:id="rIdq1t3w3vycxomhyj68xuoq">
              <w:r>
                <w:rPr>
                  <w:rFonts w:ascii="Times New Roman" w:cs="Times New Roman" w:eastAsia="Times New Roman" w:hAnsi="Times New Roman"/>
                  <w:color w:val="0563C1"/>
                  <w:sz w:val="14"/>
                  <w:szCs w:val="14"/>
                  <w:u w:val="single"/>
                </w:rPr>
                <w:t xml:space="preserve">doi.org/10.1016/j.spasta.2015.05.008</w:t>
              </w:r>
            </w:hyperlink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Kilimanjaro, Tanzania; temperatura mensual. Kriging con elevación como deriva frente a 14 algoritmos, VC 10-fold</w:t>
            </w:r>
          </w:p>
        </w:tc>
        <w:tc>
          <w:tcPr>
            <w:tcW w:type="dxa" w:w="2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Incluido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6" w:before="10" w:line="215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Dura et al. (2024), Int. J. Climatology 44(16)</w:t>
            </w:r>
          </w:p>
          <w:p>
            <w:pPr>
              <w:spacing w:after="10" w:before="0" w:line="215"/>
            </w:pPr>
            <w:hyperlink w:history="1" r:id="rIdn70tknlctuliho9nohuft">
              <w:r>
                <w:rPr>
                  <w:rFonts w:ascii="Times New Roman" w:cs="Times New Roman" w:eastAsia="Times New Roman" w:hAnsi="Times New Roman"/>
                  <w:color w:val="0563C1"/>
                  <w:sz w:val="14"/>
                  <w:szCs w:val="14"/>
                  <w:u w:val="single"/>
                </w:rPr>
                <w:t xml:space="preserve">doi.org/10.1002/joc.8662</w:t>
              </w:r>
            </w:hyperlink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Francia, Alpes y Pirineos; precipitación estacional. KO, KED y GWR frente a Random Forest</w:t>
            </w:r>
          </w:p>
        </w:tc>
        <w:tc>
          <w:tcPr>
            <w:tcW w:type="dxa" w:w="2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Incluido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6" w:before="10" w:line="215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Sekulić et al. (2020), Remote Sensing 12(10), 1687</w:t>
            </w:r>
          </w:p>
          <w:p>
            <w:pPr>
              <w:spacing w:after="10" w:before="0" w:line="215"/>
            </w:pPr>
            <w:hyperlink w:history="1" r:id="rIdhjkhq_wlab7c7kvxzhe9-">
              <w:r>
                <w:rPr>
                  <w:rFonts w:ascii="Times New Roman" w:cs="Times New Roman" w:eastAsia="Times New Roman" w:hAnsi="Times New Roman"/>
                  <w:color w:val="0563C1"/>
                  <w:sz w:val="14"/>
                  <w:szCs w:val="14"/>
                  <w:u w:val="single"/>
                </w:rPr>
                <w:t xml:space="preserve">doi.org/10.3390/rs12101687</w:t>
              </w:r>
            </w:hyperlink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Cataluña, España; precipitación diaria, 87 estaciones. Regresión-kriging y KO frente a RF, RFsp y RFSI</w:t>
            </w:r>
          </w:p>
        </w:tc>
        <w:tc>
          <w:tcPr>
            <w:tcW w:type="dxa" w:w="2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Incluido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6" w:before="10" w:line="215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Zhu, Lee y Stoner (2024), Environ. Ecol. Stat. 31(4), 1085–1108</w:t>
            </w:r>
          </w:p>
          <w:p>
            <w:pPr>
              <w:spacing w:after="10" w:before="0" w:line="215"/>
            </w:pPr>
            <w:hyperlink w:history="1" r:id="rIdhpa5xisph8gk_t4evg3yw">
              <w:r>
                <w:rPr>
                  <w:rFonts w:ascii="Times New Roman" w:cs="Times New Roman" w:eastAsia="Times New Roman" w:hAnsi="Times New Roman"/>
                  <w:color w:val="0563C1"/>
                  <w:sz w:val="14"/>
                  <w:szCs w:val="14"/>
                  <w:u w:val="single"/>
                </w:rPr>
                <w:t xml:space="preserve">doi.org/10.1007/s10651-024-00635-5</w:t>
              </w:r>
            </w:hyperlink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Escocia; contaminantes del aire y PM2.5. Modelos espacio-temporales frente a aprendizaje automático</w:t>
            </w:r>
          </w:p>
        </w:tc>
        <w:tc>
          <w:tcPr>
            <w:tcW w:type="dxa" w:w="2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Incluido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6" w:before="10" w:line="215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Rhee e Im (2017), Agric. For. Meteorology 237–238, 105–122</w:t>
            </w:r>
          </w:p>
          <w:p>
            <w:pPr>
              <w:spacing w:after="10" w:before="0" w:line="215"/>
            </w:pPr>
            <w:hyperlink w:history="1" r:id="rIdhvdpp4aflefrlhyl-xbmu">
              <w:r>
                <w:rPr>
                  <w:rFonts w:ascii="Times New Roman" w:cs="Times New Roman" w:eastAsia="Times New Roman" w:hAnsi="Times New Roman"/>
                  <w:color w:val="0563C1"/>
                  <w:sz w:val="14"/>
                  <w:szCs w:val="14"/>
                  <w:u w:val="single"/>
                </w:rPr>
                <w:t xml:space="preserve">doi.org/10.1016/j.agrformet.2017.02.011</w:t>
              </w:r>
            </w:hyperlink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Áreas sin estación; SPI y SPEI a 3, 6, 9 y 12 meses. Kriging frente a árboles de decisión, RF y árboles extremadamente aleatorizados</w:t>
            </w:r>
          </w:p>
        </w:tc>
        <w:tc>
          <w:tcPr>
            <w:tcW w:type="dxa" w:w="2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Incluido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6" w:before="10" w:line="215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Scientific Reports (2026), s41598-026-36074-4</w:t>
            </w:r>
          </w:p>
          <w:p>
            <w:pPr>
              <w:spacing w:after="10" w:before="0" w:line="215"/>
            </w:pPr>
            <w:hyperlink w:history="1" r:id="rIdr3kqhgg3onnihwcgxnofi">
              <w:r>
                <w:rPr>
                  <w:rFonts w:ascii="Times New Roman" w:cs="Times New Roman" w:eastAsia="Times New Roman" w:hAnsi="Times New Roman"/>
                  <w:color w:val="0563C1"/>
                  <w:sz w:val="14"/>
                  <w:szCs w:val="14"/>
                  <w:u w:val="single"/>
                </w:rPr>
                <w:t xml:space="preserve">doi.org/10.1038/s41598-026-36074-4</w:t>
              </w:r>
            </w:hyperlink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Pakistán; precipitación decadal. Regresión-kriging con seis algoritmos, categoría híbrida</w:t>
            </w:r>
          </w:p>
        </w:tc>
        <w:tc>
          <w:tcPr>
            <w:tcW w:type="dxa" w:w="2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Incluido, pendiente de confirmar el estrato sobre 1000 m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6" w:before="10" w:line="215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Berrocal et al. (2020), Atmospheric Environment 222, 117130</w:t>
            </w:r>
          </w:p>
          <w:p>
            <w:pPr>
              <w:spacing w:after="10" w:before="0" w:line="215"/>
            </w:pPr>
            <w:hyperlink w:history="1" r:id="rIdqqtmk17eqxikmrzjbqc4f">
              <w:r>
                <w:rPr>
                  <w:rFonts w:ascii="Times New Roman" w:cs="Times New Roman" w:eastAsia="Times New Roman" w:hAnsi="Times New Roman"/>
                  <w:color w:val="0563C1"/>
                  <w:sz w:val="14"/>
                  <w:szCs w:val="14"/>
                  <w:u w:val="single"/>
                </w:rPr>
                <w:t xml:space="preserve">doi.org/10.1016/j.atmosenv.2019.117130</w:t>
              </w:r>
            </w:hyperlink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Estados Unidos; PM2.5 diario nacional. Modelos estadísticos frente a aprendizaje automático</w:t>
            </w:r>
          </w:p>
        </w:tc>
        <w:tc>
          <w:tcPr>
            <w:tcW w:type="dxa" w:w="2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Excluido: dominio nacional sin estrato montañoso separable; se conserva como referencia metodológica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6" w:before="10" w:line="215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J. of Hydrometeorology (2022), 24(1), 3–21</w:t>
            </w:r>
          </w:p>
          <w:p>
            <w:pPr>
              <w:spacing w:after="10" w:before="0" w:line="215"/>
            </w:pPr>
            <w:hyperlink w:history="1" r:id="rIdszjzt32mq9gpro_dadv4_">
              <w:r>
                <w:rPr>
                  <w:rFonts w:ascii="Times New Roman" w:cs="Times New Roman" w:eastAsia="Times New Roman" w:hAnsi="Times New Roman"/>
                  <w:color w:val="0563C1"/>
                  <w:sz w:val="14"/>
                  <w:szCs w:val="14"/>
                  <w:u w:val="single"/>
                </w:rPr>
                <w:t xml:space="preserve">doi.org/10.1175/JHM-D-22-0039.1</w:t>
              </w:r>
            </w:hyperlink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Montañas Hengduan, China; temperatura y precipitación anual. TPSS, cokriging e IDW</w:t>
            </w:r>
          </w:p>
        </w:tc>
        <w:tc>
          <w:tcPr>
            <w:tcW w:type="dxa" w:w="2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Excluido: sin brazo de aprendizaje automático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6" w:before="10" w:line="215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Remote Sensing (2017), 9(12), 1278</w:t>
            </w:r>
          </w:p>
          <w:p>
            <w:pPr>
              <w:spacing w:after="10" w:before="0" w:line="215"/>
            </w:pPr>
            <w:hyperlink w:history="1" r:id="rIdafxw_48v8pv9zxgolo3c8">
              <w:r>
                <w:rPr>
                  <w:rFonts w:ascii="Times New Roman" w:cs="Times New Roman" w:eastAsia="Times New Roman" w:hAnsi="Times New Roman"/>
                  <w:color w:val="0563C1"/>
                  <w:sz w:val="14"/>
                  <w:szCs w:val="14"/>
                  <w:u w:val="single"/>
                </w:rPr>
                <w:t xml:space="preserve">doi.org/10.3390/rs9121278</w:t>
              </w:r>
            </w:hyperlink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China; temperatura mensual cerca de superficie. GWR frente a kriging, spline e IDW</w:t>
            </w:r>
          </w:p>
        </w:tc>
        <w:tc>
          <w:tcPr>
            <w:tcW w:type="dxa" w:w="2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Excluido: GWR pertenece a la intervención, no hay brazo de aprendizaje automático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6" w:before="10" w:line="215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Hydrology (2026), 13(3), 89</w:t>
            </w:r>
          </w:p>
          <w:p>
            <w:pPr>
              <w:spacing w:after="10" w:before="0" w:line="215"/>
            </w:pPr>
            <w:hyperlink w:history="1" r:id="rIdmjwormpynw5eapch0pqk_">
              <w:r>
                <w:rPr>
                  <w:rFonts w:ascii="Times New Roman" w:cs="Times New Roman" w:eastAsia="Times New Roman" w:hAnsi="Times New Roman"/>
                  <w:color w:val="0563C1"/>
                  <w:sz w:val="14"/>
                  <w:szCs w:val="14"/>
                  <w:u w:val="single"/>
                </w:rPr>
                <w:t xml:space="preserve">doi.org/10.3390/hydrology13030089</w:t>
              </w:r>
            </w:hyperlink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Cuenca Catamayo–Chira, Ecuador y Perú; CHIRPS a 1 km. Regresión lineal, Random Forest y SVM</w:t>
            </w:r>
          </w:p>
        </w:tc>
        <w:tc>
          <w:tcPr>
            <w:tcW w:type="dxa" w:w="2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Excluido: sin brazo geoestadístico; relevante para el estrato andino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6" w:before="10" w:line="215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Int. J. Environ. Sci. Technol. (2025), s13762-025-06674-0</w:t>
            </w:r>
          </w:p>
          <w:p>
            <w:pPr>
              <w:spacing w:after="10" w:before="0" w:line="215"/>
            </w:pPr>
            <w:hyperlink w:history="1" r:id="rIdqvvtgfmav8dtihfyxmvxq">
              <w:r>
                <w:rPr>
                  <w:rFonts w:ascii="Times New Roman" w:cs="Times New Roman" w:eastAsia="Times New Roman" w:hAnsi="Times New Roman"/>
                  <w:color w:val="0563C1"/>
                  <w:sz w:val="14"/>
                  <w:szCs w:val="14"/>
                  <w:u w:val="single"/>
                </w:rPr>
                <w:t xml:space="preserve">doi.org/10.1007/s13762-025-06674-0</w:t>
              </w:r>
            </w:hyperlink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Kampala, Uganda; PM2.5 con AOD satelital. Regresión múltiple, RF y perceptrón multicapa</w:t>
            </w:r>
          </w:p>
        </w:tc>
        <w:tc>
          <w:tcPr>
            <w:tcW w:type="dxa" w:w="2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Excluido: sin brazo geoestadístico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6" w:before="10" w:line="215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GIScience &amp; Remote Sensing (2020), 57(5), 633–649</w:t>
            </w:r>
          </w:p>
          <w:p>
            <w:pPr>
              <w:spacing w:after="10" w:before="0" w:line="215"/>
            </w:pPr>
            <w:hyperlink w:history="1" r:id="rIduolxr2autvoxcua1ptl0q">
              <w:r>
                <w:rPr>
                  <w:rFonts w:ascii="Times New Roman" w:cs="Times New Roman" w:eastAsia="Times New Roman" w:hAnsi="Times New Roman"/>
                  <w:color w:val="0563C1"/>
                  <w:sz w:val="14"/>
                  <w:szCs w:val="14"/>
                  <w:u w:val="single"/>
                </w:rPr>
                <w:t xml:space="preserve">doi.org/10.1080/15481603.2020.1766768</w:t>
              </w:r>
            </w:hyperlink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Seúl, Corea del Sur; temperatura máxima diaria. Cokriging frente a SVR, RF y apilamiento, VC LOSOCV</w:t>
            </w:r>
          </w:p>
        </w:tc>
        <w:tc>
          <w:tcPr>
            <w:tcW w:type="dxa" w:w="2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5"/>
              <w:bottom w:type="dxa" w:w="25"/>
              <w:right w:type="dxa" w:w="85"/>
            </w:tcMar>
            <w:vAlign w:val="center"/>
          </w:tcPr>
          <w:p>
            <w:pPr>
              <w:spacing w:after="8" w:before="8" w:line="20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Excluido: dominio urbano llano bajo el umbral de altitud</w:t>
            </w:r>
          </w:p>
        </w:tc>
      </w:tr>
    </w:tbl>
    <w:p>
      <w:pPr>
        <w:spacing w:after="50" w:before="0" w:line="250"/>
        <w:ind w:left="720"/>
      </w:pPr>
      <w:r>
        <w:rPr>
          <w:rFonts w:ascii="Times New Roman" w:cs="Times New Roman" w:eastAsia="Times New Roman" w:hAnsi="Times New Roman"/>
          <w:i w:val="false"/>
          <w:iCs w:val="false"/>
          <w:sz w:val="19"/>
          <w:szCs w:val="19"/>
        </w:rPr>
        <w:t xml:space="preserve">Ocho de los doce PDF están en Documentos\Metaanalisis_PRISMA; el detalle y los cuatro que faltan están en INDICE_FUENTES.md.</w:t>
      </w:r>
    </w:p>
    <w:p>
      <w:pPr>
        <w:spacing w:after="60" w:before="100" w:line="252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Referencias</w:t>
      </w:r>
    </w:p>
    <w:p>
      <w:pPr>
        <w:spacing w:after="60" w:before="0" w:line="222"/>
        <w:ind w:left="720" w:hanging="7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Berrocal, V. J., Guan, Y., Muyskens, A., Wang, H., Reich, B. J., Mulholland, J. A., &amp; Chang, H. H. (2020). A comparison of statistical and machine learning methods for creating national daily maps of ambient PM2.5 concentration.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Atmospheric Environment, 222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, 117130. </w:t>
      </w:r>
      <w:hyperlink w:history="1" r:id="rIdwzji9fctf-dlzm02qpknv">
        <w:r>
          <w:rPr>
            <w:rFonts w:ascii="Times New Roman" w:cs="Times New Roman" w:eastAsia="Times New Roman" w:hAnsi="Times New Roman"/>
            <w:color w:val="0563C1"/>
            <w:sz w:val="19"/>
            <w:szCs w:val="19"/>
            <w:u w:val="single"/>
          </w:rPr>
          <w:t xml:space="preserve">https://doi.org/10.1016/j.atmosenv.2019.117130</w:t>
        </w:r>
      </w:hyperlink>
    </w:p>
    <w:p>
      <w:pPr>
        <w:spacing w:after="60" w:before="0" w:line="222"/>
        <w:ind w:left="720" w:hanging="7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Zhu, Q., Lee, D., &amp; Stoner, O. (2024). A comparison of statistical and machine learning models for spatio-temporal prediction of ambient air pollutant concentrations in Scotland.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Environmental and Ecological Statistics, 31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(4), 1085–1108. </w:t>
      </w:r>
      <w:hyperlink w:history="1" r:id="rIdxagzgxxpfmf0yvawewlrs">
        <w:r>
          <w:rPr>
            <w:rFonts w:ascii="Times New Roman" w:cs="Times New Roman" w:eastAsia="Times New Roman" w:hAnsi="Times New Roman"/>
            <w:color w:val="0563C1"/>
            <w:sz w:val="19"/>
            <w:szCs w:val="19"/>
            <w:u w:val="single"/>
          </w:rPr>
          <w:t xml:space="preserve">https://doi.org/10.1007/s10651-024-00635-5</w:t>
        </w:r>
      </w:hyperlink>
    </w:p>
    <w:sectPr>
      <w:pgSz w:w="12240" w:h="15840" w:orient="portrait"/>
      <w:pgMar w:top="72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1t3w3vycxomhyj68xuoq" Type="http://schemas.openxmlformats.org/officeDocument/2006/relationships/hyperlink" Target="https://doi.org/10.1016/j.spasta.2015.05.008" TargetMode="External"/><Relationship Id="rIdn70tknlctuliho9nohuft" Type="http://schemas.openxmlformats.org/officeDocument/2006/relationships/hyperlink" Target="https://doi.org/10.1002/joc.8662" TargetMode="External"/><Relationship Id="rIdhjkhq_wlab7c7kvxzhe9-" Type="http://schemas.openxmlformats.org/officeDocument/2006/relationships/hyperlink" Target="https://doi.org/10.3390/rs12101687" TargetMode="External"/><Relationship Id="rIdhpa5xisph8gk_t4evg3yw" Type="http://schemas.openxmlformats.org/officeDocument/2006/relationships/hyperlink" Target="https://doi.org/10.1007/s10651-024-00635-5" TargetMode="External"/><Relationship Id="rIdhvdpp4aflefrlhyl-xbmu" Type="http://schemas.openxmlformats.org/officeDocument/2006/relationships/hyperlink" Target="https://doi.org/10.1016/j.agrformet.2017.02.011" TargetMode="External"/><Relationship Id="rIdr3kqhgg3onnihwcgxnofi" Type="http://schemas.openxmlformats.org/officeDocument/2006/relationships/hyperlink" Target="https://doi.org/10.1038/s41598-026-36074-4" TargetMode="External"/><Relationship Id="rIdqqtmk17eqxikmrzjbqc4f" Type="http://schemas.openxmlformats.org/officeDocument/2006/relationships/hyperlink" Target="https://doi.org/10.1016/j.atmosenv.2019.117130" TargetMode="External"/><Relationship Id="rIdszjzt32mq9gpro_dadv4_" Type="http://schemas.openxmlformats.org/officeDocument/2006/relationships/hyperlink" Target="https://doi.org/10.1175/JHM-D-22-0039.1" TargetMode="External"/><Relationship Id="rIdafxw_48v8pv9zxgolo3c8" Type="http://schemas.openxmlformats.org/officeDocument/2006/relationships/hyperlink" Target="https://doi.org/10.3390/rs9121278" TargetMode="External"/><Relationship Id="rIdmjwormpynw5eapch0pqk_" Type="http://schemas.openxmlformats.org/officeDocument/2006/relationships/hyperlink" Target="https://doi.org/10.3390/hydrology13030089" TargetMode="External"/><Relationship Id="rIdqvvtgfmav8dtihfyxmvxq" Type="http://schemas.openxmlformats.org/officeDocument/2006/relationships/hyperlink" Target="https://doi.org/10.1007/s13762-025-06674-0" TargetMode="External"/><Relationship Id="rIduolxr2autvoxcua1ptl0q" Type="http://schemas.openxmlformats.org/officeDocument/2006/relationships/hyperlink" Target="https://doi.org/10.1080/15481603.2020.1766768" TargetMode="External"/><Relationship Id="rIdwzji9fctf-dlzm02qpknv" Type="http://schemas.openxmlformats.org/officeDocument/2006/relationships/hyperlink" Target="https://doi.org/10.1016/j.atmosenv.2019.117130" TargetMode="External"/><Relationship Id="rIdxagzgxxpfmf0yvawewlrs" Type="http://schemas.openxmlformats.org/officeDocument/2006/relationships/hyperlink" Target="https://doi.org/10.1007/s10651-024-00635-5" TargetMode="External"/><Relationship Id="rId7" Type="http://schemas.openxmlformats.org/officeDocument/2006/relationships/image" Target="media/d559b4543ff76be924b4771788248dab321931e6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PRISMA y ficha de extracción de datos</dc:title>
  <dc:creator>Grupo de Estadística Espacial — UNA Puno</dc:creator>
  <cp:lastModifiedBy>Un-named</cp:lastModifiedBy>
  <cp:revision>1</cp:revision>
  <dcterms:created xsi:type="dcterms:W3CDTF">2026-10-13T15:37:28.717Z</dcterms:created>
  <dcterms:modified xsi:type="dcterms:W3CDTF">2026-10-13T15:37:28.720Z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