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Stone Shelter Lab Phase 2 Engineering Guide</w:t>
      </w:r>
    </w:p>
    <w:p>
      <w:r>
        <w:t>Postmortem Driven Development</w:t>
      </w:r>
    </w:p>
    <w:p>
      <w:r>
        <w:t>Version 1.0 · 23 October 2026</w:t>
      </w:r>
      <w:r>
        <w:br/>
      </w:r>
      <w:r>
        <w:t xml:space="preserve">Target repository: </w:t>
      </w:r>
      <w:r>
        <w:rPr>
          <w:rFonts w:ascii="Liberation Mono" w:hAnsi="Liberation Mono"/>
          <w:sz w:val="18"/>
        </w:rPr>
        <w:t>PreChatGPTSenior/agentic-controlls-examples</w:t>
      </w:r>
      <w:r>
        <w:br/>
      </w:r>
      <w:r>
        <w:t xml:space="preserve">Phase 1 reference: </w:t>
      </w:r>
      <w:r>
        <w:rPr>
          <w:rFonts w:ascii="Liberation Mono" w:hAnsi="Liberation Mono"/>
          <w:sz w:val="18"/>
        </w:rPr>
        <w:t>PreChatGPTSenior/stone-shelter-lab</w:t>
      </w:r>
      <w:r>
        <w:br/>
      </w:r>
      <w:r>
        <w:t>Audience: the experiment owner, implementing agents, reviewers, and future contributors</w:t>
      </w:r>
    </w:p>
    <w:p>
      <w:pPr>
        <w:pStyle w:val="Heading2"/>
      </w:pPr>
      <w:r>
        <w:t>Contents</w:t>
      </w:r>
    </w:p>
    <w:p>
      <w:pPr>
        <w:spacing w:after="80"/>
      </w:pPr>
      <w:hyperlink w:anchor="s1">
        <w:r>
          <w:rPr>
            <w:color w:val="234D72"/>
            <w:u w:val="single"/>
          </w:rPr>
          <w:t>1 Purpose and operating decision</w:t>
        </w:r>
      </w:hyperlink>
    </w:p>
    <w:p>
      <w:pPr>
        <w:spacing w:after="80"/>
      </w:pPr>
      <w:hyperlink w:anchor="s2">
        <w:r>
          <w:rPr>
            <w:color w:val="234D72"/>
            <w:u w:val="single"/>
          </w:rPr>
          <w:t>2 Preserve Phase 1 and establish provenance</w:t>
        </w:r>
      </w:hyperlink>
    </w:p>
    <w:p>
      <w:pPr>
        <w:spacing w:after="80"/>
      </w:pPr>
      <w:hyperlink w:anchor="s3">
        <w:r>
          <w:rPr>
            <w:color w:val="234D72"/>
            <w:u w:val="single"/>
          </w:rPr>
          <w:t>3 Phase 1 evidence and its limits</w:t>
        </w:r>
      </w:hyperlink>
    </w:p>
    <w:p>
      <w:pPr>
        <w:spacing w:after="80"/>
      </w:pPr>
      <w:hyperlink w:anchor="s4">
        <w:r>
          <w:rPr>
            <w:color w:val="234D72"/>
            <w:u w:val="single"/>
          </w:rPr>
          <w:t>4 Repository setup procedure</w:t>
        </w:r>
      </w:hyperlink>
    </w:p>
    <w:p>
      <w:pPr>
        <w:spacing w:after="80"/>
      </w:pPr>
      <w:hyperlink w:anchor="s5">
        <w:r>
          <w:rPr>
            <w:color w:val="234D72"/>
            <w:u w:val="single"/>
          </w:rPr>
          <w:t>5 Engineering rules</w:t>
        </w:r>
      </w:hyperlink>
    </w:p>
    <w:p>
      <w:pPr>
        <w:spacing w:after="80"/>
      </w:pPr>
      <w:hyperlink w:anchor="s6">
        <w:r>
          <w:rPr>
            <w:color w:val="234D72"/>
            <w:u w:val="single"/>
          </w:rPr>
          <w:t>6 Code and style standards</w:t>
        </w:r>
      </w:hyperlink>
    </w:p>
    <w:p>
      <w:pPr>
        <w:spacing w:after="80"/>
      </w:pPr>
      <w:hyperlink w:anchor="s7">
        <w:r>
          <w:rPr>
            <w:color w:val="234D72"/>
            <w:u w:val="single"/>
          </w:rPr>
          <w:t>7 Quality gates and execution contract</w:t>
        </w:r>
      </w:hyperlink>
    </w:p>
    <w:p>
      <w:pPr>
        <w:spacing w:after="80"/>
      </w:pPr>
      <w:hyperlink w:anchor="s8">
        <w:r>
          <w:rPr>
            <w:color w:val="234D72"/>
            <w:u w:val="single"/>
          </w:rPr>
          <w:t>8 Review guidelines</w:t>
        </w:r>
      </w:hyperlink>
    </w:p>
    <w:p>
      <w:pPr>
        <w:spacing w:after="80"/>
      </w:pPr>
      <w:hyperlink w:anchor="s9">
        <w:r>
          <w:rPr>
            <w:color w:val="234D72"/>
            <w:u w:val="single"/>
          </w:rPr>
          <w:t>9 Agent workflow and skill candidates</w:t>
        </w:r>
      </w:hyperlink>
    </w:p>
    <w:p>
      <w:pPr>
        <w:spacing w:after="80"/>
      </w:pPr>
      <w:hyperlink w:anchor="s10">
        <w:r>
          <w:rPr>
            <w:color w:val="234D72"/>
            <w:u w:val="single"/>
          </w:rPr>
          <w:t>10 Reusable templates</w:t>
        </w:r>
      </w:hyperlink>
    </w:p>
    <w:p>
      <w:pPr>
        <w:spacing w:after="80"/>
      </w:pPr>
      <w:hyperlink w:anchor="s11">
        <w:r>
          <w:rPr>
            <w:color w:val="234D72"/>
            <w:u w:val="single"/>
          </w:rPr>
          <w:t>11 Completed examples derived from the evidence</w:t>
        </w:r>
      </w:hyperlink>
    </w:p>
    <w:p>
      <w:pPr>
        <w:spacing w:after="80"/>
      </w:pPr>
      <w:hyperlink w:anchor="s12">
        <w:r>
          <w:rPr>
            <w:color w:val="234D72"/>
            <w:u w:val="single"/>
          </w:rPr>
          <w:t>12 Measure whether the controls help</w:t>
        </w:r>
      </w:hyperlink>
    </w:p>
    <w:p>
      <w:pPr>
        <w:spacing w:after="80"/>
      </w:pPr>
      <w:hyperlink w:anchor="s13">
        <w:r>
          <w:rPr>
            <w:color w:val="234D72"/>
            <w:u w:val="single"/>
          </w:rPr>
          <w:t>13 Source register</w:t>
        </w:r>
      </w:hyperlink>
    </w:p>
    <w:p>
      <w:r>
        <w:br w:type="page"/>
      </w:r>
    </w:p>
    <w:p>
      <w:bookmarkStart w:id="1" w:name="s1"/>
      <w:pPr>
        <w:pStyle w:val="Heading1"/>
      </w:pPr>
      <w:r>
        <w:t>1 Purpose and operating decision</w:t>
      </w:r>
      <w:bookmarkEnd w:id="1"/>
    </w:p>
    <w:p>
      <w:r>
        <w:t>Set up Phase 2 as a separate engineering experiment with explicit contracts, bounded implementation tasks, executable checks, and independent review. Preserve Phase 1 as historical evidence. All new rules, reports, templates, fixtures, and application changes belong in the new repository.</w:t>
      </w:r>
    </w:p>
    <w:p>
      <w:r>
        <w:t>The experiment asks whether these controls reduce contract drift, architectural violations, misleading verification, and human correction effort. A working screen, a dependency declaration, or a green unit test does not establish that an entire feature meets its contract. Every accepted result needs evidence tied to the version actually reviewed.</w:t>
      </w:r>
    </w:p>
    <w:p>
      <w:r>
        <w:t>This guide defines the proposed Phase 2 operating policy. Its rules become repository policy when adopted through the setup change. Their presence in this document does not mean that CI, branch protection, skills, or application fixes have already been installed. Section 3 contains observations about Phase 1; the remaining operational sections define Phase 2 controls.</w:t>
      </w:r>
    </w:p>
    <w:p>
      <w:pPr>
        <w:pStyle w:val="Heading2"/>
      </w:pPr>
      <w:r>
        <w:t>1.1 Resolve the starting point explicitly</w:t>
      </w:r>
    </w:p>
    <w:p>
      <w:r>
        <w:t>Create the controls and experiment records first. The first application run uses an isolated, attributed copy of the reviewed Phase 1 implementation for controlled refactoring. A clean repository means a separate workspace and history for this experiment; it does not require discarding the implementation being studied.</w:t>
      </w:r>
    </w:p>
    <w:p>
      <w:r>
        <w:t>Do not mix this run with a fresh implementation from specifications. If a later experiment rebuilds the application, give it a separate run ID and starting-point record. Multi-agent team comparisons remain a separate experimental variable; Phase 2 can use one implementing agent and a separate review session.</w:t>
      </w:r>
    </w:p>
    <w:p>
      <w:r>
        <w:t>The old README contains conflicting descriptions of Phase 2: its comparison table says specifications only, while its prose describes refactoring. Record the Phase 2 decision in the new repository. Leave the historical README intact.</w:t>
      </w:r>
    </w:p>
    <w:p>
      <w:pPr>
        <w:pStyle w:val="Heading2"/>
      </w:pPr>
      <w:r>
        <w:t>1.2 Keep three completion states</w:t>
      </w:r>
    </w:p>
    <w:tbl>
      <w:tblPr>
        <w:tblW w:type="auto" w:w="0"/>
        <w:jc w:val="center"/>
        <w:tblLayout w:type="fixed"/>
        <w:tblLook w:firstColumn="1" w:firstRow="1" w:lastColumn="0" w:lastRow="0" w:noHBand="0" w:noVBand="1" w:val="04A0"/>
      </w:tblPr>
      <w:tblGrid>
        <w:gridCol w:w="2016"/>
        <w:gridCol w:w="3528"/>
        <w:gridCol w:w="4450"/>
      </w:tblGrid>
      <w:tr>
        <w:trPr>
          <w:cantSplit/>
          <w:tblHeader w:val="true"/>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State</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Meaning</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Required record</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Implemented</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The scoped change exists</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Commit or diff and changed paths</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Verified</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Applicable checks ran with the stated outcome</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Commands, reports, environment and tested revision</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Accepted</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The owner accepted the contract and remaining limitations</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Decision linked to verification and review</w:t>
            </w:r>
          </w:p>
        </w:tc>
      </w:tr>
    </w:tbl>
    <w:p>
      <w:pPr>
        <w:spacing w:after="40"/>
      </w:pPr>
    </w:p>
    <w:p>
      <w:r>
        <w:t>A feature may be implemented and partly verified without being accepted. A documentation-only task can be accepted without application qualification when its scope says so. Never promote one state merely because another is true.</w:t>
      </w:r>
    </w:p>
    <w:p>
      <w:bookmarkStart w:id="2" w:name="s2"/>
      <w:pPr>
        <w:pStyle w:val="Heading1"/>
      </w:pPr>
      <w:r>
        <w:t>2 Preserve Phase 1 and establish provenance</w:t>
      </w:r>
      <w:bookmarkEnd w:id="2"/>
    </w:p>
    <w:p>
      <w:r>
        <w:t>The declared Phase 1 code freeze is 14 October 2026. The application source examined for this guide is pinned to:</w:t>
      </w:r>
    </w:p>
    <w:p>
      <w:r>
        <w:rPr>
          <w:rFonts w:ascii="Liberation Mono" w:hAnsi="Liberation Mono"/>
          <w:sz w:val="18"/>
        </w:rPr>
        <w:t>60dc4cf29f7214496568226e29080d92778fc77c</w:t>
      </w:r>
    </w:p>
    <w:p>
      <w:r>
        <w:t>This SHA identifies the reviewed source snapshot. It is not a claim that the current default branch still points there, that a freeze tag exists, or that server-side write protection has been verified. Preserve both the declared freeze date and the exact source revision in the Phase 2 baseline record.</w:t>
      </w:r>
    </w:p>
    <w:p>
      <w:pPr>
        <w:pStyle w:val="Heading2"/>
      </w:pPr>
      <w:r>
        <w:t>2.1 Freeze boundary</w:t>
      </w:r>
    </w:p>
    <w:p>
      <w:pPr>
        <w:ind w:left="288" w:hanging="288"/>
      </w:pPr>
      <w:r>
        <w:t>1. Use read-only access to Phase 1. Do not edit its source, tests, specifications, README, tags, branches, or repository settings while preparing Phase 2.</w:t>
      </w:r>
    </w:p>
    <w:p>
      <w:pPr>
        <w:ind w:left="288" w:hanging="288"/>
      </w:pPr>
      <w:r>
        <w:t>2. Keep Phase 1 outside the writable workspace used by implementing agents. Give their credentials write access only to the new repository where possible. Remove any Phase 1 push destination from that workspace.</w:t>
      </w:r>
    </w:p>
    <w:p>
      <w:pPr>
        <w:ind w:left="288" w:hanging="288"/>
      </w:pPr>
      <w:r>
        <w:t xml:space="preserve">3. Preserve the </w:t>
      </w:r>
      <w:r>
        <w:rPr>
          <w:rFonts w:ascii="Liberation Mono" w:hAnsi="Liberation Mono"/>
          <w:sz w:val="18"/>
        </w:rPr>
        <w:t>engineering-log/</w:t>
      </w:r>
      <w:r>
        <w:t xml:space="preserve"> restriction. It is human-only. Exclude the entire directory from searches, indexing, exports, copies, history analysis, and agent context. Do not inspect it to determine exclusions. A human may provide a separate, deliberately sanitized observation as new evidence.</w:t>
      </w:r>
    </w:p>
    <w:p>
      <w:pPr>
        <w:ind w:left="288" w:hanging="288"/>
      </w:pPr>
      <w:r>
        <w:t>4. Import only an explicit allowlist of source, tests, specifications, ADRs, build configuration, migrations, and required nonsecret fixtures. Exclude secrets, local data, generated outputs, model caches, and restricted material. Do not import the whole Git history by default.</w:t>
      </w:r>
    </w:p>
    <w:p>
      <w:pPr>
        <w:ind w:left="288" w:hanging="288"/>
      </w:pPr>
      <w:r>
        <w:t>5. Record each imported path and its checksum. If a safe export cannot exclude restricted material without accessing it, have the owner prepare the export. Continue setting up controls independently.</w:t>
      </w:r>
    </w:p>
    <w:p>
      <w:pPr>
        <w:ind w:left="288" w:hanging="288"/>
      </w:pPr>
      <w:r>
        <w:t>6. Run the copied application only against isolated Phase 2 databases, object storage, queues, caches, and model accounting. Never point a qualification run at the preserved Phase 1 environment.</w:t>
      </w:r>
    </w:p>
    <w:p>
      <w:r>
        <w:t>The first application import is a provenance change. Keep subsequent formatting, refactoring, and behavior fixes in separate changes so the starting condition remains recoverable.</w:t>
      </w:r>
    </w:p>
    <w:p>
      <w:r>
        <w:t>Keep baseline manifests, original qualification outputs, oracle corrections, and acceptance decisions for the lifetime of the experiment. Retain routine CI reports for at least 90 days; copy any report used in a published conclusion into the permanent run record before its CI retention expires.</w:t>
      </w:r>
    </w:p>
    <w:p>
      <w:pPr>
        <w:pStyle w:val="Heading2"/>
      </w:pPr>
      <w:r>
        <w:t>2.2 Baseline record</w:t>
      </w:r>
    </w:p>
    <w:p>
      <w:r>
        <w:t xml:space="preserve">Create </w:t>
      </w:r>
      <w:r>
        <w:rPr>
          <w:rFonts w:ascii="Liberation Mono" w:hAnsi="Liberation Mono"/>
          <w:sz w:val="18"/>
        </w:rPr>
        <w:t>docs/experiment/baseline.md</w:t>
      </w:r>
      <w:r>
        <w:t xml:space="preserve"> with the completed baseline template in section 10. Record the source SHA, imported path manifest, exclusions, effective tool versions, fixture revision, and known failures before changing behavior.</w:t>
      </w:r>
    </w:p>
    <w:p>
      <w:r>
        <w:t>An import with known failures is allowed as an explicitly labeled baseline. It must not receive a production-ready label. Preserve the raw baseline results and establish the exception register before enabling the normal merge policy. A baseline capture is the only setup stage permitted to record failures without satisfying application acceptance.</w:t>
      </w:r>
    </w:p>
    <w:p>
      <w:bookmarkStart w:id="3" w:name="s3"/>
      <w:pPr>
        <w:pStyle w:val="Heading1"/>
      </w:pPr>
      <w:r>
        <w:t>3 Phase 1 evidence and its limits</w:t>
      </w:r>
      <w:bookmarkEnd w:id="3"/>
    </w:p>
    <w:p>
      <w:r>
        <w:t>The findings below distinguish direct static observations from retained execution evidence and hypotheses. Static inspection establishes what the referenced code or document contains. It does not establish that a particular end-to-end request reproduced a failure during preparation of this guide.</w:t>
      </w:r>
    </w:p>
    <w:p>
      <w:pPr>
        <w:pStyle w:val="Heading2"/>
      </w:pPr>
      <w:r>
        <w:t>3.1 Observed findings</w:t>
      </w:r>
    </w:p>
    <w:p>
      <w:r>
        <w:rPr>
          <w:b/>
        </w:rPr>
        <w:t>F01 Written controls already existed.</w:t>
      </w:r>
      <w:r>
        <w:t xml:space="preserve"> The pinned root </w:t>
      </w:r>
      <w:r>
        <w:rPr>
          <w:rFonts w:ascii="Liberation Mono" w:hAnsi="Liberation Mono"/>
          <w:sz w:val="18"/>
        </w:rPr>
        <w:t>AGENTS.md</w:t>
      </w:r>
      <w:r>
        <w:t xml:space="preserve"> and constitution contain scope, English-language, layer, migration, contract, and verification rules. The source tree also contains architecture test classes. The useful Phase 2 question is whether selected controls execute, cover the intended behavior, and block acceptance. It would be inaccurate to describe Phase 1 as having no rules or no tests. The project describes the phase as lacking enforced quality gates; this guide does not independently certify historical branch settings. Sources S1 and S2.</w:t>
      </w:r>
    </w:p>
    <w:p>
      <w:r>
        <w:rPr>
          <w:b/>
        </w:rPr>
        <w:t>F02 Relative-date normalization can discard a comparison.</w:t>
      </w:r>
      <w:r>
        <w:t xml:space="preserve"> In </w:t>
      </w:r>
      <w:r>
        <w:rPr>
          <w:rFonts w:ascii="Liberation Mono" w:hAnsi="Liberation Mono"/>
          <w:sz w:val="18"/>
        </w:rPr>
        <w:t>StoneExactSearchService.resolveDates</w:t>
      </w:r>
      <w:r>
        <w:t>, the branch recognizing today or yesterday returns exact-day intervals before considering the supplied interpreted intervals. A request containing before yesterday enters that branch and produces yesterday's day interval at this method boundary. This is a code-supported semantic risk; no new end-to-end reproduction is claimed. Add a contract example and focused regression before changing the copied implementation. Source S3.</w:t>
      </w:r>
    </w:p>
    <w:p>
      <w:r>
        <w:rPr>
          <w:b/>
        </w:rPr>
        <w:t>F03 Current eligibility rows are reduced to identifiers.</w:t>
      </w:r>
      <w:r>
        <w:t xml:space="preserve"> </w:t>
      </w:r>
      <w:r>
        <w:rPr>
          <w:rFonts w:ascii="Liberation Mono" w:hAnsi="Liberation Mono"/>
          <w:sz w:val="18"/>
        </w:rPr>
        <w:t>StoneSemanticCandidateService.eligible</w:t>
      </w:r>
      <w:r>
        <w:t xml:space="preserve"> rereads eligible rows, converts them to an ID set, and filters the original candidate objects. The repository returns full current stone rows, but this method retains earlier candidate data and evidence. This establishes stale-object retention at the boundary. Whether a complete answer exposes an outdated name, biography, or suitability claim requires a race test through final answer construction. Sources S4 and S5.</w:t>
      </w:r>
    </w:p>
    <w:p>
      <w:r>
        <w:rPr>
          <w:b/>
        </w:rPr>
        <w:t>F04 Qualification inputs differ from their acceptance scenarios.</w:t>
      </w:r>
      <w:r>
        <w:t xml:space="preserve"> The acceptance table specifies 6 October 2026 for Q027-016 and Q027-020. Their JSON fixture queries omit 2026. This directly observed mismatch can change the scenario from date selection into missing-year clarification. Do not infer that all reported failures come from this mismatch. Source S6.</w:t>
      </w:r>
    </w:p>
    <w:p>
      <w:r>
        <w:rPr>
          <w:b/>
        </w:rPr>
        <w:t>F05 Retained qualification does not establish search acceptance.</w:t>
      </w:r>
      <w:r>
        <w:t xml:space="preserve"> The final autonomous assessment in the retained feature 0027 report records R at 2/9 against 8/9 and A at 0/12 against 10/12, with unresolved original evidence, an unattempted controlled phase, and known hard or quality failures. These are historical results from the retained report, not measurements newly produced for this guide. Controlled race successes for Q027-017/018 do not establish real-generation quality. The report explicitly keeps current qualification incomplete/failed. Source S7.</w:t>
      </w:r>
    </w:p>
    <w:p>
      <w:r>
        <w:rPr>
          <w:b/>
        </w:rPr>
        <w:t>F06 The qualification oracle needed a correction.</w:t>
      </w:r>
      <w:r>
        <w:t xml:space="preserve"> The same report preserves an original Q027-019 turn 5 WRONG_SIZE classification and identifies it as a false positive because the request already asked for LARGE. It retains other date/reference findings. This is evidence that test verdicts need review and correction history. A failing oracle can be wrong; silently changing its expected output would destroy useful evidence. Source S7.</w:t>
      </w:r>
    </w:p>
    <w:p>
      <w:r>
        <w:rPr>
          <w:b/>
        </w:rPr>
        <w:t>F07 Project documentation gives incompatible starting conditions.</w:t>
      </w:r>
      <w:r>
        <w:t xml:space="preserve"> The current Phase 1 README describes both a specifications-only start and controlled refactoring, and uses both preparation and planned status language. This is a documentation observation, not an application defect. Source S8.</w:t>
      </w:r>
    </w:p>
    <w:p>
      <w:pPr>
        <w:pStyle w:val="Heading2"/>
      </w:pPr>
      <w:r>
        <w:t>3.2 Evidence still requiring verification</w:t>
      </w:r>
    </w:p>
    <w:p>
      <w:r>
        <w:t>Prior review summaries mention a registry of 70 mixed observations. That count is not a count of proven bugs. The independent review reports referenced by those summaries were not available in the remote repository examined here, so this guide does not reproduce their unseen findings as verified facts.</w:t>
      </w:r>
    </w:p>
    <w:p>
      <w:r>
        <w:t>Conversation growth, broad maintainability concerns, and possible technology-constraint violations remain investigation candidates unless a record supplies the relevant code path, requirement, and evidence. A manual retrieval implementation or a large conditional chain alone does not prove that a specified framework was bypassed or that behavior is wrong.</w:t>
      </w:r>
    </w:p>
    <w:p>
      <w:r>
        <w:t>No new application test, live-model qualification, performance benchmark, or whole-repository audit was executed to produce this guide. The evidence register is deliberately bounded. Extend it by adding independently checkable records, not by converting suspicion into a defect label.</w:t>
      </w:r>
    </w:p>
    <w:p>
      <w:pPr>
        <w:pStyle w:val="Heading2"/>
      </w:pPr>
      <w:r>
        <w:t>3.3 Trace observations into controls</w:t>
      </w:r>
    </w:p>
    <w:tbl>
      <w:tblPr>
        <w:tblW w:type="auto" w:w="0"/>
        <w:jc w:val="center"/>
        <w:tblLayout w:type="fixed"/>
        <w:tblLook w:firstColumn="1" w:firstRow="1" w:lastColumn="0" w:lastRow="0" w:noHBand="0" w:noVBand="1" w:val="04A0"/>
      </w:tblPr>
      <w:tblGrid>
        <w:gridCol w:w="2016"/>
        <w:gridCol w:w="3528"/>
        <w:gridCol w:w="4450"/>
      </w:tblGrid>
      <w:tr>
        <w:trPr>
          <w:cantSplit/>
          <w:tblHeader w:val="true"/>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Finding</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Proposed Phase 2 control</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Acceptance evidence for the control</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F01</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Register rules and prove that gates block violations</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Deliberately invalid change fails the required check</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F02</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Define date operators and an independent clock-based oracle</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Comparative and exact-day boundary tests</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F03</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Revalidate current data and its supporting evidence</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Deterministic update/delete/reserve race tests</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F04</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Check scenario IDs, inputs, and expectations across artifacts</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Mismatched year is rejected before model use</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F05</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Separate deterministic verification and real qualification</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Original run retained with fixed denominators</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F06</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Review gold data and version oracle corrections</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Reviewed correction preserves the original verdict</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F07</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Record one starting point and status per experiment run</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Baseline and ADR agree</w:t>
            </w:r>
          </w:p>
        </w:tc>
      </w:tr>
    </w:tbl>
    <w:p>
      <w:pPr>
        <w:spacing w:after="40"/>
      </w:pPr>
    </w:p>
    <w:p>
      <w:bookmarkStart w:id="4" w:name="s4"/>
      <w:pPr>
        <w:pStyle w:val="Heading1"/>
      </w:pPr>
      <w:r>
        <w:t>4 Repository setup procedure</w:t>
      </w:r>
      <w:bookmarkEnd w:id="4"/>
    </w:p>
    <w:p>
      <w:r>
        <w:t xml:space="preserve">Complete these steps in order in </w:t>
      </w:r>
      <w:r>
        <w:rPr>
          <w:rFonts w:ascii="Liberation Mono" w:hAnsi="Liberation Mono"/>
          <w:sz w:val="18"/>
        </w:rPr>
        <w:t>PreChatGPTSenior/agentic-controlls-examples</w:t>
      </w:r>
      <w:r>
        <w:t>. Put the setup files through the same visible diff and owner acceptance used for later control changes.</w:t>
      </w:r>
    </w:p>
    <w:p>
      <w:pPr>
        <w:pStyle w:val="Heading2"/>
      </w:pPr>
      <w:r>
        <w:t>4.1 Create the control files</w:t>
      </w:r>
    </w:p>
    <w:p>
      <w:r>
        <w:t>Use the following path assignments. Keep one canonical policy source per subject and link to it from shorter agent instructions.</w:t>
      </w:r>
    </w:p>
    <w:tbl>
      <w:tblPr>
        <w:tblW w:type="auto" w:w="0"/>
        <w:jc w:val="center"/>
        <w:tblLayout w:type="fixed"/>
        <w:tblLook w:firstColumn="1" w:firstRow="1" w:lastColumn="0" w:lastRow="0" w:noHBand="0" w:noVBand="1" w:val="04A0"/>
      </w:tblPr>
      <w:tblGrid>
        <w:gridCol w:w="4320"/>
        <w:gridCol w:w="5674"/>
      </w:tblGrid>
      <w:tr>
        <w:trPr>
          <w:cantSplit/>
          <w:tblHeader w:val="true"/>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Path</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Canonical responsibility</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rFonts w:ascii="Liberation Mono" w:hAnsi="Liberation Mono"/>
                <w:sz w:val="19"/>
              </w:rPr>
              <w:t>README.md</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Purpose, current phase, quick start, links to controls</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rFonts w:ascii="Liberation Mono" w:hAnsi="Liberation Mono"/>
                <w:sz w:val="19"/>
              </w:rPr>
              <w:t>AGENTS.md</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Agent workflow, authority, scope and stop conditions</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rFonts w:ascii="Liberation Mono" w:hAnsi="Liberation Mono"/>
                <w:sz w:val="19"/>
              </w:rPr>
              <w:t>docs/engineering/phase-2-guide.md</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This guide</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rFonts w:ascii="Liberation Mono" w:hAnsi="Liberation Mono"/>
                <w:sz w:val="19"/>
              </w:rPr>
              <w:t>docs/engineering/rules.md</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Rule IDs and enforcement registry</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rFonts w:ascii="Liberation Mono" w:hAnsi="Liberation Mono"/>
                <w:sz w:val="19"/>
              </w:rPr>
              <w:t>docs/engineering/standards.md</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Language and code conventions</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rFonts w:ascii="Liberation Mono" w:hAnsi="Liberation Mono"/>
                <w:sz w:val="19"/>
              </w:rPr>
              <w:t>docs/engineering/review.md</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Review method and severity policy</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rFonts w:ascii="Liberation Mono" w:hAnsi="Liberation Mono"/>
                <w:sz w:val="19"/>
              </w:rPr>
              <w:t>docs/experiment/baseline.md</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Source, starting condition and exclusions</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rFonts w:ascii="Liberation Mono" w:hAnsi="Liberation Mono"/>
                <w:sz w:val="19"/>
              </w:rPr>
              <w:t>docs/experiment/runs/&lt;run-id&gt;/</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Results, costs, review and acceptance</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rFonts w:ascii="Liberation Mono" w:hAnsi="Liberation Mono"/>
                <w:sz w:val="19"/>
              </w:rPr>
              <w:t>docs/evidence/findings/&lt;finding-id&gt;.md</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One evidence record per finding</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rFonts w:ascii="Liberation Mono" w:hAnsi="Liberation Mono"/>
                <w:sz w:val="19"/>
              </w:rPr>
              <w:t>docs/adr/</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Architecture and process decisions</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rFonts w:ascii="Liberation Mono" w:hAnsi="Liberation Mono"/>
                <w:sz w:val="19"/>
              </w:rPr>
              <w:t>docs/exceptions/</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Time-bounded exceptions with owners</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rFonts w:ascii="Liberation Mono" w:hAnsi="Liberation Mono"/>
                <w:sz w:val="19"/>
              </w:rPr>
              <w:t>docs/toolchain.md</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Effective runtime, tool, model and action pins</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rFonts w:ascii="Liberation Mono" w:hAnsi="Liberation Mono"/>
                <w:sz w:val="19"/>
              </w:rPr>
              <w:t>templates/</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Templates from section 10</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rFonts w:ascii="Liberation Mono" w:hAnsi="Liberation Mono"/>
                <w:sz w:val="19"/>
              </w:rPr>
              <w:t>specs/&lt;feature&gt;/</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Spec, acceptance, plan and tasks</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rFonts w:ascii="Liberation Mono" w:hAnsi="Liberation Mono"/>
                <w:sz w:val="19"/>
              </w:rPr>
              <w:t>config/quality/</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Formatter, Checkstyle, PMD and CPD settings</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rFonts w:ascii="Liberation Mono" w:hAnsi="Liberation Mono"/>
                <w:sz w:val="19"/>
              </w:rPr>
              <w:t>.github/pull_request_template.md</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Pull request template</w:t>
            </w:r>
          </w:p>
        </w:tc>
      </w:tr>
      <w:tr>
        <w:trPr>
          <w:cantSplit/>
        </w:trPr>
        <w:tc>
          <w:tcPr>
            <w:tcW w:type="dxa" w:w="432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rFonts w:ascii="Liberation Mono" w:hAnsi="Liberation Mono"/>
                <w:sz w:val="19"/>
              </w:rPr>
              <w:t>.github/workflows/quality.yml</w:t>
            </w:r>
          </w:p>
        </w:tc>
        <w:tc>
          <w:tcPr>
            <w:tcW w:type="dxa" w:w="5674"/>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Required checks and final aggregation</w:t>
            </w:r>
          </w:p>
        </w:tc>
      </w:tr>
    </w:tbl>
    <w:p>
      <w:pPr>
        <w:spacing w:after="40"/>
      </w:pPr>
    </w:p>
    <w:p>
      <w:r>
        <w:t>Create application directories only when the attributed import is ready. Do not populate an otherwise clean repository with unused services or speculative infrastructure.</w:t>
      </w:r>
    </w:p>
    <w:p>
      <w:pPr>
        <w:pStyle w:val="Heading2"/>
      </w:pPr>
      <w:r>
        <w:t>4.2 Record the initial decision</w:t>
      </w:r>
    </w:p>
    <w:p>
      <w:r>
        <w:t xml:space="preserve">Create ADR P2-0001 at </w:t>
      </w:r>
      <w:r>
        <w:rPr>
          <w:rFonts w:ascii="Liberation Mono" w:hAnsi="Liberation Mono"/>
          <w:sz w:val="18"/>
        </w:rPr>
        <w:t>docs/adr/p2-0001-experiment-boundary.md</w:t>
      </w:r>
      <w:r>
        <w:t xml:space="preserve"> for Phase 2 isolation, controlled-refactoring scope, the source SHA, the rule hierarchy, and the acceptance policy in this guide. Mark it proposed until adopted. Use the P2 prefix to avoid collisions with imported Phase 1 ADR IDs. Subsequent decisions must identify which rule or contract they replace and the affected experiment runs. Do not silently rewrite historical decisions.</w:t>
      </w:r>
    </w:p>
    <w:p>
      <w:r>
        <w:t xml:space="preserve">Preserve imported Phase 1 agent instructions and constitution as attributed evidence under </w:t>
      </w:r>
      <w:r>
        <w:rPr>
          <w:rFonts w:ascii="Liberation Mono" w:hAnsi="Liberation Mono"/>
          <w:sz w:val="18"/>
        </w:rPr>
        <w:t>docs/evidence/phase-1-policy/</w:t>
      </w:r>
      <w:r>
        <w:t>, with their original paths and hashes in the manifest. Do not install them as competing active Phase 2 instructions. Record which constraints are retained, revised, or retired in P2-0001, and place the adopted rules in the canonical Phase 2 files. In particular, the appropriate-test policy, scope boundaries, and style defaults in this guide are proposed revisions where they differ from Phase 1.</w:t>
      </w:r>
    </w:p>
    <w:p>
      <w:r>
        <w:t>Adopt this conflict order for Phase 2: explicit owner direction for the current task; accepted feature contract and ADRs; repository constitution and standards; local module instructions; skill instructions; implementation suggestions. If accepted artifacts conflict, record the conflict and resolve it before dependent code. An agent may point out a contradiction; it may not treat that as authority to redesign the product.</w:t>
      </w:r>
    </w:p>
    <w:p>
      <w:r>
        <w:t xml:space="preserve">Keep acceptance criteria in </w:t>
      </w:r>
      <w:r>
        <w:rPr>
          <w:rFonts w:ascii="Liberation Mono" w:hAnsi="Liberation Mono"/>
          <w:sz w:val="18"/>
        </w:rPr>
        <w:t>acceptance.md</w:t>
      </w:r>
      <w:r>
        <w:t>, referenced from the spec and task list. The requirements describe intended HTTP behavior. Generated OpenAPI describes the implemented HTTP interface and is checked against those requirements; generating a schema is not acceptance by itself. Keep AsyncAPI authoritative for event contracts.</w:t>
      </w:r>
    </w:p>
    <w:p>
      <w:pPr>
        <w:pStyle w:val="Heading2"/>
      </w:pPr>
      <w:r>
        <w:t>4.3 Install and calibrate enforcement</w:t>
      </w:r>
    </w:p>
    <w:p>
      <w:pPr>
        <w:ind w:left="288" w:hanging="288"/>
      </w:pPr>
      <w:r>
        <w:t xml:space="preserve">1. Pin compatible runtimes, build tools, analysis plugins, container images, models, and CI actions in </w:t>
      </w:r>
      <w:r>
        <w:rPr>
          <w:rFonts w:ascii="Liberation Mono" w:hAnsi="Liberation Mono"/>
          <w:sz w:val="18"/>
        </w:rPr>
        <w:t>docs/toolchain.md</w:t>
      </w:r>
      <w:r>
        <w:t xml:space="preserve"> and executable configuration. Record effective versions from the tools, not only README claims. Start with imported pins; make any compatibility upgrade a separate decision.</w:t>
      </w:r>
    </w:p>
    <w:p>
      <w:pPr>
        <w:ind w:left="288" w:hanging="288"/>
      </w:pPr>
      <w:r>
        <w:t>2. Configure the checks in section 7. Use deterministic local data. Live Ollama inference is a separate qualification lane.</w:t>
      </w:r>
    </w:p>
    <w:p>
      <w:pPr>
        <w:ind w:left="288" w:hanging="288"/>
      </w:pPr>
      <w:r>
        <w:t>3. Run checks on the untouched import. Save complete results before fixes or formatting.</w:t>
      </w:r>
    </w:p>
    <w:p>
      <w:pPr>
        <w:ind w:left="288" w:hanging="288"/>
      </w:pPr>
      <w:r>
        <w:t>4. Register inherited violations individually. Prefer exact rule/path fingerprints. Do not accept a single global warning allowance that can hide a newly introduced violation.</w:t>
      </w:r>
    </w:p>
    <w:p>
      <w:pPr>
        <w:ind w:left="288" w:hanging="288"/>
      </w:pPr>
      <w:r>
        <w:t>5. Enable checks for new and changed code, with an explicit schedule for retiring inherited exceptions. No new exception may be created by the implementing agent merely to make its own change pass.</w:t>
      </w:r>
    </w:p>
    <w:p>
      <w:pPr>
        <w:ind w:left="288" w:hanging="288"/>
      </w:pPr>
      <w:r>
        <w:t>6. Demonstrate that intentional format drift, a forbidden dependency, a failing assertion, missing test reports, and fixture drift each fail the appropriate required check. Restore the valid state afterward. These checks test enforcement itself.</w:t>
      </w:r>
    </w:p>
    <w:p>
      <w:pPr>
        <w:ind w:left="288" w:hanging="288"/>
      </w:pPr>
      <w:r>
        <w:t>7. Enable main-branch protection after the named checks have produced real runs. Require pull requests, the applicable checks, resolved blocking findings, and review under section 8. Prevent force pushes and deletion. Limit bypass to the owner and record any use as an experiment intervention.</w:t>
      </w:r>
    </w:p>
    <w:p>
      <w:r>
        <w:t>When only the owner can review, use an independent read-only agent review plus explicit owner acceptance. Do not configure a required second-human approval that the project cannot satisfy, and do not label an agent review as an independent human approval. If another human reviewer is available, require their approval and invalidate it when the reviewed change changes.</w:t>
      </w:r>
    </w:p>
    <w:p>
      <w:pPr>
        <w:pStyle w:val="Heading2"/>
      </w:pPr>
      <w:r>
        <w:t>4.4 Setup exit criteria</w:t>
      </w:r>
    </w:p>
    <w:p>
      <w:r>
        <w:t>Setup is complete when the new repository has an adopted baseline and ADR, canonical rules, the populated templates, working applicable gates, retained baseline failures, proven blocking behavior, and a recorded review/acceptance path. Application work begins only after its own scoped readiness check. A controls-only repository can finish setup without pretending that backend, UI, or model qualification has run.</w:t>
      </w:r>
    </w:p>
    <w:p>
      <w:bookmarkStart w:id="5" w:name="s5"/>
      <w:pPr>
        <w:pStyle w:val="Heading1"/>
      </w:pPr>
      <w:r>
        <w:t>5 Engineering rules</w:t>
      </w:r>
      <w:bookmarkEnd w:id="5"/>
    </w:p>
    <w:p>
      <w:r>
        <w:t>Use MUST for a merge requirement, SHOULD for a reviewable default, and MAY for a permitted choice. Every MUST needs an enforcement method. If automation cannot express it reliably, assign it to review and identify the required evidence.</w:t>
      </w:r>
    </w:p>
    <w:p>
      <w:pPr>
        <w:pStyle w:val="Heading2"/>
      </w:pPr>
      <w:r>
        <w:t>ER01 Preserve scope and source</w:t>
      </w:r>
    </w:p>
    <w:p>
      <w:r>
        <w:t>The task MUST name its feature, task IDs, allowed changes, prohibited changes, and verification level. Implement only that task or explicitly requested batch. Work on a Phase 2 branch. Changes outside the allowed paths require an amended task before editing those paths. A logical task may span several files; artificial one-class isolation must not prevent a necessary contract-consistent change.</w:t>
      </w:r>
    </w:p>
    <w:p>
      <w:r>
        <w:t>Use one logical task per commit, with follow-up correction commits when needed. Include the feature/task ID in commit messages. A task list does not grant permission to execute all later tasks. Commit, push, merge, and publish follow the owner's actual authorization.</w:t>
      </w:r>
    </w:p>
    <w:p>
      <w:pPr>
        <w:pStyle w:val="Heading2"/>
      </w:pPr>
      <w:r>
        <w:t>ER02 Define the contract before the implementation</w:t>
      </w:r>
    </w:p>
    <w:p>
      <w:r>
        <w:t>The spec and acceptance examples MUST state inputs, outputs, error behavior, invariants, dependencies, and exclusions. Resolve material ambiguity before dependent implementation. An omission is not an approved exclusion. Record accepted exclusions in the feature ADR and the exclusion register with the same decision ID.</w:t>
      </w:r>
    </w:p>
    <w:p>
      <w:r>
        <w:t>For boundary behavior, specify examples precise enough to compute an answer independently: timezone, date operator, inclusive/exclusive endpoints, ordering tie-breakers, empty results, absent references, concurrent updates, and recovery limits. Requirements may be revised, but the revision must be explicit and versioned before expected outputs change.</w:t>
      </w:r>
    </w:p>
    <w:p>
      <w:pPr>
        <w:pStyle w:val="Heading2"/>
      </w:pPr>
      <w:r>
        <w:t>ER03 Preserve the selected architecture</w:t>
      </w:r>
    </w:p>
    <w:p>
      <w:r>
        <w:t>For the initial controlled-refactoring run, retain the existing responsibility model: controllers handle transport; application services coordinate business behavior; repositories perform persistence queries; mappers convert representations. Controllers MUST NOT access repositories or expose persistence entities. Services MUST NOT depend on controllers, HTTP error types, or JPA query construction APIs. Domain and persistence types MUST NOT depend on HTTP DTO packages.</w:t>
      </w:r>
    </w:p>
    <w:p>
      <w:r>
        <w:t>Keep shared request/response DTOs separate from controllers. Under the inherited convention, services may accept those DTOs and use persistence entities internally. Do not introduce a second architecture, a generic framework, or a rich domain model solely to satisfy an agent's preference. A larger redesign requires its own ADR and run boundary.</w:t>
      </w:r>
    </w:p>
    <w:p>
      <w:r>
        <w:t>Use ArchUnit for dependency directions and package constraints. Use behavior or integration tests for semantics that bytecode dependency rules cannot prove. The Phase 1 instruction to express every testable rule in ArchUnit should become an appropriate-test requirement in Phase 2.</w:t>
      </w:r>
    </w:p>
    <w:p>
      <w:pPr>
        <w:pStyle w:val="Heading2"/>
      </w:pPr>
      <w:r>
        <w:t>ER04 Protect persistence and external effects</w:t>
      </w:r>
    </w:p>
    <w:p>
      <w:r>
        <w:t>Schema changes MUST use new Liquibase changesets. Do not edit imported committed changesets. Test migration from an empty database and from the selected previous schema on PostgreSQL. Keep runtime schema handling at validation. Use Testcontainers for tests requiring the real database; do not substitute H2 for PostgreSQL behavior.</w:t>
      </w:r>
    </w:p>
    <w:p>
      <w:r>
        <w:t>For an outbox workflow, the business change and outbox write MUST share the intended database transaction. Define event identity, duplicate handling, delivery state, attempt limits, and recovery ownership. Test the crash window after external publication but before the delivery marker is stored. Retries require an idempotency strategy; a retry loop alone does not provide it.</w:t>
      </w:r>
    </w:p>
    <w:p>
      <w:r>
        <w:t>Treat object storage and database updates as a multi-step operation with an explicit cleanup or reconciliation strategy. Do not assume a database rollback reverses an uploaded object or a published message. These are preventive Phase 2 controls, not claims that every listed failure occurred in Phase 1.</w:t>
      </w:r>
    </w:p>
    <w:p>
      <w:pPr>
        <w:pStyle w:val="Heading2"/>
      </w:pPr>
      <w:r>
        <w:t>ER05 Keep retrieval evidence current and bounded</w:t>
      </w:r>
    </w:p>
    <w:p>
      <w:r>
        <w:t>Exact eligibility filters MUST apply regardless of semantic rank. Define whether the final response uses current rows, a versioned snapshot, or explicit failure on change. The Phase 2 default is to reread current rows, preserve the order of surviving eligible IDs, and invalidate semantic evidence whose relevant source content changed.</w:t>
      </w:r>
    </w:p>
    <w:p>
      <w:r>
        <w:t>An ID-only filter is insufficient when the answer also asserts mutable properties. Rebuild the response from valid current data and evidence, or use the specified bounded refresh/fallback. Never silently refill a selection, rerun generation, or relax filters beyond the contract. A final reread is still a point-in-time check; adoption itself needs its own transactional concurrency control.</w:t>
      </w:r>
    </w:p>
    <w:p>
      <w:r>
        <w:t>Store embedding compatibility as a complete profile including model identity/digest, dimensions, preprocessing version, and source revision where applicable. Reject incompatible vectors rather than weakening validation to pass a test. Test producer, stored metadata, query embedding, and repository expectations together.</w:t>
      </w:r>
    </w:p>
    <w:p>
      <w:pPr>
        <w:pStyle w:val="Heading2"/>
      </w:pPr>
      <w:r>
        <w:t>ER06 Separate instructions from untrusted content</w:t>
      </w:r>
    </w:p>
    <w:p>
      <w:r>
        <w:t>Retrieved passages, biographies, uploads, and provider output MUST be treated as data. They cannot grant tool access or alter repository policy. Validate structured model output, enum values, identifier references, size limits, and permitted actions before use. Keep secrets and private context out of prompts, reports, and logs.</w:t>
      </w:r>
    </w:p>
    <w:p>
      <w:r>
        <w:t>A generated statement about a stone must be supported by that stone's permitted evidence. General type knowledge must not become an individual property without support. Preserve the product's specified answer format; internal source references and evaluation metadata do not imply that provenance should appear in the UI.</w:t>
      </w:r>
    </w:p>
    <w:p>
      <w:pPr>
        <w:pStyle w:val="Heading2"/>
      </w:pPr>
      <w:r>
        <w:t>ER07 Preserve independent verification</w:t>
      </w:r>
    </w:p>
    <w:p>
      <w:r>
        <w:t>Expected results MUST come from accepted examples or independently computed fixtures. Do not calculate expected output by calling the same production method being tested. Production validators and model graders are supporting signals, not the sole oracle for factual correctness.</w:t>
      </w:r>
    </w:p>
    <w:p>
      <w:r>
        <w:t>When a test conflicts with the contract, open an oracle-correction record. Preserve the original expectation and verdict, explain the correction, and have a reviewer inspect it. Do not weaken an assertion, remove a difficult case, or change the denominator to make a run pass.</w:t>
      </w:r>
    </w:p>
    <w:p>
      <w:pPr>
        <w:pStyle w:val="Heading2"/>
      </w:pPr>
      <w:r>
        <w:t>ER08 Report execution honestly</w:t>
      </w:r>
    </w:p>
    <w:p>
      <w:r>
        <w:t>Every verification record MUST state tested revision, commands, effective configuration, test counts, and outcomes. Distinguish PASS, FAIL, BLOCKED, NOT RUN, and NOT APPLICABLE. Missing evidence never means PASS. Report the narrow result: a deterministic provider-stub test proves that controlled path, not real-model quality.</w:t>
      </w:r>
    </w:p>
    <w:p>
      <w:r>
        <w:t>A budget interruption, missing dependency, or provider outage must retain its resource classification. Keep separately established functional failures. Do not call an unavailable response either a quality success or a semantic failure without the rubric defining that classification.</w:t>
      </w:r>
    </w:p>
    <w:p>
      <w:pPr>
        <w:pStyle w:val="Heading2"/>
      </w:pPr>
      <w:r>
        <w:t>ER09 Bound retries and costs</w:t>
      </w:r>
    </w:p>
    <w:p>
      <w:r>
        <w:t>Tasks MUST state the maximum model calls, retry/repair attempts, refreshes, elapsed time, and token or currency budget where relevant. Use two agent correction cycles per task as the initial workflow default. After two failed cycles, preserve the diff and evidence and escalate the unresolved cause; do not rewrite the task or controls autonomously.</w:t>
      </w:r>
    </w:p>
    <w:p>
      <w:r>
        <w:t>Application retry limits come from the feature contract and remain separate from agent correction cycles. Do not reset accounting, modify the clock, swap models, or increase budgets to finish a failed run. Any approved change creates a new configuration record and preserves the earlier result.</w:t>
      </w:r>
    </w:p>
    <w:p>
      <w:pPr>
        <w:pStyle w:val="Heading2"/>
      </w:pPr>
      <w:r>
        <w:t>ER10 Keep dependencies deliberate</w:t>
      </w:r>
    </w:p>
    <w:p>
      <w:r>
        <w:t>Reuse a declared library when it meets the requirement. New dependencies MUST identify the need, compatible version, operational cost, and alternative considered. Do not substitute a specified technology without a decision. A container running in Compose does not authorize integrating it into the application.</w:t>
      </w:r>
    </w:p>
    <w:p>
      <w:pPr>
        <w:pStyle w:val="Heading2"/>
      </w:pPr>
      <w:r>
        <w:t>ER11 Keep evidence and control changes reviewable</w:t>
      </w:r>
    </w:p>
    <w:p>
      <w:r>
        <w:t>Requirements, fixtures, analysis rules, exclusions, workflows, and acceptance reports MUST appear in the reviewed diff. Changes that alter how success is measured need separate explanation and owner acceptance. Never hide them inside a formatting or implementation change.</w:t>
      </w:r>
    </w:p>
    <w:p>
      <w:pPr>
        <w:pStyle w:val="Heading2"/>
      </w:pPr>
      <w:r>
        <w:t>ER12 Keep repository artifacts in English</w:t>
      </w:r>
    </w:p>
    <w:p>
      <w:r>
        <w:t>Documentation, ADRs, specifications, identifiers, comments, test names, branch names, and commit messages MUST use English. Quoted user input and multilingual test data may retain their source language when the test requires it. Comments explain intent, invariants, or constraints; they should not narrate obvious statements.</w:t>
      </w:r>
    </w:p>
    <w:p>
      <w:pPr>
        <w:pStyle w:val="Heading2"/>
      </w:pPr>
      <w:r>
        <w:t>5.1 Enforcement registry</w:t>
      </w:r>
    </w:p>
    <w:p>
      <w:r>
        <w:t xml:space="preserve">Seed </w:t>
      </w:r>
      <w:r>
        <w:rPr>
          <w:rFonts w:ascii="Liberation Mono" w:hAnsi="Liberation Mono"/>
          <w:sz w:val="18"/>
        </w:rPr>
        <w:t>docs/engineering/rules.md</w:t>
      </w:r>
      <w:r>
        <w:t xml:space="preserve"> with these assignments. A reviewer owns the semantic parts that automation cannot establish.</w:t>
      </w:r>
    </w:p>
    <w:tbl>
      <w:tblPr>
        <w:tblW w:type="auto" w:w="0"/>
        <w:jc w:val="center"/>
        <w:tblLayout w:type="fixed"/>
        <w:tblLook w:firstColumn="1" w:firstRow="1" w:lastColumn="0" w:lastRow="0" w:noHBand="0" w:noVBand="1" w:val="04A0"/>
      </w:tblPr>
      <w:tblGrid>
        <w:gridCol w:w="2016"/>
        <w:gridCol w:w="3528"/>
        <w:gridCol w:w="4450"/>
      </w:tblGrid>
      <w:tr>
        <w:trPr>
          <w:cantSplit/>
          <w:tblHeader w:val="true"/>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Rule</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Primary enforcement</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Required challenge</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ER01</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G00, G01 and G07</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Reject an out-of-scope changed path</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ER02</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G01 and contract review</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Detect a missing boundary decision</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ER03</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G03 and boundary review</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Reject a controller-to-repository dependency</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ER04</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G05 and migration integrity check</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Detect an edited migration and an unsafe replay</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ER05</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G04, G05 and G06</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Detect stale property evidence after a concurrent edit</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ER06</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G04, G06 and security review</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Reject an instruction embedded in retrieved data</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ER07</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G01 and independent oracle review</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Reject an expectation copied from production output</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ER08</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G01 and final CI aggregation</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Reject a missing report or zero required tests</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ER09</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Runtime counters and run review</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Stop at the recorded call or correction limit</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ER10</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Dependency diff and G07</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Detect an undeclared library or version change</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ER11</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G01 and control-change review</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Surface a changed threshold or exclusion</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ER12</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G02 where reliable and G07</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Flag non-English documentation outside permitted data</w:t>
            </w:r>
          </w:p>
        </w:tc>
      </w:tr>
    </w:tbl>
    <w:p>
      <w:pPr>
        <w:spacing w:after="40"/>
      </w:pPr>
    </w:p>
    <w:p>
      <w:bookmarkStart w:id="6" w:name="s6"/>
      <w:pPr>
        <w:pStyle w:val="Heading1"/>
      </w:pPr>
      <w:r>
        <w:t>6 Code and style standards</w:t>
      </w:r>
      <w:bookmarkEnd w:id="6"/>
    </w:p>
    <w:p>
      <w:pPr>
        <w:pStyle w:val="Heading2"/>
      </w:pPr>
      <w:r>
        <w:t>6.1 Java and Spring</w:t>
      </w:r>
    </w:p>
    <w:p>
      <w:r>
        <w:t>Use one pinned Java formatter with a committed profile. The Phase 2 default is four-space indentation, no tabs, one statement per line, explicit imports, and a 120-character target line width with formatter-controlled wrapping. Check formatting without modifying files in CI. Keep a formatter-only change separate from functional changes.</w:t>
      </w:r>
    </w:p>
    <w:p>
      <w:r>
        <w:t>Use constructor injection, descriptive names, and focused methods. Avoid container records or parameter bundles introduced only to hide the number of collaborators; review whether the service has too many responsibilities. Prefer explicit control flow over compressed one-line conditionals when the code carries business decisions. Keep local variables when they clarify meaning or support debugging; do not treat fewer variables as an allocation optimization.</w:t>
      </w:r>
    </w:p>
    <w:p>
      <w:r>
        <w:t>For the initial import, retain documented API DTO, mapper naming, and HTTP response conventions until an ADR changes them. Preserve the inherited record-size convention during comparison work, but treat any proposed relaxation as a style-policy change rather than an application bug fix. Immutable internal value objects are permitted where the adopted standards allow them; JPA entities follow persistence requirements.</w:t>
      </w:r>
    </w:p>
    <w:p>
      <w:r>
        <w:t>Place business validation and transaction coordination in services, query construction in repositories, and representation conversion in mappers. Map protocol-independent exceptions to the agreed ProblemDetail response in the transport handler. Do not catch broad exceptions merely to return a plausible success. Log safe identifiers, stage, and cause without leaking payloads or credentials.</w:t>
      </w:r>
    </w:p>
    <w:p>
      <w:r>
        <w:t>Review transaction boundaries explicitly. Avoid holding a database transaction across slow provider calls. Any necessary separation of preparation, inference, and persistence needs a documented consistency strategy and a concurrency test. Annotation presence alone does not prove the intended transaction actually applies.</w:t>
      </w:r>
    </w:p>
    <w:p>
      <w:pPr>
        <w:pStyle w:val="Heading2"/>
      </w:pPr>
      <w:r>
        <w:t>6.2 TypeScript and React</w:t>
      </w:r>
    </w:p>
    <w:p>
      <w:r>
        <w:t xml:space="preserve">Enable strict TypeScript checking. Do not add </w:t>
      </w:r>
      <w:r>
        <w:rPr>
          <w:rFonts w:ascii="Liberation Mono" w:hAnsi="Liberation Mono"/>
          <w:sz w:val="18"/>
        </w:rPr>
        <w:t>any</w:t>
      </w:r>
      <w:r>
        <w:t>, broad casts, non-null assertions, or lint suppressions to bypass a contract mismatch without a reviewed reason. Keep transport DTOs and HTTP calls in the API boundary. Components own presentation and interaction; reusable domain transformations belong in testable functions or application hooks.</w:t>
      </w:r>
    </w:p>
    <w:p>
      <w:r>
        <w:t>Render explicit loading, empty, failure, and success states. A failed request must not leave a successful stale state presented as current. Handle cancellation and out-of-order responses for asynchronous searches. Use stable domain keys, accessible labels, keyboard interaction, and meaningful error feedback. Keep technical evaluation metadata out of product flows unless the product contract requires it.</w:t>
      </w:r>
    </w:p>
    <w:p>
      <w:r>
        <w:t>Use the pinned formatter and ESLint configuration, with warnings treated as failures. Test user-visible behavior with React Testing Library. Avoid tests coupled to component internals or large snapshots that a reviewer cannot meaningfully inspect. Verify important API contract changes across both sides.</w:t>
      </w:r>
    </w:p>
    <w:p>
      <w:pPr>
        <w:pStyle w:val="Heading2"/>
      </w:pPr>
      <w:r>
        <w:t>6.3 Tests and static analysis</w:t>
      </w:r>
    </w:p>
    <w:p>
      <w:r>
        <w:t>Use unit tests for pure transformations and invariants; PostgreSQL integration tests for queries, migrations, and transaction behavior; contract tests for transport boundaries; and focused UI tests for interactions. Name tests after the condition and expected result.</w:t>
      </w:r>
    </w:p>
    <w:p>
      <w:r>
        <w:t>The initial PMD ruleset blocks configured correctness and maintainability violations at all selected priorities. CPD uses an initial 100-token threshold for production Java; tests are reported separately to avoid extracting unreadable fixture abstractions merely to reduce duplication. These are proposed calibration values, not measurements of Phase 1. Change them only in a reviewed control change with before/after reports.</w:t>
      </w:r>
    </w:p>
    <w:p>
      <w:r>
        <w:t>For newly written logic, require at least 80 percent line coverage and 70 percent branch coverage where the coverage tool provides reliable changed-line attribution. Also require named acceptance cases and failure-path tests. Coverage never replaces those cases. If changed-line attribution is not yet implemented, report coverage without claiming this numeric gate is enforced; setup must either supply the mechanism or record a temporary exception. Do not lower an inherited whole-repository total to create an artificial pass.</w:t>
      </w:r>
    </w:p>
    <w:p>
      <w:r>
        <w:t>Generated sources may be excluded by exact path and rationale. Exclusions for handwritten services, controllers, repositories, or tests require an exception. Do not use broad package exclusions to hide a failing boundary.</w:t>
      </w:r>
    </w:p>
    <w:p>
      <w:bookmarkStart w:id="7" w:name="s7"/>
      <w:pPr>
        <w:pStyle w:val="Heading1"/>
      </w:pPr>
      <w:r>
        <w:t>7 Quality gates and execution contract</w:t>
      </w:r>
      <w:bookmarkEnd w:id="7"/>
    </w:p>
    <w:p>
      <w:r>
        <w:t>Run the smallest useful checks during implementation. Run the full applicable deterministic merge suite on the final candidate. A successful earlier run remains useful only while its relevant inputs and environment are unchanged; the final merge record must identify exactly which revision it covers.</w:t>
      </w:r>
    </w:p>
    <w:p>
      <w:pPr>
        <w:pStyle w:val="Heading2"/>
      </w:pPr>
      <w:r>
        <w:t>7.1 Gate matrix</w:t>
      </w:r>
    </w:p>
    <w:tbl>
      <w:tblPr>
        <w:tblW w:type="auto" w:w="0"/>
        <w:jc w:val="center"/>
        <w:tblLayout w:type="fixed"/>
        <w:tblLook w:firstColumn="1" w:firstRow="1" w:lastColumn="0" w:lastRow="0" w:noHBand="0" w:noVBand="1" w:val="04A0"/>
      </w:tblPr>
      <w:tblGrid>
        <w:gridCol w:w="2016"/>
        <w:gridCol w:w="3528"/>
        <w:gridCol w:w="4450"/>
      </w:tblGrid>
      <w:tr>
        <w:trPr>
          <w:cantSplit/>
          <w:tblHeader w:val="true"/>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Gate</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When required</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Pass condition and retained output</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G00 Scope and readiness</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Before application editing</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Accepted task, allowed paths, required services and tool versions checked; readiness record</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G01 Contract and evidence integrity</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Every PR</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Links resolve; required fields and scenario IDs agree; no unauthorized evidence or policy changes; validation report</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G02 Format and static checks</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Relevant code/config changes</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Formatter check, Checkstyle, PMD, CPD, ESLint and type check have no unexcepted violations; reports</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G03 Architecture</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Backend or dependency changes</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Applicable ArchUnit tests pass; no new forbidden dependency; test report</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G04 Deterministic behavior</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Relevant behavior changes</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Unit and independent-oracle tests pass with expected nonzero discovery; test and coverage reports</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G05 Integration and contracts</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Persistence, transport, external-effect or UI-boundary changes</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Relevant PostgreSQL, migration, API/event and UI integration cases pass; isolated test evidence</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G06 Search qualification</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Search behavior, models, prompts, retrieval or evidence-policy changes before feature acceptance</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Frozen qualification set meets its adopted hard and quality thresholds; complete original run and assessment</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G07 Independent review and acceptance</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Before normal merge/acceptance</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No unresolved blocker/major finding; applicable check evidence tied to revision; owner decision</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G08 Security and supply chain</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Every PR; dependency review when manifests change</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No unhandled detected secret; new dependency advisories triaged; permissions and action pins checked; reports and dispositions</w:t>
            </w:r>
          </w:p>
        </w:tc>
      </w:tr>
    </w:tbl>
    <w:p>
      <w:pPr>
        <w:spacing w:after="40"/>
      </w:pPr>
    </w:p>
    <w:p>
      <w:r>
        <w:t>Docs-only changes still run G01 and receive review. A gate may be NOT APPLICABLE only when the applicability rule is recorded and reviewed. A changed production prompt cannot be classified as docs-only. Readiness checks only dependencies needed by the scoped batch; unavailable unrelated services do not block independent work.</w:t>
      </w:r>
    </w:p>
    <w:p>
      <w:r>
        <w:t>G08 uses a pinned secret scanner and dependency advisory mechanism selected during setup. A detected real secret blocks merge and requires revocation outside the report; never paste its value into evidence. Block new exploitable high or critical dependency issues until fixed or covered by an owner-accepted, time-bounded exception with a concrete rationale. Record advisory database time and scanner version so a later result can be interpreted. These are preventive controls rather than claims about Phase 1 vulnerabilities.</w:t>
      </w:r>
    </w:p>
    <w:p>
      <w:pPr>
        <w:pStyle w:val="Heading2"/>
      </w:pPr>
      <w:r>
        <w:t>7.2 Bind checks to actual commands</w:t>
      </w:r>
    </w:p>
    <w:p>
      <w:r>
        <w:t xml:space="preserve">For the imported backend, bind formatter checking, Checkstyle, PMD </w:t>
      </w:r>
      <w:r>
        <w:rPr>
          <w:rFonts w:ascii="Liberation Mono" w:hAnsi="Liberation Mono"/>
          <w:sz w:val="18"/>
        </w:rPr>
        <w:t>check</w:t>
      </w:r>
      <w:r>
        <w:t xml:space="preserve">, CPD </w:t>
      </w:r>
      <w:r>
        <w:rPr>
          <w:rFonts w:ascii="Liberation Mono" w:hAnsi="Liberation Mono"/>
          <w:sz w:val="18"/>
        </w:rPr>
        <w:t>cpd-check</w:t>
      </w:r>
      <w:r>
        <w:t>, architecture tests, unit tests, and the selected integration profile to the Maven lifecycle. Use explicit plugin versions from the toolchain record. If integration tests use Failsafe, bind both its integration-test and verify goals; invoke the verify lifecycle so failures are evaluated. Require a nonzero test count for every expected test group.</w:t>
      </w:r>
    </w:p>
    <w:p>
      <w:r>
        <w:t>After that binding exists, the normal backend merge invocation is:</w:t>
      </w:r>
    </w:p>
    <w:p>
      <w:pPr>
        <w:pStyle w:val="GuideCode"/>
      </w:pPr>
      <w:r>
        <w:t>mvn --batch-mode --no-transfer-progress \</w:t>
      </w:r>
    </w:p>
    <w:p>
      <w:pPr>
        <w:pStyle w:val="GuideCode"/>
      </w:pPr>
      <w:r>
        <w:t xml:space="preserve">  -f stone-shelter-api/pom.xml verify</w:t>
      </w:r>
    </w:p>
    <w:p>
      <w:pPr>
        <w:spacing w:after="40"/>
      </w:pPr>
    </w:p>
    <w:p>
      <w:r>
        <w:t>The lifecycle invocation alone does not prove those plugins are configured. Setup must inspect effective configuration and demonstrate each blocking case. Do not pass skip flags or ignore failures in a required job.</w:t>
      </w:r>
    </w:p>
    <w:p>
      <w:r>
        <w:t>For the imported UI, install exactly the lockfile contents and run its existing scripts:</w:t>
      </w:r>
    </w:p>
    <w:p>
      <w:pPr>
        <w:pStyle w:val="GuideCode"/>
      </w:pPr>
      <w:r>
        <w:t>npm --prefix stone-shelter-ui ci</w:t>
      </w:r>
    </w:p>
    <w:p>
      <w:pPr>
        <w:pStyle w:val="GuideCode"/>
      </w:pPr>
      <w:r>
        <w:t>npm --prefix stone-shelter-ui run lint</w:t>
      </w:r>
    </w:p>
    <w:p>
      <w:pPr>
        <w:pStyle w:val="GuideCode"/>
      </w:pPr>
      <w:r>
        <w:t>npm --prefix stone-shelter-ui run build</w:t>
      </w:r>
    </w:p>
    <w:p>
      <w:pPr>
        <w:pStyle w:val="GuideCode"/>
      </w:pPr>
      <w:r>
        <w:t>npm --prefix stone-shelter-ui test -- --run</w:t>
      </w:r>
    </w:p>
    <w:p>
      <w:pPr>
        <w:spacing w:after="40"/>
      </w:pPr>
    </w:p>
    <w:p>
      <w:r>
        <w:t>Add a pinned UI format-check script during setup and include it in G02. Run against a clean isolated checkout. Cache dependencies only with keys that include relevant lockfiles and tool versions. Cache hits cannot replace verification.</w:t>
      </w:r>
    </w:p>
    <w:p>
      <w:pPr>
        <w:pStyle w:val="Heading2"/>
      </w:pPr>
      <w:r>
        <w:t>7.3 Prevent a green job with missing work</w:t>
      </w:r>
    </w:p>
    <w:p>
      <w:r>
        <w:t>Use stable, unique check names and require an always-running final aggregation job. It must inspect every required job outcome, the applicability manifest, and required report files. Reject failure, cancellation, timeout, missing results, unexpected skips, zero discovered required tests, and absent reports.</w:t>
      </w:r>
    </w:p>
    <w:p>
      <w:r>
        <w:t>GitHub can treat skipped or neutral checks as successful for branch protection. Therefore, do not rely on a skipped job to express an unverified requirement. Avoid path-filtering away the whole required workflow. If paths select optional jobs, the final job must still run and verify the selection. Test this behavior during setup. With a merge queue, also handle its merge-group event and validate the queued revision. Source S9.</w:t>
      </w:r>
    </w:p>
    <w:p>
      <w:r>
        <w:t>Give CI the least permissions needed; normal quality jobs need repository read access. Do not run untrusted PR code with write credentials or secrets. Pin actions to reviewed full commit SHAs. Attach reports even when the job fails, redact sensitive data, and retain original qualification evidence under the run ID.</w:t>
      </w:r>
    </w:p>
    <w:p>
      <w:pPr>
        <w:pStyle w:val="Heading2"/>
      </w:pPr>
      <w:r>
        <w:t>7.4 Qualification rules</w:t>
      </w:r>
    </w:p>
    <w:p>
      <w:r>
        <w:t>Use deterministic provider stubs to test state machines, malformed output, timeouts, caps, and race boundaries. Use a separate explicitly configured live-model run to assess interpretation, retrieval, and generated-answer quality. Local Ollama remains the default provider direction unless a new decision changes it; do not add paid API calls implicitly.</w:t>
      </w:r>
    </w:p>
    <w:p>
      <w:r>
        <w:t>Before a live run, freeze dataset and fixture hashes, accepted examples, model names/digests, embedding profile, prompts, thresholds, seed where available, call limits, budgets, and environment. Freeze denominators before collecting outputs. Store missing, blocked, failed, and successful cases; report completion separately from quality.</w:t>
      </w:r>
    </w:p>
    <w:p>
      <w:r>
        <w:t>The initial search acceptance policy requires zero confirmed hard violations, complete required evidence, and all deterministic controls passing. If the feature 0027 cohort is retained unchanged, preserve its original R threshold of 8/9 and A threshold of 10/12, with complete required 28-turn evidence and controlled scenarios. If the dataset changes, create a new version and a separately reviewed threshold decision before running it. Never reuse the old score label for a different cohort.</w:t>
      </w:r>
    </w:p>
    <w:p>
      <w:r>
        <w:t>Keep the original run immutable. Diagnostic repetitions are separate records linked to a hypothesis, with at most two per failed or ambiguous case by default. A later success does not replace the original failure. Oracle corrections preserve both verdicts and identify which scores changed. Requalification after a production fix uses a new run ID.</w:t>
      </w:r>
    </w:p>
    <w:p>
      <w:bookmarkStart w:id="8" w:name="s8"/>
      <w:pPr>
        <w:pStyle w:val="Heading1"/>
      </w:pPr>
      <w:r>
        <w:t>8 Review guidelines</w:t>
      </w:r>
      <w:bookmarkEnd w:id="8"/>
    </w:p>
    <w:p>
      <w:r>
        <w:t>The reviewer receives the current spec, acceptance examples, ADRs, diff, rule registry, and test evidence. Use a separate session from implementation. Do not give the reviewer the developer's conclusion as ground truth. The developer may explain design choices, but cannot certify their own correctness.</w:t>
      </w:r>
    </w:p>
    <w:p>
      <w:pPr>
        <w:pStyle w:val="Heading2"/>
      </w:pPr>
      <w:r>
        <w:t>8.1 Review in this order</w:t>
      </w:r>
    </w:p>
    <w:p>
      <w:pPr>
        <w:ind w:left="288" w:hanging="288"/>
      </w:pPr>
      <w:r>
        <w:t>1. Compare implemented behavior with the accepted contract and exclusions. Look for invented defaults, silent scope expansion, changed errors, and omitted failure cases.</w:t>
      </w:r>
    </w:p>
    <w:p>
      <w:pPr>
        <w:ind w:left="288" w:hanging="288"/>
      </w:pPr>
      <w:r>
        <w:t>2. Follow one real request across transport, service, repository, mapping, external effects, and response. Inspect transaction boundaries and mutable data along that path.</w:t>
      </w:r>
    </w:p>
    <w:p>
      <w:pPr>
        <w:ind w:left="288" w:hanging="288"/>
      </w:pPr>
      <w:r>
        <w:t>3. Challenge the tests. Check whether fixtures match the acceptance examples, the oracle is independent, and required cases actually ran. Separate stubs, integration tests, and live qualification.</w:t>
      </w:r>
    </w:p>
    <w:p>
      <w:pPr>
        <w:ind w:left="288" w:hanging="288"/>
      </w:pPr>
      <w:r>
        <w:t>4. Inspect correctness under deletion, reservation, concurrent edits, duplicate delivery, timeout, malformed model output, stale embeddings, and partial failure where the feature applies.</w:t>
      </w:r>
    </w:p>
    <w:p>
      <w:pPr>
        <w:ind w:left="288" w:hanging="288"/>
      </w:pPr>
      <w:r>
        <w:t>5. Check architecture, readability, dependency choices, and operational recovery. Use lint output as evidence, not as a substitute for this review.</w:t>
      </w:r>
    </w:p>
    <w:p>
      <w:pPr>
        <w:ind w:left="288" w:hanging="288"/>
      </w:pPr>
      <w:r>
        <w:t>6. Compare the final diff with the allowed paths and acceptance evidence. Verify the reports belong to the reviewed candidate and that control changes were declared.</w:t>
      </w:r>
    </w:p>
    <w:p>
      <w:pPr>
        <w:pStyle w:val="Heading2"/>
      </w:pPr>
      <w:r>
        <w:t>8.2 Severity and disposition</w:t>
      </w:r>
    </w:p>
    <w:tbl>
      <w:tblPr>
        <w:tblW w:type="auto" w:w="0"/>
        <w:jc w:val="center"/>
        <w:tblLayout w:type="fixed"/>
        <w:tblLook w:firstColumn="1" w:firstRow="1" w:lastColumn="0" w:lastRow="0" w:noHBand="0" w:noVBand="1" w:val="04A0"/>
      </w:tblPr>
      <w:tblGrid>
        <w:gridCol w:w="2016"/>
        <w:gridCol w:w="3528"/>
        <w:gridCol w:w="4450"/>
      </w:tblGrid>
      <w:tr>
        <w:trPr>
          <w:cantSplit/>
          <w:tblHeader w:val="true"/>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Severity</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Examples</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Merge disposition</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Blocker</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Secret exposure, destructive data risk, fabricated pass evidence, broken mandatory gate</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Stop; correct and reverify</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Major</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Contract violation, unsound transaction/retry behavior, stale unsupported answer, missing required test</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Must fix before normal acceptance</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Minor</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Local clarity or maintainability issue with bounded impact</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Fix or accept a linked follow-up explicitly</w:t>
            </w:r>
          </w:p>
        </w:tc>
      </w:tr>
      <w:tr>
        <w:trPr>
          <w:cantSplit/>
        </w:trPr>
        <w:tc>
          <w:tcPr>
            <w:tcW w:type="dxa" w:w="201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Suggestion</w:t>
            </w:r>
          </w:p>
        </w:tc>
        <w:tc>
          <w:tcPr>
            <w:tcW w:type="dxa" w:w="35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Optional improvement without a violated requirement</w:t>
            </w:r>
          </w:p>
        </w:tc>
        <w:tc>
          <w:tcPr>
            <w:tcW w:type="dxa" w:w="4450"/>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Nonblocking</w:t>
            </w:r>
          </w:p>
        </w:tc>
      </w:tr>
    </w:tbl>
    <w:p>
      <w:pPr>
        <w:spacing w:after="40"/>
      </w:pPr>
    </w:p>
    <w:p>
      <w:r>
        <w:t>A finding must identify the location, violated requirement, triggering condition, expected behavior, and evidence. Label uncertain findings as hypotheses and state the smallest discriminating test. Do not inflate style preferences into functional defects.</w:t>
      </w:r>
    </w:p>
    <w:p>
      <w:r>
        <w:t>The developer responds with a correction, evidence-based rebuttal, or proposed exception. The reviewer rechecks changed behavior and affected boundaries. A changed candidate invalidates prior evidence for affected checks. An exception must name its owner, scope, reason, compensating check, expiry, and removal task. Expired exceptions fail the gate. Unresolved blockers cannot be waived by the implementing agent.</w:t>
      </w:r>
    </w:p>
    <w:p>
      <w:r>
        <w:t>Owner-approved research snapshots may be retained with known failures, but they must carry the failure status and remain outside normal feature acceptance. Emergency bypasses or manual code corrections count as human interventions in experiment reporting.</w:t>
      </w:r>
    </w:p>
    <w:p>
      <w:bookmarkStart w:id="9" w:name="s9"/>
      <w:pPr>
        <w:pStyle w:val="Heading1"/>
      </w:pPr>
      <w:r>
        <w:t>9 Agent workflow and skill candidates</w:t>
      </w:r>
      <w:bookmarkEnd w:id="9"/>
    </w:p>
    <w:p>
      <w:pPr>
        <w:pStyle w:val="Heading2"/>
      </w:pPr>
      <w:r>
        <w:t>9.1 Bounded handoffs</w:t>
      </w:r>
    </w:p>
    <w:p>
      <w:r>
        <w:t>The interviewer collects missing decisions and separates confirmed answers from assumptions and deferred questions. The BA converts those decisions into one current contract with examples, boundaries, dependencies, and exclusions. An independent contract/oracle review checks that the examples describe the intended behavior. The owner resolves material decisions. The developer then receives a small implementation batch and its verification requirements.</w:t>
      </w:r>
    </w:p>
    <w:p>
      <w:r>
        <w:t>The developer reports implementation and evidence separately. The reviewer examines the final candidate read-only. The owner accepts the result or records remaining work. These responsibilities can be sequential sessions; specialized roles do not require introducing Phase 3 orchestration infrastructure.</w:t>
      </w:r>
    </w:p>
    <w:p>
      <w:r>
        <w:t>Do not ask the owner to reconfirm an already accepted decision. Ask only when a missing decision changes behavior, exceeds authorized scope, or cannot be safely inferred. Continue independent work that does not depend on that answer. Do not write unresolved guesses into accepted specifications.</w:t>
      </w:r>
    </w:p>
    <w:p>
      <w:pPr>
        <w:pStyle w:val="Heading2"/>
      </w:pPr>
      <w:r>
        <w:t>9.2 Candidate skills</w:t>
      </w:r>
    </w:p>
    <w:p>
      <w:r>
        <w:t>These are proposed skill specifications, not installed or validated skills. Package a candidate only after its workflow has repeated successfully and its evaluation cases expose meaningful failure modes. Keep policy in canonical repository documents; a skill references those documents instead of copying a divergent constitution.</w:t>
      </w:r>
    </w:p>
    <w:tbl>
      <w:tblPr>
        <w:tblW w:type="auto" w:w="0"/>
        <w:jc w:val="center"/>
        <w:tblLayout w:type="fixed"/>
        <w:tblLook w:firstColumn="1" w:firstRow="1" w:lastColumn="0" w:lastRow="0" w:noHBand="0" w:noVBand="1" w:val="04A0"/>
      </w:tblPr>
      <w:tblGrid>
        <w:gridCol w:w="1728"/>
        <w:gridCol w:w="2592"/>
        <w:gridCol w:w="3096"/>
        <w:gridCol w:w="2578"/>
      </w:tblGrid>
      <w:tr>
        <w:trPr>
          <w:cantSplit/>
          <w:tblHeader w:val="true"/>
        </w:trPr>
        <w:tc>
          <w:tcPr>
            <w:tcW w:type="dxa" w:w="17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Candidate</w:t>
            </w:r>
          </w:p>
        </w:tc>
        <w:tc>
          <w:tcPr>
            <w:tcW w:type="dxa" w:w="259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Trigger and required input</w:t>
            </w:r>
          </w:p>
        </w:tc>
        <w:tc>
          <w:tcPr>
            <w:tcW w:type="dxa" w:w="309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Output and boundary</w:t>
            </w:r>
          </w:p>
        </w:tc>
        <w:tc>
          <w:tcPr>
            <w:tcW w:type="dxa" w:w="257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Evaluation before promotion</w:t>
            </w:r>
          </w:p>
        </w:tc>
      </w:tr>
      <w:tr>
        <w:trPr>
          <w:cantSplit/>
        </w:trPr>
        <w:tc>
          <w:tcPr>
            <w:tcW w:type="dxa" w:w="17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Requirement interviewer</w:t>
            </w:r>
          </w:p>
        </w:tc>
        <w:tc>
          <w:tcPr>
            <w:tcW w:type="dxa" w:w="259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Ambiguous feature request; existing contract and decisions</w:t>
            </w:r>
          </w:p>
        </w:tc>
        <w:tc>
          <w:tcPr>
            <w:tcW w:type="dxa" w:w="309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Decision log, open questions, exclusions proposed; no invented acceptance</w:t>
            </w:r>
          </w:p>
        </w:tc>
        <w:tc>
          <w:tcPr>
            <w:tcW w:type="dxa" w:w="257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Contradictory answers, missing timezone, already answered question</w:t>
            </w:r>
          </w:p>
        </w:tc>
      </w:tr>
      <w:tr>
        <w:trPr>
          <w:cantSplit/>
        </w:trPr>
        <w:tc>
          <w:tcPr>
            <w:tcW w:type="dxa" w:w="17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Contract and example author</w:t>
            </w:r>
          </w:p>
        </w:tc>
        <w:tc>
          <w:tcPr>
            <w:tcW w:type="dxa" w:w="259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Confirmed decisions; glossary and related ADRs</w:t>
            </w:r>
          </w:p>
        </w:tc>
        <w:tc>
          <w:tcPr>
            <w:tcW w:type="dxa" w:w="309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Spec and acceptance examples; no application edits or silent product decisions</w:t>
            </w:r>
          </w:p>
        </w:tc>
        <w:tc>
          <w:tcPr>
            <w:tcW w:type="dxa" w:w="257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Missing year, empty result, partial failure, contradictory example</w:t>
            </w:r>
          </w:p>
        </w:tc>
      </w:tr>
      <w:tr>
        <w:trPr>
          <w:cantSplit/>
        </w:trPr>
        <w:tc>
          <w:tcPr>
            <w:tcW w:type="dxa" w:w="17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Task planner and readiness checker</w:t>
            </w:r>
          </w:p>
        </w:tc>
        <w:tc>
          <w:tcPr>
            <w:tcW w:type="dxa" w:w="259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Accepted contract; requested batch; environment map</w:t>
            </w:r>
          </w:p>
        </w:tc>
        <w:tc>
          <w:tcPr>
            <w:tcW w:type="dxa" w:w="309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Ordered small tasks, allowed paths and readiness report; no scope expansion</w:t>
            </w:r>
          </w:p>
        </w:tc>
        <w:tc>
          <w:tcPr>
            <w:tcW w:type="dxa" w:w="257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Unrelated outage, missing required service, wrong runtime</w:t>
            </w:r>
          </w:p>
        </w:tc>
      </w:tr>
      <w:tr>
        <w:trPr>
          <w:cantSplit/>
        </w:trPr>
        <w:tc>
          <w:tcPr>
            <w:tcW w:type="dxa" w:w="17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Evidence and fixture auditor</w:t>
            </w:r>
          </w:p>
        </w:tc>
        <w:tc>
          <w:tcPr>
            <w:tcW w:type="dxa" w:w="259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Spec, acceptance table, fixture and prior report</w:t>
            </w:r>
          </w:p>
        </w:tc>
        <w:tc>
          <w:tcPr>
            <w:tcW w:type="dxa" w:w="309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Drift findings and independent oracle checks; no automatic gold changes</w:t>
            </w:r>
          </w:p>
        </w:tc>
        <w:tc>
          <w:tcPr>
            <w:tcW w:type="dxa" w:w="257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Q027-style omitted year, wrong size verdict, missing case</w:t>
            </w:r>
          </w:p>
        </w:tc>
      </w:tr>
      <w:tr>
        <w:trPr>
          <w:cantSplit/>
        </w:trPr>
        <w:tc>
          <w:tcPr>
            <w:tcW w:type="dxa" w:w="17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Scoped implementer</w:t>
            </w:r>
          </w:p>
        </w:tc>
        <w:tc>
          <w:tcPr>
            <w:tcW w:type="dxa" w:w="259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Accepted task, rules and allowed files</w:t>
            </w:r>
          </w:p>
        </w:tc>
        <w:tc>
          <w:tcPr>
            <w:tcW w:type="dxa" w:w="309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Minimal diff and truthful verification record; no control weakening</w:t>
            </w:r>
          </w:p>
        </w:tc>
        <w:tc>
          <w:tcPr>
            <w:tcW w:type="dxa" w:w="257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Needed extra file, failing test, tempting unrelated cleanup</w:t>
            </w:r>
          </w:p>
        </w:tc>
      </w:tr>
      <w:tr>
        <w:trPr>
          <w:cantSplit/>
        </w:trPr>
        <w:tc>
          <w:tcPr>
            <w:tcW w:type="dxa" w:w="17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Independent boundary reviewer</w:t>
            </w:r>
          </w:p>
        </w:tc>
        <w:tc>
          <w:tcPr>
            <w:tcW w:type="dxa" w:w="259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Contract, final diff and reports</w:t>
            </w:r>
          </w:p>
        </w:tc>
        <w:tc>
          <w:tcPr>
            <w:tcW w:type="dxa" w:w="309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Severity-ranked findings with proof or uncertainty; read-only</w:t>
            </w:r>
          </w:p>
        </w:tc>
        <w:tc>
          <w:tcPr>
            <w:tcW w:type="dxa" w:w="257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ID-only freshness check, self-referential oracle, skipped tests</w:t>
            </w:r>
          </w:p>
        </w:tc>
      </w:tr>
      <w:tr>
        <w:trPr>
          <w:cantSplit/>
        </w:trPr>
        <w:tc>
          <w:tcPr>
            <w:tcW w:type="dxa" w:w="172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Qualification recorder</w:t>
            </w:r>
          </w:p>
        </w:tc>
        <w:tc>
          <w:tcPr>
            <w:tcW w:type="dxa" w:w="259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Frozen dataset, run configuration and outputs</w:t>
            </w:r>
          </w:p>
        </w:tc>
        <w:tc>
          <w:tcPr>
            <w:tcW w:type="dxa" w:w="3096"/>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Original run, accounting and verdicts; no rerun-to-pass</w:t>
            </w:r>
          </w:p>
        </w:tc>
        <w:tc>
          <w:tcPr>
            <w:tcW w:type="dxa" w:w="2578"/>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Quota interruption, missing phase, favorable repetition</w:t>
            </w:r>
          </w:p>
        </w:tc>
      </w:tr>
    </w:tbl>
    <w:p>
      <w:pPr>
        <w:spacing w:after="40"/>
      </w:pPr>
    </w:p>
    <w:p>
      <w:pPr>
        <w:pStyle w:val="Heading2"/>
      </w:pPr>
      <w:r>
        <w:t>9.3 Promotion contract</w:t>
      </w:r>
    </w:p>
    <w:p>
      <w:r>
        <w:t>For each candidate, define a narrow trigger, required inputs, allowed tools and writes, ordered procedure, stop conditions, and structured output. Use positive and adversarial examples, including at least one case in which the correct result is BLOCKED or a documented question.</w:t>
      </w:r>
    </w:p>
    <w:p>
      <w:r>
        <w:t>Start with five fixed evaluation cases per skill: two normal cases, two boundary/adversarial cases, and one missing-prerequisite case. Promotion requires all authority/scope/evidence constraints to hold and the owner to accept the outputs against the rubric. Record evaluation model, skill version, results, and cost. Five cases establish initial usability, not broad reliability. Keep failed cases as regression inputs when the skill changes.</w:t>
      </w:r>
    </w:p>
    <w:p>
      <w:r>
        <w:t>The fixture auditor and independent reviewer are the first candidates to evaluate because they directly target F03, F04, and F06. Add orchestration only when the individual handoffs are reliable enough to measure.</w:t>
      </w:r>
    </w:p>
    <w:p>
      <w:bookmarkStart w:id="10" w:name="s10"/>
      <w:pPr>
        <w:pStyle w:val="Heading1"/>
      </w:pPr>
      <w:r>
        <w:t>10 Reusable templates</w:t>
      </w:r>
      <w:bookmarkEnd w:id="10"/>
    </w:p>
    <w:p>
      <w:r>
        <w:t>Copy the following blocks to the assigned paths during setup. Angle-bracket fields are fields for each real record; they are not unresolved policy decisions in this guide. Use NOT APPLICABLE with a reason instead of deleting a required field. The evidence and task examples after the templates demonstrate completed entries.</w:t>
      </w:r>
    </w:p>
    <w:p>
      <w:pPr>
        <w:pStyle w:val="Heading2"/>
      </w:pPr>
      <w:r>
        <w:t>10.1 Root agent instructions</w:t>
      </w:r>
    </w:p>
    <w:p>
      <w:r>
        <w:t xml:space="preserve">Destination: </w:t>
      </w:r>
      <w:r>
        <w:rPr>
          <w:rFonts w:ascii="Liberation Mono" w:hAnsi="Liberation Mono"/>
          <w:sz w:val="18"/>
        </w:rPr>
        <w:t>AGENTS.md</w:t>
      </w:r>
      <w:r>
        <w:t>.</w:t>
      </w:r>
    </w:p>
    <w:p>
      <w:pPr>
        <w:pStyle w:val="GuideCode"/>
      </w:pPr>
      <w:r>
        <w:t># Phase 2 agent instructions</w:t>
      </w:r>
    </w:p>
    <w:p>
      <w:pPr>
        <w:pStyle w:val="GuideCode"/>
      </w:pPr>
      <w:r>
        <w:t xml:space="preserve"> </w:t>
      </w:r>
    </w:p>
    <w:p>
      <w:pPr>
        <w:pStyle w:val="GuideCode"/>
      </w:pPr>
      <w:r>
        <w:t>Work only in PreChatGPTSenior/agentic-controlls-examples.</w:t>
      </w:r>
    </w:p>
    <w:p>
      <w:pPr>
        <w:pStyle w:val="GuideCode"/>
      </w:pPr>
      <w:r>
        <w:t>Phase 1 is read-only historical evidence. Never change or push to it.</w:t>
      </w:r>
    </w:p>
    <w:p>
      <w:pPr>
        <w:pStyle w:val="GuideCode"/>
      </w:pPr>
      <w:r>
        <w:t>The entire engineering-log directory is human-only and excluded from all</w:t>
      </w:r>
    </w:p>
    <w:p>
      <w:pPr>
        <w:pStyle w:val="GuideCode"/>
      </w:pPr>
      <w:r>
        <w:t>agent access, searches, inventories, exports, history analysis and copies.</w:t>
      </w:r>
    </w:p>
    <w:p>
      <w:pPr>
        <w:pStyle w:val="GuideCode"/>
      </w:pPr>
      <w:r>
        <w:t xml:space="preserve"> </w:t>
      </w:r>
    </w:p>
    <w:p>
      <w:pPr>
        <w:pStyle w:val="GuideCode"/>
      </w:pPr>
      <w:r>
        <w:t>Read the current task, its spec and acceptance file, applicable ADRs,</w:t>
      </w:r>
    </w:p>
    <w:p>
      <w:pPr>
        <w:pStyle w:val="GuideCode"/>
      </w:pPr>
      <w:r>
        <w:t>docs/engineering/rules.md and module instructions before editing.</w:t>
      </w:r>
    </w:p>
    <w:p>
      <w:pPr>
        <w:pStyle w:val="GuideCode"/>
      </w:pPr>
      <w:r>
        <w:t>Use the conflict policy in docs/engineering/phase-2-guide.md.</w:t>
      </w:r>
    </w:p>
    <w:p>
      <w:pPr>
        <w:pStyle w:val="GuideCode"/>
      </w:pPr>
      <w:r>
        <w:t>Do not resolve conflicting accepted requirements by inventing behavior.</w:t>
      </w:r>
    </w:p>
    <w:p>
      <w:pPr>
        <w:pStyle w:val="GuideCode"/>
      </w:pPr>
      <w:r>
        <w:t xml:space="preserve"> </w:t>
      </w:r>
    </w:p>
    <w:p>
      <w:pPr>
        <w:pStyle w:val="GuideCode"/>
      </w:pPr>
      <w:r>
        <w:t>1. Identify the authorized task IDs and allowed paths.</w:t>
      </w:r>
    </w:p>
    <w:p>
      <w:pPr>
        <w:pStyle w:val="GuideCode"/>
      </w:pPr>
      <w:r>
        <w:t>2. Check readiness for the requested batch and report concrete blockers.</w:t>
      </w:r>
    </w:p>
    <w:p>
      <w:pPr>
        <w:pStyle w:val="GuideCode"/>
      </w:pPr>
      <w:r>
        <w:t>3. Confirm the contract and independent expected examples.</w:t>
      </w:r>
    </w:p>
    <w:p>
      <w:pPr>
        <w:pStyle w:val="GuideCode"/>
      </w:pPr>
      <w:r>
        <w:t>4. Make the smallest coherent change within scope.</w:t>
      </w:r>
    </w:p>
    <w:p>
      <w:pPr>
        <w:pStyle w:val="GuideCode"/>
      </w:pPr>
      <w:r>
        <w:t>5. Run focused checks, then the applicable final merge checks.</w:t>
      </w:r>
    </w:p>
    <w:p>
      <w:pPr>
        <w:pStyle w:val="GuideCode"/>
      </w:pPr>
      <w:r>
        <w:t>6. Inspect the diff and attach revision-specific evidence.</w:t>
      </w:r>
    </w:p>
    <w:p>
      <w:pPr>
        <w:pStyle w:val="GuideCode"/>
      </w:pPr>
      <w:r>
        <w:t>7. Report implemented, verified and accepted as separate states.</w:t>
      </w:r>
    </w:p>
    <w:p>
      <w:pPr>
        <w:pStyle w:val="GuideCode"/>
      </w:pPr>
      <w:r>
        <w:t xml:space="preserve"> </w:t>
      </w:r>
    </w:p>
    <w:p>
      <w:pPr>
        <w:pStyle w:val="GuideCode"/>
      </w:pPr>
      <w:r>
        <w:t>Do not change requirements, gold data, gate thresholds, exclusions or</w:t>
      </w:r>
    </w:p>
    <w:p>
      <w:pPr>
        <w:pStyle w:val="GuideCode"/>
      </w:pPr>
      <w:r>
        <w:t>workflow permissions to pass your own change. Propose a separate decision.</w:t>
      </w:r>
    </w:p>
    <w:p>
      <w:pPr>
        <w:pStyle w:val="GuideCode"/>
      </w:pPr>
      <w:r>
        <w:t>Do not claim a check passed unless it ran and its required evidence exists.</w:t>
      </w:r>
    </w:p>
    <w:p>
      <w:pPr>
        <w:pStyle w:val="GuideCode"/>
      </w:pPr>
      <w:r>
        <w:t>Preserve original failures; classify blocked and missing work explicitly.</w:t>
      </w:r>
    </w:p>
    <w:p>
      <w:pPr>
        <w:pStyle w:val="GuideCode"/>
      </w:pPr>
      <w:r>
        <w:t>After two unsuccessful correction cycles, preserve evidence and escalate.</w:t>
      </w:r>
    </w:p>
    <w:p>
      <w:pPr>
        <w:pStyle w:val="GuideCode"/>
      </w:pPr>
      <w:r>
        <w:t>Do not execute additional tasks merely because they appear in tasks.md.</w:t>
      </w:r>
    </w:p>
    <w:p>
      <w:pPr>
        <w:pStyle w:val="GuideCode"/>
      </w:pPr>
      <w:r>
        <w:t>Commit, push, merge and publish only within the owner's authorization.</w:t>
      </w:r>
    </w:p>
    <w:p>
      <w:pPr>
        <w:pStyle w:val="GuideCode"/>
      </w:pPr>
      <w:r>
        <w:t>Use English for repository artifacts, except intentional test input.</w:t>
      </w:r>
    </w:p>
    <w:p>
      <w:pPr>
        <w:pStyle w:val="GuideCode"/>
      </w:pPr>
      <w:r>
        <w:t xml:space="preserve"> </w:t>
      </w:r>
    </w:p>
    <w:p>
      <w:pPr>
        <w:pStyle w:val="GuideCode"/>
      </w:pPr>
      <w:r>
        <w:t>Canonical policy:</w:t>
      </w:r>
    </w:p>
    <w:p>
      <w:pPr>
        <w:pStyle w:val="GuideCode"/>
      </w:pPr>
      <w:r>
        <w:t>- docs/engineering/rules.md</w:t>
      </w:r>
    </w:p>
    <w:p>
      <w:pPr>
        <w:pStyle w:val="GuideCode"/>
      </w:pPr>
      <w:r>
        <w:t>- docs/engineering/standards.md</w:t>
      </w:r>
    </w:p>
    <w:p>
      <w:pPr>
        <w:pStyle w:val="GuideCode"/>
      </w:pPr>
      <w:r>
        <w:t>- docs/engineering/review.md</w:t>
      </w:r>
    </w:p>
    <w:p>
      <w:pPr>
        <w:pStyle w:val="GuideCode"/>
      </w:pPr>
      <w:r>
        <w:t>- docs/experiment/baseline.md</w:t>
      </w:r>
    </w:p>
    <w:p>
      <w:pPr>
        <w:spacing w:after="40"/>
      </w:pPr>
    </w:p>
    <w:p>
      <w:pPr>
        <w:pStyle w:val="Heading2"/>
      </w:pPr>
      <w:r>
        <w:t>10.2 Feature contract</w:t>
      </w:r>
    </w:p>
    <w:p>
      <w:r>
        <w:t xml:space="preserve">Destination: </w:t>
      </w:r>
      <w:r>
        <w:rPr>
          <w:rFonts w:ascii="Liberation Mono" w:hAnsi="Liberation Mono"/>
          <w:sz w:val="18"/>
        </w:rPr>
        <w:t>templates/feature-spec.md</w:t>
      </w:r>
      <w:r>
        <w:t xml:space="preserve">; instances: </w:t>
      </w:r>
      <w:r>
        <w:rPr>
          <w:rFonts w:ascii="Liberation Mono" w:hAnsi="Liberation Mono"/>
          <w:sz w:val="18"/>
        </w:rPr>
        <w:t>specs/&lt;feature&gt;/spec.md</w:t>
      </w:r>
      <w:r>
        <w:t>.</w:t>
      </w:r>
    </w:p>
    <w:p>
      <w:pPr>
        <w:pStyle w:val="GuideCode"/>
      </w:pPr>
      <w:r>
        <w:t># &lt;Feature ID and name&gt;</w:t>
      </w:r>
    </w:p>
    <w:p>
      <w:pPr>
        <w:pStyle w:val="GuideCode"/>
      </w:pPr>
      <w:r>
        <w:t xml:space="preserve"> </w:t>
      </w:r>
    </w:p>
    <w:p>
      <w:pPr>
        <w:pStyle w:val="GuideCode"/>
      </w:pPr>
      <w:r>
        <w:t>Status: proposed | accepted | superseded</w:t>
      </w:r>
    </w:p>
    <w:p>
      <w:pPr>
        <w:pStyle w:val="GuideCode"/>
      </w:pPr>
      <w:r>
        <w:t>Owner: &lt;decision owner&gt;</w:t>
      </w:r>
    </w:p>
    <w:p>
      <w:pPr>
        <w:pStyle w:val="GuideCode"/>
      </w:pPr>
      <w:r>
        <w:t>Contract revision: &lt;version or commit&gt;</w:t>
      </w:r>
    </w:p>
    <w:p>
      <w:pPr>
        <w:pStyle w:val="GuideCode"/>
      </w:pPr>
      <w:r>
        <w:t>Related ADRs: &lt;links&gt;</w:t>
      </w:r>
    </w:p>
    <w:p>
      <w:pPr>
        <w:pStyle w:val="GuideCode"/>
      </w:pPr>
      <w:r>
        <w:t>Acceptance: [Acceptance criteria](acceptance.md)</w:t>
      </w:r>
    </w:p>
    <w:p>
      <w:pPr>
        <w:pStyle w:val="GuideCode"/>
      </w:pPr>
      <w:r>
        <w:t xml:space="preserve"> </w:t>
      </w:r>
    </w:p>
    <w:p>
      <w:pPr>
        <w:pStyle w:val="GuideCode"/>
      </w:pPr>
      <w:r>
        <w:t>## User outcome</w:t>
      </w:r>
    </w:p>
    <w:p>
      <w:pPr>
        <w:pStyle w:val="GuideCode"/>
      </w:pPr>
      <w:r>
        <w:t>&lt;Concrete action and observable result.&gt;</w:t>
      </w:r>
    </w:p>
    <w:p>
      <w:pPr>
        <w:pStyle w:val="GuideCode"/>
      </w:pPr>
      <w:r>
        <w:t xml:space="preserve"> </w:t>
      </w:r>
    </w:p>
    <w:p>
      <w:pPr>
        <w:pStyle w:val="GuideCode"/>
      </w:pPr>
      <w:r>
        <w:t>## Scope</w:t>
      </w:r>
    </w:p>
    <w:p>
      <w:pPr>
        <w:pStyle w:val="GuideCode"/>
      </w:pPr>
      <w:r>
        <w:t>Included: &lt;behaviors and boundaries&gt;</w:t>
      </w:r>
    </w:p>
    <w:p>
      <w:pPr>
        <w:pStyle w:val="GuideCode"/>
      </w:pPr>
      <w:r>
        <w:t>Excluded: &lt;accepted exclusion IDs, or none&gt;</w:t>
      </w:r>
    </w:p>
    <w:p>
      <w:pPr>
        <w:pStyle w:val="GuideCode"/>
      </w:pPr>
      <w:r>
        <w:t xml:space="preserve"> </w:t>
      </w:r>
    </w:p>
    <w:p>
      <w:pPr>
        <w:pStyle w:val="GuideCode"/>
      </w:pPr>
      <w:r>
        <w:t>## Contract</w:t>
      </w:r>
    </w:p>
    <w:p>
      <w:pPr>
        <w:pStyle w:val="GuideCode"/>
      </w:pPr>
      <w:r>
        <w:t>Inputs: &lt;fields, constraints and missing/invalid handling&gt;</w:t>
      </w:r>
    </w:p>
    <w:p>
      <w:pPr>
        <w:pStyle w:val="GuideCode"/>
      </w:pPr>
      <w:r>
        <w:t>Outputs: &lt;fields, ordering, empty result and transport behavior&gt;</w:t>
      </w:r>
    </w:p>
    <w:p>
      <w:pPr>
        <w:pStyle w:val="GuideCode"/>
      </w:pPr>
      <w:r>
        <w:t>Errors: &lt;condition, response and retryability&gt;</w:t>
      </w:r>
    </w:p>
    <w:p>
      <w:pPr>
        <w:pStyle w:val="GuideCode"/>
      </w:pPr>
      <w:r>
        <w:t>Invariants: &lt;properties that must always hold&gt;</w:t>
      </w:r>
    </w:p>
    <w:p>
      <w:pPr>
        <w:pStyle w:val="GuideCode"/>
      </w:pPr>
      <w:r>
        <w:t>Time and concurrency: &lt;clock, timezone, interval edges, stale data policy&gt;</w:t>
      </w:r>
    </w:p>
    <w:p>
      <w:pPr>
        <w:pStyle w:val="GuideCode"/>
      </w:pPr>
      <w:r>
        <w:t>Dependencies: &lt;services, models, contracts and required versions&gt;</w:t>
      </w:r>
    </w:p>
    <w:p>
      <w:pPr>
        <w:pStyle w:val="GuideCode"/>
      </w:pPr>
      <w:r>
        <w:t>Limits: &lt;calls, retries, refreshes, time and budget&gt;</w:t>
      </w:r>
    </w:p>
    <w:p>
      <w:pPr>
        <w:pStyle w:val="GuideCode"/>
      </w:pPr>
      <w:r>
        <w:t>Compatibility: &lt;existing behavior preserved or explicit change&gt;</w:t>
      </w:r>
    </w:p>
    <w:p>
      <w:pPr>
        <w:pStyle w:val="GuideCode"/>
      </w:pPr>
      <w:r>
        <w:t xml:space="preserve"> </w:t>
      </w:r>
    </w:p>
    <w:p>
      <w:pPr>
        <w:pStyle w:val="GuideCode"/>
      </w:pPr>
      <w:r>
        <w:t>## Decisions</w:t>
      </w:r>
    </w:p>
    <w:p>
      <w:pPr>
        <w:pStyle w:val="GuideCode"/>
      </w:pPr>
      <w:r>
        <w:t>Confirmed: &lt;decision IDs and meaning&gt;</w:t>
      </w:r>
    </w:p>
    <w:p>
      <w:pPr>
        <w:pStyle w:val="GuideCode"/>
      </w:pPr>
      <w:r>
        <w:t>Open: &lt;question, owner and dependent task&gt;</w:t>
      </w:r>
    </w:p>
    <w:p>
      <w:pPr>
        <w:pStyle w:val="GuideCode"/>
      </w:pPr>
      <w:r>
        <w:t>Deferred: &lt;reason and affected scope; no implied acceptance&gt;</w:t>
      </w:r>
    </w:p>
    <w:p>
      <w:pPr>
        <w:spacing w:after="40"/>
      </w:pPr>
    </w:p>
    <w:p>
      <w:pPr>
        <w:pStyle w:val="Heading2"/>
      </w:pPr>
      <w:r>
        <w:t>10.3 Acceptance cases and independent oracle</w:t>
      </w:r>
    </w:p>
    <w:p>
      <w:r>
        <w:t xml:space="preserve">Destination: </w:t>
      </w:r>
      <w:r>
        <w:rPr>
          <w:rFonts w:ascii="Liberation Mono" w:hAnsi="Liberation Mono"/>
          <w:sz w:val="18"/>
        </w:rPr>
        <w:t>templates/acceptance.md</w:t>
      </w:r>
      <w:r>
        <w:t>.</w:t>
      </w:r>
    </w:p>
    <w:p>
      <w:pPr>
        <w:pStyle w:val="GuideCode"/>
      </w:pPr>
      <w:r>
        <w:t># &lt;Feature ID&gt; acceptance</w:t>
      </w:r>
    </w:p>
    <w:p>
      <w:pPr>
        <w:pStyle w:val="GuideCode"/>
      </w:pPr>
      <w:r>
        <w:t xml:space="preserve"> </w:t>
      </w:r>
    </w:p>
    <w:p>
      <w:pPr>
        <w:pStyle w:val="GuideCode"/>
      </w:pPr>
      <w:r>
        <w:t>Contract revision: &lt;version or commit&gt;</w:t>
      </w:r>
    </w:p>
    <w:p>
      <w:pPr>
        <w:pStyle w:val="GuideCode"/>
      </w:pPr>
      <w:r>
        <w:t>Oracle author and independent reviewer: &lt;identities/sessions&gt;</w:t>
      </w:r>
    </w:p>
    <w:p>
      <w:pPr>
        <w:pStyle w:val="GuideCode"/>
      </w:pPr>
      <w:r>
        <w:t xml:space="preserve"> </w:t>
      </w:r>
    </w:p>
    <w:p>
      <w:pPr>
        <w:pStyle w:val="GuideCode"/>
      </w:pPr>
      <w:r>
        <w:t>| AC ID | Given | When | Then | Evidence/test ID |</w:t>
      </w:r>
    </w:p>
    <w:p>
      <w:pPr>
        <w:pStyle w:val="GuideCode"/>
      </w:pPr>
      <w:r>
        <w:t>| --- | --- | --- | --- | --- |</w:t>
      </w:r>
    </w:p>
    <w:p>
      <w:pPr>
        <w:pStyle w:val="GuideCode"/>
      </w:pPr>
      <w:r>
        <w:t>| &lt;ID&gt; | &lt;fixed state&gt; | &lt;literal input/action&gt; | &lt;exact outcome&gt; | &lt;test&gt; |</w:t>
      </w:r>
    </w:p>
    <w:p>
      <w:pPr>
        <w:pStyle w:val="GuideCode"/>
      </w:pPr>
      <w:r>
        <w:t xml:space="preserve"> </w:t>
      </w:r>
    </w:p>
    <w:p>
      <w:pPr>
        <w:pStyle w:val="GuideCode"/>
      </w:pPr>
      <w:r>
        <w:t>Clock and timezone: &lt;fixed values or explicit real-time rule&gt;</w:t>
      </w:r>
    </w:p>
    <w:p>
      <w:pPr>
        <w:pStyle w:val="GuideCode"/>
      </w:pPr>
      <w:r>
        <w:t>Fixture version/hash: &lt;value&gt;</w:t>
      </w:r>
    </w:p>
    <w:p>
      <w:pPr>
        <w:pStyle w:val="GuideCode"/>
      </w:pPr>
      <w:r>
        <w:t>Expected results derived from: &lt;contract, hand calculation or independent query&gt;</w:t>
      </w:r>
    </w:p>
    <w:p>
      <w:pPr>
        <w:pStyle w:val="GuideCode"/>
      </w:pPr>
      <w:r>
        <w:t>Hard failure criteria: &lt;conditions&gt;</w:t>
      </w:r>
    </w:p>
    <w:p>
      <w:pPr>
        <w:pStyle w:val="GuideCode"/>
      </w:pPr>
      <w:r>
        <w:t>Quality rubric and fixed denominators: &lt;values or not applicable&gt;</w:t>
      </w:r>
    </w:p>
    <w:p>
      <w:pPr>
        <w:pStyle w:val="GuideCode"/>
      </w:pPr>
      <w:r>
        <w:t>Concurrent change cases: &lt;update, delete, reserve, duplicate or not applicable&gt;</w:t>
      </w:r>
    </w:p>
    <w:p>
      <w:pPr>
        <w:pStyle w:val="GuideCode"/>
      </w:pPr>
      <w:r>
        <w:t>Failure cases: &lt;timeouts, invalid input, outage, partial effect&gt;</w:t>
      </w:r>
    </w:p>
    <w:p>
      <w:pPr>
        <w:pStyle w:val="GuideCode"/>
      </w:pPr>
      <w:r>
        <w:t>Coverage: &lt;AC-to-test mapping, with unverified cases explicit&gt;</w:t>
      </w:r>
    </w:p>
    <w:p>
      <w:pPr>
        <w:pStyle w:val="GuideCode"/>
      </w:pPr>
      <w:r>
        <w:t xml:space="preserve"> </w:t>
      </w:r>
    </w:p>
    <w:p>
      <w:pPr>
        <w:pStyle w:val="GuideCode"/>
      </w:pPr>
      <w:r>
        <w:t>Oracle changes require a decision record preserving old and new expectations.</w:t>
      </w:r>
    </w:p>
    <w:p>
      <w:pPr>
        <w:spacing w:after="40"/>
      </w:pPr>
    </w:p>
    <w:p>
      <w:pPr>
        <w:pStyle w:val="Heading2"/>
      </w:pPr>
      <w:r>
        <w:t>10.4 Implementation task and readiness</w:t>
      </w:r>
    </w:p>
    <w:p>
      <w:r>
        <w:t xml:space="preserve">Destination: </w:t>
      </w:r>
      <w:r>
        <w:rPr>
          <w:rFonts w:ascii="Liberation Mono" w:hAnsi="Liberation Mono"/>
          <w:sz w:val="18"/>
        </w:rPr>
        <w:t>templates/task.md</w:t>
      </w:r>
      <w:r>
        <w:t>. Put readiness first in each requested batch.</w:t>
      </w:r>
    </w:p>
    <w:p>
      <w:pPr>
        <w:pStyle w:val="GuideCode"/>
      </w:pPr>
      <w:r>
        <w:t># &lt;Task ID and name&gt;</w:t>
      </w:r>
    </w:p>
    <w:p>
      <w:pPr>
        <w:pStyle w:val="GuideCode"/>
      </w:pPr>
      <w:r>
        <w:t xml:space="preserve"> </w:t>
      </w:r>
    </w:p>
    <w:p>
      <w:pPr>
        <w:pStyle w:val="GuideCode"/>
      </w:pPr>
      <w:r>
        <w:t>Feature and contract revision: &lt;link and version&gt;</w:t>
      </w:r>
    </w:p>
    <w:p>
      <w:pPr>
        <w:pStyle w:val="GuideCode"/>
      </w:pPr>
      <w:r>
        <w:t>Requested batch: &lt;task IDs&gt;</w:t>
      </w:r>
    </w:p>
    <w:p>
      <w:pPr>
        <w:pStyle w:val="GuideCode"/>
      </w:pPr>
      <w:r>
        <w:t>Outcome: &lt;one verifiable result&gt;</w:t>
      </w:r>
    </w:p>
    <w:p>
      <w:pPr>
        <w:pStyle w:val="GuideCode"/>
      </w:pPr>
      <w:r>
        <w:t>Allowed paths: &lt;explicit paths or narrow globs&gt;</w:t>
      </w:r>
    </w:p>
    <w:p>
      <w:pPr>
        <w:pStyle w:val="GuideCode"/>
      </w:pPr>
      <w:r>
        <w:t>Prohibited changes: &lt;behavior, dependencies, policy and other boundaries&gt;</w:t>
      </w:r>
    </w:p>
    <w:p>
      <w:pPr>
        <w:pStyle w:val="GuideCode"/>
      </w:pPr>
      <w:r>
        <w:t>Prerequisite decisions: &lt;IDs; unresolved dependencies block affected work&gt;</w:t>
      </w:r>
    </w:p>
    <w:p>
      <w:pPr>
        <w:pStyle w:val="GuideCode"/>
      </w:pPr>
      <w:r>
        <w:t xml:space="preserve"> </w:t>
      </w:r>
    </w:p>
    <w:p>
      <w:pPr>
        <w:pStyle w:val="GuideCode"/>
      </w:pPr>
      <w:r>
        <w:t>## Readiness</w:t>
      </w:r>
    </w:p>
    <w:p>
      <w:pPr>
        <w:pStyle w:val="GuideCode"/>
      </w:pPr>
      <w:r>
        <w:t>| Component | Expected | Observed | Task impact | Result |</w:t>
      </w:r>
    </w:p>
    <w:p>
      <w:pPr>
        <w:pStyle w:val="GuideCode"/>
      </w:pPr>
      <w:r>
        <w:t>| --- | --- | --- | --- | --- |</w:t>
      </w:r>
    </w:p>
    <w:p>
      <w:pPr>
        <w:pStyle w:val="GuideCode"/>
      </w:pPr>
      <w:r>
        <w:t>| &lt;tool/service/resource&gt; | &lt;state/version&gt; | &lt;evidence&gt; | &lt;task IDs&gt; | &lt;status&gt; |</w:t>
      </w:r>
    </w:p>
    <w:p>
      <w:pPr>
        <w:pStyle w:val="GuideCode"/>
      </w:pPr>
      <w:r>
        <w:t>Secret configuration: &lt;present/missing only&gt;</w:t>
      </w:r>
    </w:p>
    <w:p>
      <w:pPr>
        <w:pStyle w:val="GuideCode"/>
      </w:pPr>
      <w:r>
        <w:t>Overall: READY | BLOCKED</w:t>
      </w:r>
    </w:p>
    <w:p>
      <w:pPr>
        <w:pStyle w:val="GuideCode"/>
      </w:pPr>
      <w:r>
        <w:t xml:space="preserve"> </w:t>
      </w:r>
    </w:p>
    <w:p>
      <w:pPr>
        <w:pStyle w:val="GuideCode"/>
      </w:pPr>
      <w:r>
        <w:t>## Execution</w:t>
      </w:r>
    </w:p>
    <w:p>
      <w:pPr>
        <w:pStyle w:val="GuideCode"/>
      </w:pPr>
      <w:r>
        <w:t>Steps: &lt;small ordered actions&gt;</w:t>
      </w:r>
    </w:p>
    <w:p>
      <w:pPr>
        <w:pStyle w:val="GuideCode"/>
      </w:pPr>
      <w:r>
        <w:t>Verification: &lt;commands, AC IDs and report paths&gt;</w:t>
      </w:r>
    </w:p>
    <w:p>
      <w:pPr>
        <w:pStyle w:val="GuideCode"/>
      </w:pPr>
      <w:r>
        <w:t>Budget: &lt;time, calls/tokens/currency if applicable&gt;</w:t>
      </w:r>
    </w:p>
    <w:p>
      <w:pPr>
        <w:pStyle w:val="GuideCode"/>
      </w:pPr>
      <w:r>
        <w:t>Correction limit: 2 cycles unless a task decision specifies otherwise</w:t>
      </w:r>
    </w:p>
    <w:p>
      <w:pPr>
        <w:pStyle w:val="GuideCode"/>
      </w:pPr>
      <w:r>
        <w:t>Stop conditions: &lt;scope conflict, blocked prerequisite, exhausted limit&gt;</w:t>
      </w:r>
    </w:p>
    <w:p>
      <w:pPr>
        <w:pStyle w:val="GuideCode"/>
      </w:pPr>
      <w:r>
        <w:t>Commit/push authority: &lt;actual authorization or absent&gt;</w:t>
      </w:r>
    </w:p>
    <w:p>
      <w:pPr>
        <w:pStyle w:val="GuideCode"/>
      </w:pPr>
      <w:r>
        <w:t xml:space="preserve"> </w:t>
      </w:r>
    </w:p>
    <w:p>
      <w:pPr>
        <w:pStyle w:val="GuideCode"/>
      </w:pPr>
      <w:r>
        <w:t>## Result</w:t>
      </w:r>
    </w:p>
    <w:p>
      <w:pPr>
        <w:pStyle w:val="GuideCode"/>
      </w:pPr>
      <w:r>
        <w:t>Implemented: &lt;revision/diff or no&gt;</w:t>
      </w:r>
    </w:p>
    <w:p>
      <w:pPr>
        <w:pStyle w:val="GuideCode"/>
      </w:pPr>
      <w:r>
        <w:t>Verified: &lt;check outcomes or no&gt;</w:t>
      </w:r>
    </w:p>
    <w:p>
      <w:pPr>
        <w:pStyle w:val="GuideCode"/>
      </w:pPr>
      <w:r>
        <w:t>Accepted: &lt;owner decision or pending&gt;</w:t>
      </w:r>
    </w:p>
    <w:p>
      <w:pPr>
        <w:pStyle w:val="GuideCode"/>
      </w:pPr>
      <w:r>
        <w:t>Remaining work: &lt;specific issue or none&gt;</w:t>
      </w:r>
    </w:p>
    <w:p>
      <w:pPr>
        <w:spacing w:after="40"/>
      </w:pPr>
    </w:p>
    <w:p>
      <w:pPr>
        <w:pStyle w:val="Heading2"/>
      </w:pPr>
      <w:r>
        <w:t>10.5 Architecture decision</w:t>
      </w:r>
    </w:p>
    <w:p>
      <w:r>
        <w:t xml:space="preserve">Destination: </w:t>
      </w:r>
      <w:r>
        <w:rPr>
          <w:rFonts w:ascii="Liberation Mono" w:hAnsi="Liberation Mono"/>
          <w:sz w:val="18"/>
        </w:rPr>
        <w:t>templates/adr.md</w:t>
      </w:r>
      <w:r>
        <w:t>.</w:t>
      </w:r>
    </w:p>
    <w:p>
      <w:pPr>
        <w:pStyle w:val="GuideCode"/>
      </w:pPr>
      <w:r>
        <w:t># ADR &lt;ID&gt; &lt;Decision title&gt;</w:t>
      </w:r>
    </w:p>
    <w:p>
      <w:pPr>
        <w:pStyle w:val="GuideCode"/>
      </w:pPr>
      <w:r>
        <w:t xml:space="preserve"> </w:t>
      </w:r>
    </w:p>
    <w:p>
      <w:pPr>
        <w:pStyle w:val="GuideCode"/>
      </w:pPr>
      <w:r>
        <w:t>Status: proposed | accepted | superseded</w:t>
      </w:r>
    </w:p>
    <w:p>
      <w:pPr>
        <w:pStyle w:val="GuideCode"/>
      </w:pPr>
      <w:r>
        <w:t>Date and owner: &lt;values&gt;</w:t>
      </w:r>
    </w:p>
    <w:p>
      <w:pPr>
        <w:pStyle w:val="GuideCode"/>
      </w:pPr>
      <w:r>
        <w:t>Supersedes or affects: &lt;rules, contracts, ADRs and run IDs&gt;</w:t>
      </w:r>
    </w:p>
    <w:p>
      <w:pPr>
        <w:pStyle w:val="GuideCode"/>
      </w:pPr>
      <w:r>
        <w:t xml:space="preserve"> </w:t>
      </w:r>
    </w:p>
    <w:p>
      <w:pPr>
        <w:pStyle w:val="GuideCode"/>
      </w:pPr>
      <w:r>
        <w:t>## Problem</w:t>
      </w:r>
    </w:p>
    <w:p>
      <w:pPr>
        <w:pStyle w:val="GuideCode"/>
      </w:pPr>
      <w:r>
        <w:t>&lt;Trigger, current behavior and evidence IDs.&gt;</w:t>
      </w:r>
    </w:p>
    <w:p>
      <w:pPr>
        <w:pStyle w:val="GuideCode"/>
      </w:pPr>
      <w:r>
        <w:t xml:space="preserve"> </w:t>
      </w:r>
    </w:p>
    <w:p>
      <w:pPr>
        <w:pStyle w:val="GuideCode"/>
      </w:pPr>
      <w:r>
        <w:t>## Decision</w:t>
      </w:r>
    </w:p>
    <w:p>
      <w:pPr>
        <w:pStyle w:val="GuideCode"/>
      </w:pPr>
      <w:r>
        <w:t>&lt;Chosen behavior and exact scope.&gt;</w:t>
      </w:r>
    </w:p>
    <w:p>
      <w:pPr>
        <w:pStyle w:val="GuideCode"/>
      </w:pPr>
      <w:r>
        <w:t xml:space="preserve"> </w:t>
      </w:r>
    </w:p>
    <w:p>
      <w:pPr>
        <w:pStyle w:val="GuideCode"/>
      </w:pPr>
      <w:r>
        <w:t>## Alternatives</w:t>
      </w:r>
    </w:p>
    <w:p>
      <w:pPr>
        <w:pStyle w:val="GuideCode"/>
      </w:pPr>
      <w:r>
        <w:t>&lt;Relevant alternatives and concrete tradeoffs.&gt;</w:t>
      </w:r>
    </w:p>
    <w:p>
      <w:pPr>
        <w:pStyle w:val="GuideCode"/>
      </w:pPr>
      <w:r>
        <w:t xml:space="preserve"> </w:t>
      </w:r>
    </w:p>
    <w:p>
      <w:pPr>
        <w:pStyle w:val="GuideCode"/>
      </w:pPr>
      <w:r>
        <w:t>## Consequences and verification</w:t>
      </w:r>
    </w:p>
    <w:p>
      <w:pPr>
        <w:pStyle w:val="GuideCode"/>
      </w:pPr>
      <w:r>
        <w:t>&lt;Migration, compatibility, cost, failure modes and checks.&gt;</w:t>
      </w:r>
    </w:p>
    <w:p>
      <w:pPr>
        <w:pStyle w:val="GuideCode"/>
      </w:pPr>
      <w:r>
        <w:t xml:space="preserve"> </w:t>
      </w:r>
    </w:p>
    <w:p>
      <w:pPr>
        <w:pStyle w:val="GuideCode"/>
      </w:pPr>
      <w:r>
        <w:t>## Acceptance</w:t>
      </w:r>
    </w:p>
    <w:p>
      <w:pPr>
        <w:pStyle w:val="GuideCode"/>
      </w:pPr>
      <w:r>
        <w:t>&lt;Owner decision, date and evidence; proposed until recorded.&gt;</w:t>
      </w:r>
    </w:p>
    <w:p>
      <w:pPr>
        <w:spacing w:after="40"/>
      </w:pPr>
    </w:p>
    <w:p>
      <w:pPr>
        <w:pStyle w:val="Heading2"/>
      </w:pPr>
      <w:r>
        <w:t>10.6 Finding and review report</w:t>
      </w:r>
    </w:p>
    <w:p>
      <w:r>
        <w:t xml:space="preserve">Destination: </w:t>
      </w:r>
      <w:r>
        <w:rPr>
          <w:rFonts w:ascii="Liberation Mono" w:hAnsi="Liberation Mono"/>
          <w:sz w:val="18"/>
        </w:rPr>
        <w:t>templates/finding.md</w:t>
      </w:r>
      <w:r>
        <w:t>; one instance per finding.</w:t>
      </w:r>
    </w:p>
    <w:p>
      <w:pPr>
        <w:pStyle w:val="GuideCode"/>
      </w:pPr>
      <w:r>
        <w:t># &lt;Finding ID and title&gt;</w:t>
      </w:r>
    </w:p>
    <w:p>
      <w:pPr>
        <w:pStyle w:val="GuideCode"/>
      </w:pPr>
      <w:r>
        <w:t xml:space="preserve"> </w:t>
      </w:r>
    </w:p>
    <w:p>
      <w:pPr>
        <w:pStyle w:val="GuideCode"/>
      </w:pPr>
      <w:r>
        <w:t>Type: defect | contract drift | maintainability | evidence gap | hypothesis</w:t>
      </w:r>
    </w:p>
    <w:p>
      <w:pPr>
        <w:pStyle w:val="GuideCode"/>
      </w:pPr>
      <w:r>
        <w:t>Severity: blocker | major | minor | suggestion</w:t>
      </w:r>
    </w:p>
    <w:p>
      <w:pPr>
        <w:pStyle w:val="GuideCode"/>
      </w:pPr>
      <w:r>
        <w:t>Status: open | reproduced | corrected | rebutted | excepted</w:t>
      </w:r>
    </w:p>
    <w:p>
      <w:pPr>
        <w:pStyle w:val="GuideCode"/>
      </w:pPr>
      <w:r>
        <w:t>Source revision and location: &lt;SHA, path, symbol and optional lines&gt;</w:t>
      </w:r>
    </w:p>
    <w:p>
      <w:pPr>
        <w:pStyle w:val="GuideCode"/>
      </w:pPr>
      <w:r>
        <w:t>Requirement: &lt;AC/rule/ADR ID&gt;</w:t>
      </w:r>
    </w:p>
    <w:p>
      <w:pPr>
        <w:pStyle w:val="GuideCode"/>
      </w:pPr>
      <w:r>
        <w:t>Trigger: &lt;input and state&gt;</w:t>
      </w:r>
    </w:p>
    <w:p>
      <w:pPr>
        <w:pStyle w:val="GuideCode"/>
      </w:pPr>
      <w:r>
        <w:t>Expected: &lt;contract behavior&gt;</w:t>
      </w:r>
    </w:p>
    <w:p>
      <w:pPr>
        <w:pStyle w:val="GuideCode"/>
      </w:pPr>
      <w:r>
        <w:t>Observed: &lt;specific result or static mechanism&gt;</w:t>
      </w:r>
    </w:p>
    <w:p>
      <w:pPr>
        <w:pStyle w:val="GuideCode"/>
      </w:pPr>
      <w:r>
        <w:t>Evidence kind: static | deterministic execution | live run | retained report</w:t>
      </w:r>
    </w:p>
    <w:p>
      <w:pPr>
        <w:pStyle w:val="GuideCode"/>
      </w:pPr>
      <w:r>
        <w:t>Evidence: &lt;report/test/artifact link&gt;</w:t>
      </w:r>
    </w:p>
    <w:p>
      <w:pPr>
        <w:pStyle w:val="GuideCode"/>
      </w:pPr>
      <w:r>
        <w:t>Limits: &lt;what this evidence does not establish&gt;</w:t>
      </w:r>
    </w:p>
    <w:p>
      <w:pPr>
        <w:pStyle w:val="GuideCode"/>
      </w:pPr>
      <w:r>
        <w:t>Proposed control: &lt;rule/gate/skill and acceptance check&gt;</w:t>
      </w:r>
    </w:p>
    <w:p>
      <w:pPr>
        <w:pStyle w:val="GuideCode"/>
      </w:pPr>
      <w:r>
        <w:t>Disposition: &lt;change, rebuttal or exception ID&gt;</w:t>
      </w:r>
    </w:p>
    <w:p>
      <w:pPr>
        <w:pStyle w:val="GuideCode"/>
      </w:pPr>
      <w:r>
        <w:t>Reviewer and recheck: &lt;identity/session, revision and result&gt;</w:t>
      </w:r>
    </w:p>
    <w:p>
      <w:pPr>
        <w:spacing w:after="40"/>
      </w:pPr>
    </w:p>
    <w:p>
      <w:r>
        <w:t xml:space="preserve">Destination: </w:t>
      </w:r>
      <w:r>
        <w:rPr>
          <w:rFonts w:ascii="Liberation Mono" w:hAnsi="Liberation Mono"/>
          <w:sz w:val="18"/>
        </w:rPr>
        <w:t>templates/review.md</w:t>
      </w:r>
      <w:r>
        <w:t>.</w:t>
      </w:r>
    </w:p>
    <w:p>
      <w:pPr>
        <w:pStyle w:val="GuideCode"/>
      </w:pPr>
      <w:r>
        <w:t># Review &lt;task or PR ID&gt;</w:t>
      </w:r>
    </w:p>
    <w:p>
      <w:pPr>
        <w:pStyle w:val="GuideCode"/>
      </w:pPr>
      <w:r>
        <w:t xml:space="preserve"> </w:t>
      </w:r>
    </w:p>
    <w:p>
      <w:pPr>
        <w:pStyle w:val="GuideCode"/>
      </w:pPr>
      <w:r>
        <w:t>Reviewed head and base: &lt;SHAs&gt;</w:t>
      </w:r>
    </w:p>
    <w:p>
      <w:pPr>
        <w:pStyle w:val="GuideCode"/>
      </w:pPr>
      <w:r>
        <w:t>Contract and oracle revisions: &lt;values&gt;</w:t>
      </w:r>
    </w:p>
    <w:p>
      <w:pPr>
        <w:pStyle w:val="GuideCode"/>
      </w:pPr>
      <w:r>
        <w:t>Reviewer/session: &lt;identity independent of implementation session&gt;</w:t>
      </w:r>
    </w:p>
    <w:p>
      <w:pPr>
        <w:pStyle w:val="GuideCode"/>
      </w:pPr>
      <w:r>
        <w:t>Paths and boundaries examined: &lt;values&gt;</w:t>
      </w:r>
    </w:p>
    <w:p>
      <w:pPr>
        <w:pStyle w:val="GuideCode"/>
      </w:pPr>
      <w:r>
        <w:t>Findings: &lt;linked IDs, severity, certainty and disposition&gt;</w:t>
      </w:r>
    </w:p>
    <w:p>
      <w:pPr>
        <w:pStyle w:val="GuideCode"/>
      </w:pPr>
      <w:r>
        <w:t>Verification gaps: &lt;missing checks or none&gt;</w:t>
      </w:r>
    </w:p>
    <w:p>
      <w:pPr>
        <w:pStyle w:val="GuideCode"/>
      </w:pPr>
      <w:r>
        <w:t>Control/fixture changes: &lt;declared changes or none&gt;</w:t>
      </w:r>
    </w:p>
    <w:p>
      <w:pPr>
        <w:pStyle w:val="GuideCode"/>
      </w:pPr>
      <w:r>
        <w:t>Recommendation: accept | changes required | insufficient evidence</w:t>
      </w:r>
    </w:p>
    <w:p>
      <w:pPr>
        <w:pStyle w:val="GuideCode"/>
      </w:pPr>
      <w:r>
        <w:t>Remaining limitations: &lt;specific limits&gt;</w:t>
      </w:r>
    </w:p>
    <w:p>
      <w:pPr>
        <w:pStyle w:val="GuideCode"/>
      </w:pPr>
      <w:r>
        <w:t>Owner decision: &lt;acceptance record or pending&gt;</w:t>
      </w:r>
    </w:p>
    <w:p>
      <w:pPr>
        <w:spacing w:after="40"/>
      </w:pPr>
    </w:p>
    <w:p>
      <w:pPr>
        <w:pStyle w:val="Heading2"/>
      </w:pPr>
      <w:r>
        <w:t>10.7 Pull request</w:t>
      </w:r>
    </w:p>
    <w:p>
      <w:r>
        <w:t xml:space="preserve">Destination: </w:t>
      </w:r>
      <w:r>
        <w:rPr>
          <w:rFonts w:ascii="Liberation Mono" w:hAnsi="Liberation Mono"/>
          <w:sz w:val="18"/>
        </w:rPr>
        <w:t>.github/pull_request_template.md</w:t>
      </w:r>
      <w:r>
        <w:t>.</w:t>
      </w:r>
    </w:p>
    <w:p>
      <w:pPr>
        <w:pStyle w:val="GuideCode"/>
      </w:pPr>
      <w:r>
        <w:t>## Problem and resulting behavior</w:t>
      </w:r>
    </w:p>
    <w:p>
      <w:pPr>
        <w:pStyle w:val="GuideCode"/>
      </w:pPr>
      <w:r>
        <w:t>&lt;Concrete trigger, before/after behavior and reason.&gt;</w:t>
      </w:r>
    </w:p>
    <w:p>
      <w:pPr>
        <w:pStyle w:val="GuideCode"/>
      </w:pPr>
      <w:r>
        <w:t xml:space="preserve"> </w:t>
      </w:r>
    </w:p>
    <w:p>
      <w:pPr>
        <w:pStyle w:val="GuideCode"/>
      </w:pPr>
      <w:r>
        <w:t>Task/spec/AC IDs: &lt;links&gt;</w:t>
      </w:r>
    </w:p>
    <w:p>
      <w:pPr>
        <w:pStyle w:val="GuideCode"/>
      </w:pPr>
      <w:r>
        <w:t>Finding/control IDs: &lt;links or none&gt;</w:t>
      </w:r>
    </w:p>
    <w:p>
      <w:pPr>
        <w:pStyle w:val="GuideCode"/>
      </w:pPr>
      <w:r>
        <w:t>Allowed scope and changed paths: &lt;summary&gt;</w:t>
      </w:r>
    </w:p>
    <w:p>
      <w:pPr>
        <w:pStyle w:val="GuideCode"/>
      </w:pPr>
      <w:r>
        <w:t>Requirements, fixtures or gate changes: &lt;explicit declaration or none&gt;</w:t>
      </w:r>
    </w:p>
    <w:p>
      <w:pPr>
        <w:pStyle w:val="GuideCode"/>
      </w:pPr>
      <w:r>
        <w:t xml:space="preserve"> </w:t>
      </w:r>
    </w:p>
    <w:p>
      <w:pPr>
        <w:pStyle w:val="GuideCode"/>
      </w:pPr>
      <w:r>
        <w:t>## Verification</w:t>
      </w:r>
    </w:p>
    <w:p>
      <w:pPr>
        <w:pStyle w:val="GuideCode"/>
      </w:pPr>
      <w:r>
        <w:t>Tested revision/environment: &lt;SHA or recorded candidate tree, toolchain&gt;</w:t>
      </w:r>
    </w:p>
    <w:p>
      <w:pPr>
        <w:pStyle w:val="GuideCode"/>
      </w:pPr>
      <w:r>
        <w:t>| Gate | Outcome | Command and evidence |</w:t>
      </w:r>
    </w:p>
    <w:p>
      <w:pPr>
        <w:pStyle w:val="GuideCode"/>
      </w:pPr>
      <w:r>
        <w:t>| --- | --- | --- |</w:t>
      </w:r>
    </w:p>
    <w:p>
      <w:pPr>
        <w:pStyle w:val="GuideCode"/>
      </w:pPr>
      <w:r>
        <w:t>| &lt;ID&gt; | PASS/FAIL/BLOCKED/NOT RUN/NOT APPLICABLE | &lt;link and reason&gt; |</w:t>
      </w:r>
    </w:p>
    <w:p>
      <w:pPr>
        <w:pStyle w:val="GuideCode"/>
      </w:pPr>
      <w:r>
        <w:t xml:space="preserve"> </w:t>
      </w:r>
    </w:p>
    <w:p>
      <w:pPr>
        <w:pStyle w:val="GuideCode"/>
      </w:pPr>
      <w:r>
        <w:t>## Review and acceptance</w:t>
      </w:r>
    </w:p>
    <w:p>
      <w:pPr>
        <w:pStyle w:val="GuideCode"/>
      </w:pPr>
      <w:r>
        <w:t>Independent review: &lt;report&gt;</w:t>
      </w:r>
    </w:p>
    <w:p>
      <w:pPr>
        <w:pStyle w:val="GuideCode"/>
      </w:pPr>
      <w:r>
        <w:t>Open findings/exceptions: &lt;IDs or none&gt;</w:t>
      </w:r>
    </w:p>
    <w:p>
      <w:pPr>
        <w:pStyle w:val="GuideCode"/>
      </w:pPr>
      <w:r>
        <w:t>Implemented: &lt;yes/no&gt;</w:t>
      </w:r>
    </w:p>
    <w:p>
      <w:pPr>
        <w:pStyle w:val="GuideCode"/>
      </w:pPr>
      <w:r>
        <w:t>Verified: &lt;complete/partial/no&gt;</w:t>
      </w:r>
    </w:p>
    <w:p>
      <w:pPr>
        <w:pStyle w:val="GuideCode"/>
      </w:pPr>
      <w:r>
        <w:t>Accepted: &lt;owner decision/pending&gt;</w:t>
      </w:r>
    </w:p>
    <w:p>
      <w:pPr>
        <w:pStyle w:val="GuideCode"/>
      </w:pPr>
      <w:r>
        <w:t>Risks and recovery: &lt;specific risk, rollback or compensation&gt;</w:t>
      </w:r>
    </w:p>
    <w:p>
      <w:pPr>
        <w:pStyle w:val="GuideCode"/>
      </w:pPr>
      <w:r>
        <w:t>Experiment run and cost record: &lt;link&gt;</w:t>
      </w:r>
    </w:p>
    <w:p>
      <w:pPr>
        <w:spacing w:after="40"/>
      </w:pPr>
    </w:p>
    <w:p>
      <w:pPr>
        <w:pStyle w:val="Heading2"/>
      </w:pPr>
      <w:r>
        <w:t>10.8 Baseline and run record</w:t>
      </w:r>
    </w:p>
    <w:p>
      <w:r>
        <w:t xml:space="preserve">Destination: </w:t>
      </w:r>
      <w:r>
        <w:rPr>
          <w:rFonts w:ascii="Liberation Mono" w:hAnsi="Liberation Mono"/>
          <w:sz w:val="18"/>
        </w:rPr>
        <w:t>templates/baseline.md</w:t>
      </w:r>
      <w:r>
        <w:t>.</w:t>
      </w:r>
    </w:p>
    <w:p>
      <w:pPr>
        <w:pStyle w:val="GuideCode"/>
      </w:pPr>
      <w:r>
        <w:t># Phase 2 baseline</w:t>
      </w:r>
    </w:p>
    <w:p>
      <w:pPr>
        <w:pStyle w:val="GuideCode"/>
      </w:pPr>
      <w:r>
        <w:t xml:space="preserve"> </w:t>
      </w:r>
    </w:p>
    <w:p>
      <w:pPr>
        <w:pStyle w:val="GuideCode"/>
      </w:pPr>
      <w:r>
        <w:t>Run ID and mode: &lt;ID; controlled refactoring or separately defined mode&gt;</w:t>
      </w:r>
    </w:p>
    <w:p>
      <w:pPr>
        <w:pStyle w:val="GuideCode"/>
      </w:pPr>
      <w:r>
        <w:t>Phase 1 repository: PreChatGPTSenior/stone-shelter-lab</w:t>
      </w:r>
    </w:p>
    <w:p>
      <w:pPr>
        <w:pStyle w:val="GuideCode"/>
      </w:pPr>
      <w:r>
        <w:t>Declared freeze date: 2026-10-14</w:t>
      </w:r>
    </w:p>
    <w:p>
      <w:pPr>
        <w:pStyle w:val="GuideCode"/>
      </w:pPr>
      <w:r>
        <w:t>Reviewed source SHA: 60dc4cf29f7214496568226e29080d92778fc77c</w:t>
      </w:r>
    </w:p>
    <w:p>
      <w:pPr>
        <w:pStyle w:val="GuideCode"/>
      </w:pPr>
      <w:r>
        <w:t>Actual imported source SHA: &lt;exact value; explain any difference&gt;</w:t>
      </w:r>
    </w:p>
    <w:p>
      <w:pPr>
        <w:pStyle w:val="GuideCode"/>
      </w:pPr>
      <w:r>
        <w:t>Phase 2 import commit: &lt;SHA&gt;</w:t>
      </w:r>
    </w:p>
    <w:p>
      <w:pPr>
        <w:pStyle w:val="GuideCode"/>
      </w:pPr>
      <w:r>
        <w:t>Imported path/checksum manifest: &lt;link&gt;</w:t>
      </w:r>
    </w:p>
    <w:p>
      <w:pPr>
        <w:pStyle w:val="GuideCode"/>
      </w:pPr>
      <w:r>
        <w:t>Excluded material: &lt;restricted directory, secrets, outputs and local data&gt;</w:t>
      </w:r>
    </w:p>
    <w:p>
      <w:pPr>
        <w:pStyle w:val="GuideCode"/>
      </w:pPr>
      <w:r>
        <w:t>Toolchain and effective configuration: &lt;link&gt;</w:t>
      </w:r>
    </w:p>
    <w:p>
      <w:pPr>
        <w:pStyle w:val="GuideCode"/>
      </w:pPr>
      <w:r>
        <w:t>Contract/fixture/model/prompt revisions: &lt;values or not applicable&gt;</w:t>
      </w:r>
    </w:p>
    <w:p>
      <w:pPr>
        <w:pStyle w:val="GuideCode"/>
      </w:pPr>
      <w:r>
        <w:t>Baseline results: &lt;unaltered reports, including failures&gt;</w:t>
      </w:r>
    </w:p>
    <w:p>
      <w:pPr>
        <w:pStyle w:val="GuideCode"/>
      </w:pPr>
      <w:r>
        <w:t>Known gaps and exceptions: &lt;linked IDs&gt;</w:t>
      </w:r>
    </w:p>
    <w:p>
      <w:pPr>
        <w:pStyle w:val="GuideCode"/>
      </w:pPr>
      <w:r>
        <w:t>Owner adoption: &lt;decision or proposed&gt;</w:t>
      </w:r>
    </w:p>
    <w:p>
      <w:pPr>
        <w:spacing w:after="40"/>
      </w:pPr>
    </w:p>
    <w:p>
      <w:r>
        <w:t xml:space="preserve">Destination: </w:t>
      </w:r>
      <w:r>
        <w:rPr>
          <w:rFonts w:ascii="Liberation Mono" w:hAnsi="Liberation Mono"/>
          <w:sz w:val="18"/>
        </w:rPr>
        <w:t>templates/run.md</w:t>
      </w:r>
      <w:r>
        <w:t>.</w:t>
      </w:r>
    </w:p>
    <w:p>
      <w:pPr>
        <w:pStyle w:val="GuideCode"/>
      </w:pPr>
      <w:r>
        <w:t># Experiment run &lt;ID&gt;</w:t>
      </w:r>
    </w:p>
    <w:p>
      <w:pPr>
        <w:pStyle w:val="GuideCode"/>
      </w:pPr>
      <w:r>
        <w:t xml:space="preserve"> </w:t>
      </w:r>
    </w:p>
    <w:p>
      <w:pPr>
        <w:pStyle w:val="GuideCode"/>
      </w:pPr>
      <w:r>
        <w:t>Hypothesis and selected control: &lt;one measurable claim&gt;</w:t>
      </w:r>
    </w:p>
    <w:p>
      <w:pPr>
        <w:pStyle w:val="GuideCode"/>
      </w:pPr>
      <w:r>
        <w:t>Starting revision and task: &lt;values&gt;</w:t>
      </w:r>
    </w:p>
    <w:p>
      <w:pPr>
        <w:pStyle w:val="GuideCode"/>
      </w:pPr>
      <w:r>
        <w:t>Changed variables: &lt;controls/models/prompts/contracts/fixtures&gt;</w:t>
      </w:r>
    </w:p>
    <w:p>
      <w:pPr>
        <w:pStyle w:val="GuideCode"/>
      </w:pPr>
      <w:r>
        <w:t>Held-constant variables: &lt;values&gt;</w:t>
      </w:r>
    </w:p>
    <w:p>
      <w:pPr>
        <w:pStyle w:val="GuideCode"/>
      </w:pPr>
      <w:r>
        <w:t>Environment and budgets: &lt;effective configuration&gt;</w:t>
      </w:r>
    </w:p>
    <w:p>
      <w:pPr>
        <w:pStyle w:val="GuideCode"/>
      </w:pPr>
      <w:r>
        <w:t>Original outputs and accounting: &lt;immutable report links&gt;</w:t>
      </w:r>
    </w:p>
    <w:p>
      <w:pPr>
        <w:pStyle w:val="GuideCode"/>
      </w:pPr>
      <w:r>
        <w:t>Results: &lt;completion, hard failures, quality and gate outcomes separately&gt;</w:t>
      </w:r>
    </w:p>
    <w:p>
      <w:pPr>
        <w:pStyle w:val="GuideCode"/>
      </w:pPr>
      <w:r>
        <w:t>Human interventions: &lt;decisions, code edits, overrides and minutes&gt;</w:t>
      </w:r>
    </w:p>
    <w:p>
      <w:pPr>
        <w:pStyle w:val="GuideCode"/>
      </w:pPr>
      <w:r>
        <w:t>Agent correction cycles and rework: &lt;counts and definition&gt;</w:t>
      </w:r>
    </w:p>
    <w:p>
      <w:pPr>
        <w:pStyle w:val="GuideCode"/>
      </w:pPr>
      <w:r>
        <w:t>Diagnostics and oracle corrections: &lt;separate linked records&gt;</w:t>
      </w:r>
    </w:p>
    <w:p>
      <w:pPr>
        <w:pStyle w:val="GuideCode"/>
      </w:pPr>
      <w:r>
        <w:t>Implemented / verified / accepted: &lt;separate states&gt;</w:t>
      </w:r>
    </w:p>
    <w:p>
      <w:pPr>
        <w:pStyle w:val="GuideCode"/>
      </w:pPr>
      <w:r>
        <w:t>Limitations: &lt;missing history, confounders and unmeasured claims&gt;</w:t>
      </w:r>
    </w:p>
    <w:p>
      <w:pPr>
        <w:pStyle w:val="GuideCode"/>
      </w:pPr>
      <w:r>
        <w:t>Next decision: &lt;retain, revise or retire the control, with reason&gt;</w:t>
      </w:r>
    </w:p>
    <w:p>
      <w:pPr>
        <w:spacing w:after="40"/>
      </w:pPr>
    </w:p>
    <w:p>
      <w:pPr>
        <w:pStyle w:val="Heading2"/>
      </w:pPr>
      <w:r>
        <w:t>10.9 Rule and exception records</w:t>
      </w:r>
    </w:p>
    <w:p>
      <w:r>
        <w:t xml:space="preserve">Destination: </w:t>
      </w:r>
      <w:r>
        <w:rPr>
          <w:rFonts w:ascii="Liberation Mono" w:hAnsi="Liberation Mono"/>
          <w:sz w:val="18"/>
        </w:rPr>
        <w:t>templates/rule.md</w:t>
      </w:r>
      <w:r>
        <w:t>.</w:t>
      </w:r>
    </w:p>
    <w:p>
      <w:pPr>
        <w:pStyle w:val="GuideCode"/>
      </w:pPr>
      <w:r>
        <w:t># &lt;Rule ID and title&gt;</w:t>
      </w:r>
    </w:p>
    <w:p>
      <w:pPr>
        <w:pStyle w:val="GuideCode"/>
      </w:pPr>
      <w:r>
        <w:t xml:space="preserve"> </w:t>
      </w:r>
    </w:p>
    <w:p>
      <w:pPr>
        <w:pStyle w:val="GuideCode"/>
      </w:pPr>
      <w:r>
        <w:t>Level: MUST | SHOULD | MAY</w:t>
      </w:r>
    </w:p>
    <w:p>
      <w:pPr>
        <w:pStyle w:val="GuideCode"/>
      </w:pPr>
      <w:r>
        <w:t>Rule text: &lt;observable obligation&gt;</w:t>
      </w:r>
    </w:p>
    <w:p>
      <w:pPr>
        <w:pStyle w:val="GuideCode"/>
      </w:pPr>
      <w:r>
        <w:t>Reason and evidence: &lt;finding IDs or preventive rationale&gt;</w:t>
      </w:r>
    </w:p>
    <w:p>
      <w:pPr>
        <w:pStyle w:val="GuideCode"/>
      </w:pPr>
      <w:r>
        <w:t>Scope: &lt;paths and behavior&gt;</w:t>
      </w:r>
    </w:p>
    <w:p>
      <w:pPr>
        <w:pStyle w:val="GuideCode"/>
      </w:pPr>
      <w:r>
        <w:t>Enforcement: &lt;gate/test or reviewer responsibility&gt;</w:t>
      </w:r>
    </w:p>
    <w:p>
      <w:pPr>
        <w:pStyle w:val="GuideCode"/>
      </w:pPr>
      <w:r>
        <w:t>Failure evidence: &lt;what proves a violation&gt;</w:t>
      </w:r>
    </w:p>
    <w:p>
      <w:pPr>
        <w:pStyle w:val="GuideCode"/>
      </w:pPr>
      <w:r>
        <w:t>Exceptions: &lt;permitted process, exact IDs or none&gt;</w:t>
      </w:r>
    </w:p>
    <w:p>
      <w:pPr>
        <w:pStyle w:val="GuideCode"/>
      </w:pPr>
      <w:r>
        <w:t>Owner and revision: &lt;values&gt;</w:t>
      </w:r>
    </w:p>
    <w:p>
      <w:pPr>
        <w:pStyle w:val="GuideCode"/>
      </w:pPr>
      <w:r>
        <w:t>Control test: &lt;deliberately invalid example that must be rejected&gt;</w:t>
      </w:r>
    </w:p>
    <w:p>
      <w:pPr>
        <w:spacing w:after="40"/>
      </w:pPr>
    </w:p>
    <w:p>
      <w:r>
        <w:t xml:space="preserve">Destination: </w:t>
      </w:r>
      <w:r>
        <w:rPr>
          <w:rFonts w:ascii="Liberation Mono" w:hAnsi="Liberation Mono"/>
          <w:sz w:val="18"/>
        </w:rPr>
        <w:t>templates/exception.md</w:t>
      </w:r>
      <w:r>
        <w:t>.</w:t>
      </w:r>
    </w:p>
    <w:p>
      <w:pPr>
        <w:pStyle w:val="GuideCode"/>
      </w:pPr>
      <w:r>
        <w:t># &lt;Exception ID&gt;</w:t>
      </w:r>
    </w:p>
    <w:p>
      <w:pPr>
        <w:pStyle w:val="GuideCode"/>
      </w:pPr>
      <w:r>
        <w:t xml:space="preserve"> </w:t>
      </w:r>
    </w:p>
    <w:p>
      <w:pPr>
        <w:pStyle w:val="GuideCode"/>
      </w:pPr>
      <w:r>
        <w:t>Rule/gate and exact scope: &lt;IDs, paths and fingerprints&gt;</w:t>
      </w:r>
    </w:p>
    <w:p>
      <w:pPr>
        <w:pStyle w:val="GuideCode"/>
      </w:pPr>
      <w:r>
        <w:t>Reason and retained failure: &lt;evidence&gt;</w:t>
      </w:r>
    </w:p>
    <w:p>
      <w:pPr>
        <w:pStyle w:val="GuideCode"/>
      </w:pPr>
      <w:r>
        <w:t>Risk and compensating check: &lt;specific values&gt;</w:t>
      </w:r>
    </w:p>
    <w:p>
      <w:pPr>
        <w:pStyle w:val="GuideCode"/>
      </w:pPr>
      <w:r>
        <w:t>Owner: &lt;decision owner&gt;</w:t>
      </w:r>
    </w:p>
    <w:p>
      <w:pPr>
        <w:pStyle w:val="GuideCode"/>
      </w:pPr>
      <w:r>
        <w:t>Accepted date and expiry: &lt;dates&gt;</w:t>
      </w:r>
    </w:p>
    <w:p>
      <w:pPr>
        <w:pStyle w:val="GuideCode"/>
      </w:pPr>
      <w:r>
        <w:t>Removal task: &lt;link&gt;</w:t>
      </w:r>
    </w:p>
    <w:p>
      <w:pPr>
        <w:pStyle w:val="GuideCode"/>
      </w:pPr>
      <w:r>
        <w:t>Acceptance decision: &lt;record or proposed&gt;</w:t>
      </w:r>
    </w:p>
    <w:p>
      <w:pPr>
        <w:pStyle w:val="GuideCode"/>
      </w:pPr>
      <w:r>
        <w:t>Expired exceptions block the applicable gate.</w:t>
      </w:r>
    </w:p>
    <w:p>
      <w:pPr>
        <w:spacing w:after="40"/>
      </w:pPr>
    </w:p>
    <w:p>
      <w:bookmarkStart w:id="11" w:name="s11"/>
      <w:pPr>
        <w:pStyle w:val="Heading1"/>
      </w:pPr>
      <w:r>
        <w:t>11 Completed examples derived from the evidence</w:t>
      </w:r>
      <w:bookmarkEnd w:id="11"/>
    </w:p>
    <w:p>
      <w:r>
        <w:t>These are proposed Phase 2 records. They demonstrate usable detail without certifying that the correction has been implemented.</w:t>
      </w:r>
    </w:p>
    <w:p>
      <w:pPr>
        <w:pStyle w:val="Heading2"/>
      </w:pPr>
      <w:r>
        <w:t>11.1 Date comparison regression</w:t>
      </w:r>
    </w:p>
    <w:p>
      <w:r>
        <w:rPr>
          <w:b/>
        </w:rPr>
        <w:t>Task P2-SRCH-001</w:t>
      </w:r>
      <w:r>
        <w:t xml:space="preserve"> adds a deterministic regression for F02 in the copied implementation. Scope is the date resolver, its focused tests, and the feature acceptance example. Changing model, prompt, database ordering, or unrelated search logic is excluded.</w:t>
      </w:r>
    </w:p>
    <w:p>
      <w:r>
        <w:t xml:space="preserve">Use a fixed UTC clock at 2026-10-13T12:00:00Z. Define before yesterday as admission timestamp strictly earlier than 2026-10-12T00:00:00Z. Place stones at 2026-10-11T23:59:59Z, 2026-10-12T00:00:00Z, and 2026-10-12T12:00:00Z. Only the first satisfies that predicate. An independent expected value must not call </w:t>
      </w:r>
      <w:r>
        <w:rPr>
          <w:rFonts w:ascii="Liberation Mono" w:hAnsi="Liberation Mono"/>
          <w:sz w:val="18"/>
        </w:rPr>
        <w:t>resolveDates</w:t>
      </w:r>
      <w:r>
        <w:t>.</w:t>
      </w:r>
    </w:p>
    <w:p>
      <w:r>
        <w:t>Test yesterday separately as the half-open interval from 2026-10-12T00:00:00Z to 2026-10-13T00:00:00Z. Test on 6 October without a year according to the accepted clarification rule. Confirm the product meaning before changing the copied implementation if that operator is not already specified. This task proves operator preservation and boundaries; real-model interpretation remains G06 work.</w:t>
      </w:r>
    </w:p>
    <w:p>
      <w:pPr>
        <w:pStyle w:val="Heading2"/>
      </w:pPr>
      <w:r>
        <w:t>11.2 Freshness regression</w:t>
      </w:r>
    </w:p>
    <w:p>
      <w:r>
        <w:rPr>
          <w:b/>
        </w:rPr>
        <w:t>Task P2-SRCH-002</w:t>
      </w:r>
      <w:r>
        <w:t xml:space="preserve"> targets F03. Prepare an eligible candidate with a biography supporting a display shelf. Between retrieval and finalization, change its name and remove that supporting statement while leaving it available. The final answer must not retain the old name or shelf claim. It must use current valid data and the contract's bounded revalidation/fallback.</w:t>
      </w:r>
    </w:p>
    <w:p>
      <w:r>
        <w:t>Run separate cases for reservation, deletion, and a type change that invalidates the exact filter. Assert final text and links as well as the returned IDs. Use a deterministic hook at the boundary in test code; do not add a production endpoint for injecting a race. The concurrency behavior of a later adoption transaction is a separate invariant and test.</w:t>
      </w:r>
    </w:p>
    <w:p>
      <w:pPr>
        <w:pStyle w:val="Heading2"/>
      </w:pPr>
      <w:r>
        <w:t>11.3 Fixture integrity regression</w:t>
      </w:r>
    </w:p>
    <w:p>
      <w:r>
        <w:rPr>
          <w:b/>
        </w:rPr>
        <w:t>Task P2-EVID-001</w:t>
      </w:r>
      <w:r>
        <w:t xml:space="preserve"> targets F04 and F06. Define a canonical structured scenario containing ID, literal turns, expected state, and cohort. Generate or validate the human acceptance table and executable fixture against it. If exact inputs differ, G01 fails before inference. A deliberate omission of 2026 from Q027-016 must be detected.</w:t>
      </w:r>
    </w:p>
    <w:p>
      <w:r>
        <w:t>For the historical size-oracle error, preserve the original output and verdict. Add a reviewed correction stating that LARGE was requested on that turn, then evaluate remaining date/reference violations independently. Correcting a false positive must not erase real failures or imply a complete scenario pass.</w:t>
      </w:r>
    </w:p>
    <w:p>
      <w:bookmarkStart w:id="12" w:name="s12"/>
      <w:pPr>
        <w:pStyle w:val="Heading1"/>
      </w:pPr>
      <w:r>
        <w:t>12 Measure whether the controls help</w:t>
      </w:r>
      <w:bookmarkEnd w:id="12"/>
    </w:p>
    <w:p>
      <w:r>
        <w:t>Record metrics per task and run, using definitions fixed before comparison. Keep correctness, completion, and cost separate.</w:t>
      </w:r>
    </w:p>
    <w:tbl>
      <w:tblPr>
        <w:tblW w:type="auto" w:w="0"/>
        <w:jc w:val="center"/>
        <w:tblLayout w:type="fixed"/>
        <w:tblLook w:firstColumn="1" w:firstRow="1" w:lastColumn="0" w:lastRow="0" w:noHBand="0" w:noVBand="1" w:val="04A0"/>
      </w:tblPr>
      <w:tblGrid>
        <w:gridCol w:w="2232"/>
        <w:gridCol w:w="7762"/>
      </w:tblGrid>
      <w:tr>
        <w:trPr>
          <w:cantSplit/>
          <w:tblHeader w:val="true"/>
        </w:trPr>
        <w:tc>
          <w:tcPr>
            <w:tcW w:type="dxa" w:w="223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Metric</w:t>
            </w:r>
          </w:p>
        </w:tc>
        <w:tc>
          <w:tcPr>
            <w:tcW w:type="dxa" w:w="776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263D50"/>
          </w:tcPr>
          <w:p>
            <w:pPr>
              <w:spacing w:after="0" w:line="252" w:lineRule="auto"/>
            </w:pPr>
            <w:r>
              <w:rPr>
                <w:b/>
                <w:color w:val="FFFFFF"/>
                <w:sz w:val="19"/>
              </w:rPr>
              <w:t>Operational definition</w:t>
            </w:r>
          </w:p>
        </w:tc>
      </w:tr>
      <w:tr>
        <w:trPr>
          <w:cantSplit/>
        </w:trPr>
        <w:tc>
          <w:tcPr>
            <w:tcW w:type="dxa" w:w="223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Contract compliance</w:t>
            </w:r>
          </w:p>
        </w:tc>
        <w:tc>
          <w:tcPr>
            <w:tcW w:type="dxa" w:w="776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Accepted ACs passed / applicable ACs, with unverified ACs shown</w:t>
            </w:r>
          </w:p>
        </w:tc>
      </w:tr>
      <w:tr>
        <w:trPr>
          <w:cantSplit/>
        </w:trPr>
        <w:tc>
          <w:tcPr>
            <w:tcW w:type="dxa" w:w="223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Escaped defect</w:t>
            </w:r>
          </w:p>
        </w:tc>
        <w:tc>
          <w:tcPr>
            <w:tcW w:type="dxa" w:w="776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Confirmed contract violation discovered after acceptance</w:t>
            </w:r>
          </w:p>
        </w:tc>
      </w:tr>
      <w:tr>
        <w:trPr>
          <w:cantSplit/>
        </w:trPr>
        <w:tc>
          <w:tcPr>
            <w:tcW w:type="dxa" w:w="223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Gate detection</w:t>
            </w:r>
          </w:p>
        </w:tc>
        <w:tc>
          <w:tcPr>
            <w:tcW w:type="dxa" w:w="776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Confirmed violations caught by each gate, deduplicated by root cause</w:t>
            </w:r>
          </w:p>
        </w:tc>
      </w:tr>
      <w:tr>
        <w:trPr>
          <w:cantSplit/>
        </w:trPr>
        <w:tc>
          <w:tcPr>
            <w:tcW w:type="dxa" w:w="223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False positive</w:t>
            </w:r>
          </w:p>
        </w:tc>
        <w:tc>
          <w:tcPr>
            <w:tcW w:type="dxa" w:w="776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Reviewed gate/reviewer finding that does not violate its stated rule</w:t>
            </w:r>
          </w:p>
        </w:tc>
      </w:tr>
      <w:tr>
        <w:trPr>
          <w:cantSplit/>
        </w:trPr>
        <w:tc>
          <w:tcPr>
            <w:tcW w:type="dxa" w:w="223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Rework</w:t>
            </w:r>
          </w:p>
        </w:tc>
        <w:tc>
          <w:tcPr>
            <w:tcW w:type="dxa" w:w="776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Agent correction cycles and changed work needed after initial verification/review</w:t>
            </w:r>
          </w:p>
        </w:tc>
      </w:tr>
      <w:tr>
        <w:trPr>
          <w:cantSplit/>
        </w:trPr>
        <w:tc>
          <w:tcPr>
            <w:tcW w:type="dxa" w:w="223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Human supervision</w:t>
            </w:r>
          </w:p>
        </w:tc>
        <w:tc>
          <w:tcPr>
            <w:tcW w:type="dxa" w:w="776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Minutes and count of decisions, manual edits and overrides</w:t>
            </w:r>
          </w:p>
        </w:tc>
      </w:tr>
      <w:tr>
        <w:trPr>
          <w:cantSplit/>
        </w:trPr>
        <w:tc>
          <w:tcPr>
            <w:tcW w:type="dxa" w:w="223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Cost</w:t>
            </w:r>
          </w:p>
        </w:tc>
        <w:tc>
          <w:tcPr>
            <w:tcW w:type="dxa" w:w="776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FFFFF"/>
          </w:tcPr>
          <w:p>
            <w:pPr>
              <w:spacing w:after="0" w:line="252" w:lineRule="auto"/>
            </w:pPr>
            <w:r>
              <w:rPr>
                <w:sz w:val="19"/>
              </w:rPr>
              <w:t>Recorded tokens/currency and elapsed time; unknown usage remains unknown</w:t>
            </w:r>
          </w:p>
        </w:tc>
      </w:tr>
      <w:tr>
        <w:trPr>
          <w:cantSplit/>
        </w:trPr>
        <w:tc>
          <w:tcPr>
            <w:tcW w:type="dxa" w:w="223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Acceptance throughput</w:t>
            </w:r>
          </w:p>
        </w:tc>
        <w:tc>
          <w:tcPr>
            <w:tcW w:type="dxa" w:w="7762"/>
            <w:vAlign w:val="center"/>
            <w:tcMar>
              <w:top w:w="85" w:type="dxa"/>
              <w:left w:w="85" w:type="dxa"/>
              <w:bottom w:w="85" w:type="dxa"/>
              <w:right w:w="85" w:type="dxa"/>
            </w:tcMar>
            <w:tcBorders>
              <w:top w:val="single" w:sz="5" w:color="D9D9D9"/>
              <w:left w:val="single" w:sz="5" w:color="D9D9D9"/>
              <w:bottom w:val="single" w:sz="5" w:color="D9D9D9"/>
              <w:right w:val="single" w:sz="5" w:color="D9D9D9"/>
            </w:tcBorders>
            <w:shd w:fill="F3F5F7"/>
          </w:tcPr>
          <w:p>
            <w:pPr>
              <w:spacing w:after="0" w:line="252" w:lineRule="auto"/>
            </w:pPr>
            <w:r>
              <w:rPr>
                <w:sz w:val="19"/>
              </w:rPr>
              <w:t>Accepted scoped tasks per recorded working period</w:t>
            </w:r>
          </w:p>
        </w:tc>
      </w:tr>
    </w:tbl>
    <w:p>
      <w:pPr>
        <w:spacing w:after="40"/>
      </w:pPr>
    </w:p>
    <w:p>
      <w:r>
        <w:t>Keep Phase 1's missing early conversation history and evolving scope visible in comparisons. Learning to specify tasks, different models, changed fixtures, and different feature difficulty can affect the result. Phase 1 versus Phase 2 is a descriptive comparison unless the runs control those variables. Do not attribute every improvement to rules or report statistical confidence from a single task.</w:t>
      </w:r>
    </w:p>
    <w:p>
      <w:r>
        <w:t>Begin with the date, freshness, and fixture controls above. For later matched tasks, retain the same contract, inputs, model settings, and evaluation policy where feasible. Change one control at a time when testing its effect. Record both time saved and time spent maintaining the control. Retire a control when its measured cost or false positives outweigh its benefit, through a documented decision.</w:t>
      </w:r>
    </w:p>
    <w:p>
      <w:bookmarkStart w:id="13" w:name="s13"/>
      <w:pPr>
        <w:pStyle w:val="Heading1"/>
      </w:pPr>
      <w:r>
        <w:t>13 Source register</w:t>
      </w:r>
      <w:bookmarkEnd w:id="13"/>
    </w:p>
    <w:p>
      <w:r>
        <w:t>Application observations S1 through S7 are pinned to the reviewed SHA. Line numbers are navigation aids; the symbol and revision identify the evidence. S8 is current project documentation examined on 23 October 2026 and is not the application baseline. Tool documentation supports enforcement mechanics, not claims about historical execution.</w:t>
      </w:r>
    </w:p>
    <w:p>
      <w:pPr>
        <w:pStyle w:val="ListBullet"/>
      </w:pPr>
      <w:r>
        <w:rPr>
          <w:b/>
        </w:rPr>
        <w:t>S1</w:t>
      </w:r>
      <w:r>
        <w:t xml:space="preserve"> Root agent rules at the reviewed SHA: </w:t>
      </w:r>
      <w:hyperlink r:id="rId11">
        <w:r>
          <w:rPr>
            <w:color w:val="234D72"/>
            <w:u w:val="single"/>
          </w:rPr>
          <w:t>AGENTS.md</w:t>
        </w:r>
      </w:hyperlink>
      <w:r>
        <w:t>.</w:t>
      </w:r>
    </w:p>
    <w:p>
      <w:pPr>
        <w:pStyle w:val="ListBullet"/>
      </w:pPr>
      <w:r>
        <w:rPr>
          <w:b/>
        </w:rPr>
        <w:t>S2</w:t>
      </w:r>
      <w:r>
        <w:t xml:space="preserve"> Existing architecture and process requirements: </w:t>
      </w:r>
      <w:hyperlink r:id="rId12">
        <w:r>
          <w:rPr>
            <w:color w:val="234D72"/>
            <w:u w:val="single"/>
          </w:rPr>
          <w:t>constitution.md</w:t>
        </w:r>
      </w:hyperlink>
      <w:r>
        <w:t>.</w:t>
      </w:r>
    </w:p>
    <w:p>
      <w:pPr>
        <w:pStyle w:val="ListBullet"/>
      </w:pPr>
      <w:r>
        <w:rPr>
          <w:b/>
        </w:rPr>
        <w:t>S3</w:t>
      </w:r>
      <w:r>
        <w:t xml:space="preserve"> Date normalization, </w:t>
      </w:r>
      <w:r>
        <w:rPr>
          <w:rFonts w:ascii="Liberation Mono" w:hAnsi="Liberation Mono"/>
          <w:sz w:val="18"/>
        </w:rPr>
        <w:t>resolveDates</w:t>
      </w:r>
      <w:r>
        <w:t xml:space="preserve">, approximately lines 159 to 183: </w:t>
      </w:r>
      <w:hyperlink r:id="rId13">
        <w:r>
          <w:rPr>
            <w:color w:val="234D72"/>
            <w:u w:val="single"/>
          </w:rPr>
          <w:t>StoneExactSearchService.java</w:t>
        </w:r>
      </w:hyperlink>
      <w:r>
        <w:t>.</w:t>
      </w:r>
    </w:p>
    <w:p>
      <w:pPr>
        <w:pStyle w:val="ListBullet"/>
      </w:pPr>
      <w:r>
        <w:rPr>
          <w:b/>
        </w:rPr>
        <w:t>S4</w:t>
      </w:r>
      <w:r>
        <w:t xml:space="preserve"> Current eligibility reduced to ID filtering, </w:t>
      </w:r>
      <w:r>
        <w:rPr>
          <w:rFonts w:ascii="Liberation Mono" w:hAnsi="Liberation Mono"/>
          <w:sz w:val="18"/>
        </w:rPr>
        <w:t>eligible</w:t>
      </w:r>
      <w:r>
        <w:t xml:space="preserve">, approximately lines 78 to 82: </w:t>
      </w:r>
      <w:hyperlink r:id="rId14">
        <w:r>
          <w:rPr>
            <w:color w:val="234D72"/>
            <w:u w:val="single"/>
          </w:rPr>
          <w:t>StoneSemanticCandidateService.java</w:t>
        </w:r>
      </w:hyperlink>
      <w:r>
        <w:t>.</w:t>
      </w:r>
    </w:p>
    <w:p>
      <w:pPr>
        <w:pStyle w:val="ListBullet"/>
      </w:pPr>
      <w:r>
        <w:rPr>
          <w:b/>
        </w:rPr>
        <w:t>S5</w:t>
      </w:r>
      <w:r>
        <w:t xml:space="preserve"> Current row retrieval and full-profile validation, </w:t>
      </w:r>
      <w:r>
        <w:rPr>
          <w:rFonts w:ascii="Liberation Mono" w:hAnsi="Liberation Mono"/>
          <w:sz w:val="18"/>
        </w:rPr>
        <w:t>findEligible</w:t>
      </w:r>
      <w:r>
        <w:t xml:space="preserve"> and </w:t>
      </w:r>
      <w:r>
        <w:rPr>
          <w:rFonts w:ascii="Liberation Mono" w:hAnsi="Liberation Mono"/>
          <w:sz w:val="18"/>
        </w:rPr>
        <w:t>requireProfile</w:t>
      </w:r>
      <w:r>
        <w:t xml:space="preserve">: </w:t>
      </w:r>
      <w:hyperlink r:id="rId15">
        <w:r>
          <w:rPr>
            <w:color w:val="234D72"/>
            <w:u w:val="single"/>
          </w:rPr>
          <w:t>StoneSemanticSearchRepository.java</w:t>
        </w:r>
      </w:hyperlink>
      <w:r>
        <w:t>.</w:t>
      </w:r>
    </w:p>
    <w:p>
      <w:pPr>
        <w:pStyle w:val="ListBullet"/>
      </w:pPr>
      <w:r>
        <w:rPr>
          <w:b/>
        </w:rPr>
        <w:t>S6</w:t>
      </w:r>
      <w:r>
        <w:t xml:space="preserve"> Compare Q027-016 and Q027-020 in </w:t>
      </w:r>
      <w:hyperlink r:id="rId16">
        <w:r>
          <w:rPr>
            <w:color w:val="234D72"/>
            <w:u w:val="single"/>
          </w:rPr>
          <w:t>acceptance.md</w:t>
        </w:r>
      </w:hyperlink>
      <w:r>
        <w:t xml:space="preserve"> with </w:t>
      </w:r>
      <w:hyperlink r:id="rId17">
        <w:r>
          <w:rPr>
            <w:color w:val="234D72"/>
            <w:u w:val="single"/>
          </w:rPr>
          <w:t>search-query-qualification.json</w:t>
        </w:r>
      </w:hyperlink>
      <w:r>
        <w:t>.</w:t>
      </w:r>
    </w:p>
    <w:p>
      <w:pPr>
        <w:pStyle w:val="ListBullet"/>
      </w:pPr>
      <w:r>
        <w:rPr>
          <w:b/>
        </w:rPr>
        <w:t>S7</w:t>
      </w:r>
      <w:r>
        <w:t xml:space="preserve"> Historical qualification, original failures, oracle correction, and final autonomous assessment: </w:t>
      </w:r>
      <w:hyperlink r:id="rId18">
        <w:r>
          <w:rPr>
            <w:color w:val="234D72"/>
            <w:u w:val="single"/>
          </w:rPr>
          <w:t>qualification-report.md</w:t>
        </w:r>
      </w:hyperlink>
      <w:r>
        <w:t xml:space="preserve">. Evidence-writing implementation: </w:t>
      </w:r>
      <w:hyperlink r:id="rId19">
        <w:r>
          <w:rPr>
            <w:color w:val="234D72"/>
            <w:u w:val="single"/>
          </w:rPr>
          <w:t>StoneSearchQueryQualificationTest.java</w:t>
        </w:r>
      </w:hyperlink>
      <w:r>
        <w:t>.</w:t>
      </w:r>
    </w:p>
    <w:p>
      <w:pPr>
        <w:pStyle w:val="ListBullet"/>
      </w:pPr>
      <w:r>
        <w:rPr>
          <w:b/>
        </w:rPr>
        <w:t>S8</w:t>
      </w:r>
      <w:r>
        <w:t xml:space="preserve"> Phase labels, declared freeze, and conflicting starting-point descriptions: </w:t>
      </w:r>
      <w:hyperlink r:id="rId20">
        <w:r>
          <w:rPr>
            <w:color w:val="234D72"/>
            <w:u w:val="single"/>
          </w:rPr>
          <w:t>Phase 1 README</w:t>
        </w:r>
      </w:hyperlink>
      <w:r>
        <w:t xml:space="preserve">. New repository identity and description: </w:t>
      </w:r>
      <w:hyperlink r:id="rId21">
        <w:r>
          <w:rPr>
            <w:color w:val="234D72"/>
            <w:u w:val="single"/>
          </w:rPr>
          <w:t>agentic-controlls-examples</w:t>
        </w:r>
      </w:hyperlink>
      <w:r>
        <w:t>.</w:t>
      </w:r>
    </w:p>
    <w:p>
      <w:pPr>
        <w:pStyle w:val="ListBullet"/>
      </w:pPr>
      <w:r>
        <w:rPr>
          <w:b/>
        </w:rPr>
        <w:t>S9</w:t>
      </w:r>
      <w:r>
        <w:t xml:space="preserve"> GitHub required-check behavior, latest revision, skipped jobs, and merge queues: </w:t>
      </w:r>
      <w:hyperlink r:id="rId22">
        <w:r>
          <w:rPr>
            <w:color w:val="234D72"/>
            <w:u w:val="single"/>
          </w:rPr>
          <w:t>Troubleshooting required status checks</w:t>
        </w:r>
      </w:hyperlink>
      <w:r>
        <w:t>.</w:t>
      </w:r>
    </w:p>
    <w:p>
      <w:pPr>
        <w:pStyle w:val="ListBullet"/>
      </w:pPr>
      <w:r>
        <w:rPr>
          <w:b/>
        </w:rPr>
        <w:t>S10</w:t>
      </w:r>
      <w:r>
        <w:t xml:space="preserve"> Maven Failsafe verification and missing-test handling: </w:t>
      </w:r>
      <w:hyperlink r:id="rId23">
        <w:r>
          <w:rPr>
            <w:color w:val="234D72"/>
            <w:u w:val="single"/>
          </w:rPr>
          <w:t>failsafe verify</w:t>
        </w:r>
      </w:hyperlink>
      <w:r>
        <w:t>.</w:t>
      </w:r>
    </w:p>
    <w:p>
      <w:pPr>
        <w:pStyle w:val="ListBullet"/>
      </w:pPr>
      <w:r>
        <w:rPr>
          <w:b/>
        </w:rPr>
        <w:t>S11</w:t>
      </w:r>
      <w:r>
        <w:t xml:space="preserve"> Build-failing static analysis goals: </w:t>
      </w:r>
      <w:hyperlink r:id="rId24">
        <w:r>
          <w:rPr>
            <w:color w:val="234D72"/>
            <w:u w:val="single"/>
          </w:rPr>
          <w:t>PMD check</w:t>
        </w:r>
      </w:hyperlink>
      <w:r>
        <w:t xml:space="preserve"> and </w:t>
      </w:r>
      <w:hyperlink r:id="rId25">
        <w:r>
          <w:rPr>
            <w:color w:val="234D72"/>
            <w:u w:val="single"/>
          </w:rPr>
          <w:t>CPD check</w:t>
        </w:r>
      </w:hyperlink>
      <w:r>
        <w:t>.</w:t>
      </w: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Phase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STONE SHELTER LAB   /   PHASE 2 ENGINEERING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widowControl w:val="0"/>
      <w:spacing w:line="240" w:lineRule="auto" w:after="0" w:before="0"/>
      <w:ind w:left="173"/>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reChatGPTSenior/stone-shelter-lab/blob/60dc4cf29f7214496568226e29080d92778fc77c/AGENTS.md" TargetMode="External"/><Relationship Id="rId12" Type="http://schemas.openxmlformats.org/officeDocument/2006/relationships/hyperlink" Target="https://github.com/PreChatGPTSenior/stone-shelter-lab/blob/60dc4cf29f7214496568226e29080d92778fc77c/.specify/memory/constitution.md" TargetMode="External"/><Relationship Id="rId13" Type="http://schemas.openxmlformats.org/officeDocument/2006/relationships/hyperlink" Target="https://github.com/PreChatGPTSenior/stone-shelter-lab/blob/60dc4cf29f7214496568226e29080d92778fc77c/stone-shelter-api/src/main/java/lab/stoneshelter/services/StoneExactSearchService.java" TargetMode="External"/><Relationship Id="rId14" Type="http://schemas.openxmlformats.org/officeDocument/2006/relationships/hyperlink" Target="https://github.com/PreChatGPTSenior/stone-shelter-lab/blob/60dc4cf29f7214496568226e29080d92778fc77c/stone-shelter-api/src/main/java/lab/stoneshelter/services/StoneSemanticCandidateService.java" TargetMode="External"/><Relationship Id="rId15" Type="http://schemas.openxmlformats.org/officeDocument/2006/relationships/hyperlink" Target="https://github.com/PreChatGPTSenior/stone-shelter-lab/blob/60dc4cf29f7214496568226e29080d92778fc77c/stone-shelter-api/src/main/java/lab/stoneshelter/repositories/StoneSemanticSearchRepository.java" TargetMode="External"/><Relationship Id="rId16" Type="http://schemas.openxmlformats.org/officeDocument/2006/relationships/hyperlink" Target="https://github.com/PreChatGPTSenior/stone-shelter-lab/blob/60dc4cf29f7214496568226e29080d92778fc77c/specs/0027-llm-search-query-qualification/acceptance.md" TargetMode="External"/><Relationship Id="rId17" Type="http://schemas.openxmlformats.org/officeDocument/2006/relationships/hyperlink" Target="https://github.com/PreChatGPTSenior/stone-shelter-lab/blob/60dc4cf29f7214496568226e29080d92778fc77c/stone-shelter-api/src/test/resources/search-query-qualification.json" TargetMode="External"/><Relationship Id="rId18" Type="http://schemas.openxmlformats.org/officeDocument/2006/relationships/hyperlink" Target="https://github.com/PreChatGPTSenior/stone-shelter-lab/blob/60dc4cf29f7214496568226e29080d92778fc77c/specs/0027-llm-search-query-qualification/qualification-report.md" TargetMode="External"/><Relationship Id="rId19" Type="http://schemas.openxmlformats.org/officeDocument/2006/relationships/hyperlink" Target="https://github.com/PreChatGPTSenior/stone-shelter-lab/blob/60dc4cf29f7214496568226e29080d92778fc77c/stone-shelter-api/src/test/java/lab/stoneshelter/StoneSearchQueryQualificationTest.java" TargetMode="External"/><Relationship Id="rId20" Type="http://schemas.openxmlformats.org/officeDocument/2006/relationships/hyperlink" Target="https://github.com/PreChatGPTSenior/stone-shelter-lab/blob/3a67fef6b3d74facee66330fb55995a2696ab4a8/README.md" TargetMode="External"/><Relationship Id="rId21" Type="http://schemas.openxmlformats.org/officeDocument/2006/relationships/hyperlink" Target="https://github.com/PreChatGPTSenior/agentic-controlls-examples" TargetMode="External"/><Relationship Id="rId22" Type="http://schemas.openxmlformats.org/officeDocument/2006/relationships/hyperlink" Target="https://docs.github.com/en/pull-requests/how-tos/merge-and-close-pull-requests/troubleshooting-required-status-checks" TargetMode="External"/><Relationship Id="rId23" Type="http://schemas.openxmlformats.org/officeDocument/2006/relationships/hyperlink" Target="https://maven.apache.org/components/surefire/maven-failsafe-plugin/verify-mojo.html" TargetMode="External"/><Relationship Id="rId24" Type="http://schemas.openxmlformats.org/officeDocument/2006/relationships/hyperlink" Target="https://maven.apache.org/plugins/maven-pmd-plugin/check-mojo.html" TargetMode="External"/><Relationship Id="rId25" Type="http://schemas.openxmlformats.org/officeDocument/2006/relationships/hyperlink" Target="https://maven.apache.org/plugins/maven-pmd-plugin/cpd-check-moj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Stone Shelter Lab Phase 2 Engineering Guide</dc:title>
  <dc:subject>Postmortem Driven Development engineering controls and repository setup</dc:subject>
  <dc:creator>Stone Shelter Lab</dc:creator>
  <cp:keywords>Phase 2, engineering rules, quality gates, agent workflow</cp:keywords>
  <dc:description>generated by python-docx</dc:description>
  <cp:lastModifiedBy/>
  <cp:revision>1</cp:revision>
  <dcterms:created xsi:type="dcterms:W3CDTF">2013-12-23T23:15:00Z</dcterms:created>
  <dcterms:modified xsi:type="dcterms:W3CDTF">2013-12-23T23:15:00Z</dcterms:modified>
  <cp:category/>
</cp:coreProperties>
</file>