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Unfamiliar industrial insurance submission — generated QA fixture</w:t>
      </w:r>
    </w:p>
    <w:p>
      <w:r>
        <w:t>Insured entity: QA Unfamiliar Ceramic Works 4886037b</w:t>
      </w:r>
    </w:p>
    <w:p>
      <w:r>
        <w:t>Facility location: Not supplied</w:t>
      </w:r>
    </w:p>
    <w:p>
      <w:r>
        <w:t>Coordinates: Not supplied. Do not infer coordinates from a company name.</w:t>
      </w:r>
    </w:p>
    <w:p>
      <w:r>
        <w:t>Industry: ceramics manufacturing</w:t>
      </w:r>
    </w:p>
    <w:p>
      <w:r>
        <w:t>Property sum insured: KES 2330000</w:t>
      </w:r>
    </w:p>
    <w:p>
      <w:r>
        <w:t>Requested flood limit: KES 1165000 (broker proposal)</w:t>
      </w:r>
    </w:p>
    <w:p>
      <w:r>
        <w:t>Machinery insured value: KES 120000. Its relationship with property sum insured is not stated.</w:t>
      </w:r>
    </w:p>
    <w:p>
      <w:r>
        <w:t>Warehouse East floor area: 240 m2; reinforced masonry; structure insured value not provided.</w:t>
      </w:r>
    </w:p>
    <w:p>
      <w:r>
        <w:t>Inspection on 2025-01-01: Warehouse East structural condition is poor.</w:t>
      </w:r>
    </w:p>
    <w:p>
      <w:r>
        <w:t>Same inspection on 2025-01-01: Warehouse East structural condition is good.</w:t>
      </w:r>
    </w:p>
    <w:p>
      <w:r>
        <w:t>Historical flood on 2024-04-11: observed water depth 0.3 m; claimed KES 1500; settled KES 1000.</w:t>
      </w:r>
    </w:p>
    <w:p>
      <w:r>
        <w:t>Broker recommends drainage inspection; this is a broker proposal, not an AI finding.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