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EAD9" w14:textId="77777777" w:rsidR="005E660D" w:rsidRDefault="00000000">
      <w:pPr>
        <w:spacing w:after="60"/>
        <w:jc w:val="center"/>
      </w:pPr>
      <w:r>
        <w:rPr>
          <w:b/>
          <w:bCs/>
          <w:color w:val="1A202C"/>
          <w:sz w:val="26"/>
          <w:szCs w:val="26"/>
        </w:rPr>
        <w:t>Intra: Autonomous API Resilience through Behavioural Observation, Drift Detection, and Policy-Gated Adaptation</w:t>
      </w:r>
    </w:p>
    <w:p w14:paraId="115743AD" w14:textId="77777777" w:rsidR="005E660D" w:rsidRDefault="00000000">
      <w:pPr>
        <w:spacing w:after="30"/>
        <w:jc w:val="center"/>
      </w:pPr>
      <w:r>
        <w:rPr>
          <w:color w:val="4A5568"/>
          <w:sz w:val="18"/>
          <w:szCs w:val="18"/>
        </w:rPr>
        <w:t>Architecture, Prior-Art Analysis and Patentability Assessment</w:t>
      </w:r>
    </w:p>
    <w:p w14:paraId="5BCC0A34" w14:textId="77777777" w:rsidR="005E660D" w:rsidRDefault="00000000">
      <w:pPr>
        <w:spacing w:after="50"/>
        <w:jc w:val="center"/>
      </w:pPr>
      <w:r>
        <w:rPr>
          <w:i/>
          <w:iCs/>
          <w:color w:val="4A5568"/>
          <w:sz w:val="16"/>
          <w:szCs w:val="16"/>
        </w:rPr>
        <w:t>A Technical Research Paper in Support of an Invention Disclosure</w:t>
      </w:r>
    </w:p>
    <w:p w14:paraId="3DB05C3C" w14:textId="77777777" w:rsidR="005E660D" w:rsidRDefault="00000000">
      <w:pPr>
        <w:spacing w:after="20"/>
        <w:jc w:val="center"/>
      </w:pPr>
      <w:r>
        <w:rPr>
          <w:color w:val="1A202C"/>
          <w:sz w:val="16"/>
          <w:szCs w:val="16"/>
        </w:rPr>
        <w:t>Independent Research / Hackathon Prototype Analysis</w:t>
      </w:r>
    </w:p>
    <w:p w14:paraId="31CF407D" w14:textId="1341F1AA" w:rsidR="005E660D" w:rsidRDefault="00000000">
      <w:pPr>
        <w:spacing w:after="140"/>
        <w:jc w:val="center"/>
        <w:rPr>
          <w:i/>
          <w:iCs/>
          <w:color w:val="4A5568"/>
          <w:sz w:val="15"/>
          <w:szCs w:val="15"/>
        </w:rPr>
      </w:pPr>
      <w:r>
        <w:rPr>
          <w:i/>
          <w:iCs/>
          <w:color w:val="4A5568"/>
          <w:sz w:val="15"/>
          <w:szCs w:val="15"/>
        </w:rPr>
        <w:t xml:space="preserve">Repository: </w:t>
      </w:r>
      <w:hyperlink r:id="rId7" w:history="1">
        <w:r w:rsidR="00E04355" w:rsidRPr="00E04355">
          <w:rPr>
            <w:rStyle w:val="Hyperlink"/>
            <w:i/>
            <w:iCs/>
            <w:sz w:val="15"/>
            <w:szCs w:val="15"/>
          </w:rPr>
          <w:t>https://github.com/Precise-Goals/Intra</w:t>
        </w:r>
      </w:hyperlink>
      <w:r w:rsidR="00E04355">
        <w:rPr>
          <w:i/>
          <w:iCs/>
          <w:color w:val="4A5568"/>
          <w:sz w:val="15"/>
          <w:szCs w:val="15"/>
        </w:rPr>
        <w:t xml:space="preserve"> </w:t>
      </w:r>
      <w:proofErr w:type="gramStart"/>
      <w:r w:rsidR="00E04355">
        <w:rPr>
          <w:i/>
          <w:iCs/>
          <w:color w:val="4A5568"/>
          <w:sz w:val="15"/>
          <w:szCs w:val="15"/>
        </w:rPr>
        <w:t>·</w:t>
      </w:r>
      <w:r>
        <w:rPr>
          <w:i/>
          <w:iCs/>
          <w:color w:val="4A5568"/>
          <w:sz w:val="15"/>
          <w:szCs w:val="15"/>
        </w:rPr>
        <w:t xml:space="preserve">  October</w:t>
      </w:r>
      <w:proofErr w:type="gramEnd"/>
      <w:r>
        <w:rPr>
          <w:i/>
          <w:iCs/>
          <w:color w:val="4A5568"/>
          <w:sz w:val="15"/>
          <w:szCs w:val="15"/>
        </w:rPr>
        <w:t xml:space="preserve"> 2026</w:t>
      </w:r>
    </w:p>
    <w:p w14:paraId="1CA21B35" w14:textId="02E941CC" w:rsidR="00E04355" w:rsidRPr="00E04355" w:rsidRDefault="00E04355" w:rsidP="00E04355">
      <w:pPr>
        <w:spacing w:after="140"/>
        <w:jc w:val="center"/>
        <w:rPr>
          <w:b/>
          <w:bCs/>
          <w:i/>
          <w:iCs/>
          <w:color w:val="4A5568"/>
          <w:sz w:val="15"/>
          <w:szCs w:val="15"/>
        </w:rPr>
      </w:pPr>
      <w:r>
        <w:rPr>
          <w:b/>
          <w:bCs/>
          <w:i/>
          <w:iCs/>
          <w:color w:val="4A5568"/>
          <w:sz w:val="15"/>
          <w:szCs w:val="15"/>
        </w:rPr>
        <w:t>Authors and Researchers</w:t>
      </w:r>
      <w:r>
        <w:rPr>
          <w:b/>
          <w:bCs/>
          <w:i/>
          <w:iCs/>
          <w:color w:val="4A5568"/>
          <w:sz w:val="15"/>
          <w:szCs w:val="15"/>
        </w:rPr>
        <w:br/>
        <w:t>Sarthak Patil, Karan Verma, Sneha Sharma, Sneha Patidar</w:t>
      </w:r>
    </w:p>
    <w:p w14:paraId="76E9DB51" w14:textId="77777777" w:rsidR="005E660D" w:rsidRDefault="00000000">
      <w:pPr>
        <w:spacing w:before="60" w:after="80"/>
        <w:jc w:val="center"/>
      </w:pPr>
      <w:r>
        <w:rPr>
          <w:b/>
          <w:bCs/>
          <w:color w:val="1A365D"/>
          <w:sz w:val="19"/>
          <w:szCs w:val="19"/>
        </w:rPr>
        <w:t>Abstract</w:t>
      </w:r>
    </w:p>
    <w:p w14:paraId="048F9F73" w14:textId="0D56EC29" w:rsidR="005E660D" w:rsidRDefault="00000000">
      <w:pPr>
        <w:spacing w:after="80" w:line="250" w:lineRule="auto"/>
        <w:ind w:left="180" w:right="180"/>
        <w:jc w:val="both"/>
      </w:pPr>
      <w:r>
        <w:rPr>
          <w:color w:val="1A202C"/>
          <w:sz w:val="16"/>
          <w:szCs w:val="16"/>
        </w:rPr>
        <w:t xml:space="preserve">Modern applications depend on third-party APIs, SDKs, webhooks and MCP servers whose behaviour can change without notice. Schema validators and static </w:t>
      </w:r>
      <w:proofErr w:type="spellStart"/>
      <w:r>
        <w:rPr>
          <w:color w:val="1A202C"/>
          <w:sz w:val="16"/>
          <w:szCs w:val="16"/>
        </w:rPr>
        <w:t>OpenAPI</w:t>
      </w:r>
      <w:proofErr w:type="spellEnd"/>
      <w:r>
        <w:rPr>
          <w:color w:val="1A202C"/>
          <w:sz w:val="16"/>
          <w:szCs w:val="16"/>
        </w:rPr>
        <w:t xml:space="preserve"> diffs miss semantic drift</w:t>
      </w:r>
      <w:r w:rsidR="00E04355">
        <w:rPr>
          <w:color w:val="1A202C"/>
          <w:sz w:val="16"/>
          <w:szCs w:val="16"/>
        </w:rPr>
        <w:t xml:space="preserve"> </w:t>
      </w:r>
      <w:r>
        <w:rPr>
          <w:color w:val="1A202C"/>
          <w:sz w:val="16"/>
          <w:szCs w:val="16"/>
        </w:rPr>
        <w:t xml:space="preserve">renames, unit/scale shifts, default flips, pagination style changes and </w:t>
      </w:r>
      <w:proofErr w:type="spellStart"/>
      <w:r>
        <w:rPr>
          <w:color w:val="1A202C"/>
          <w:sz w:val="16"/>
          <w:szCs w:val="16"/>
        </w:rPr>
        <w:t>enum</w:t>
      </w:r>
      <w:proofErr w:type="spellEnd"/>
      <w:r>
        <w:rPr>
          <w:color w:val="1A202C"/>
          <w:sz w:val="16"/>
          <w:szCs w:val="16"/>
        </w:rPr>
        <w:t xml:space="preserve"> meaning shifts</w:t>
      </w:r>
      <w:r w:rsidR="00E04355">
        <w:rPr>
          <w:color w:val="1A202C"/>
          <w:sz w:val="16"/>
          <w:szCs w:val="16"/>
        </w:rPr>
        <w:t xml:space="preserve"> </w:t>
      </w:r>
      <w:r>
        <w:rPr>
          <w:color w:val="1A202C"/>
          <w:sz w:val="16"/>
          <w:szCs w:val="16"/>
        </w:rPr>
        <w:t xml:space="preserve">that still produce valid JSON and HTTP 200 responses. This paper analyses Intra, a TypeScript </w:t>
      </w:r>
      <w:proofErr w:type="spellStart"/>
      <w:r>
        <w:rPr>
          <w:color w:val="1A202C"/>
          <w:sz w:val="16"/>
          <w:szCs w:val="16"/>
        </w:rPr>
        <w:t>monorepo</w:t>
      </w:r>
      <w:proofErr w:type="spellEnd"/>
      <w:r>
        <w:rPr>
          <w:color w:val="1A202C"/>
          <w:sz w:val="16"/>
          <w:szCs w:val="16"/>
        </w:rPr>
        <w:t xml:space="preserve"> that implements a closed-loop, behaviour-first adaptation pipeline: live traffic observation, contract and behavioural-fingerprint modelling, structural plus semantic differencing with confidence scores, AST- and trace-based impact analysis, typed adapter synthesis under a policy engine, and golden-replay validation. We reconstruct the implemented system from the public repository, map each stage to code, survey academic and commercial prior art on API contract drift, behavioural fingerprinting and automated remediation, and examine issued patents and technical disclosures that address related mechanisms. Our conclusion is measured. Individual mechanisms (schema inference from traffic, structural diff, impact graphs, adapter generation, approval gates) are established. What may remain distinguishable is the specific closed-loop combination: behavioural fingerprints used for semantic rename and unit-shift detection, confidence-and-verdict-gated auto-apply versus PR/quarantine policy, and golden-workflow equivalence validation before promotion. We identify a Technical Disclosure Commons publication on silent backward-incompatible API contract drift using structural-semantic fingerprints as particularly close prior art. The paper closes with novelty-boundary classification, IP market positioning, security considerations, limitations of the prototype, and a practical next-steps roadmap. Nothing herein is legal advice.</w:t>
      </w:r>
    </w:p>
    <w:p w14:paraId="14E4BD58" w14:textId="77777777" w:rsidR="005E660D" w:rsidRDefault="00000000">
      <w:pPr>
        <w:spacing w:after="160"/>
        <w:ind w:left="180" w:right="180"/>
      </w:pPr>
      <w:r>
        <w:rPr>
          <w:b/>
          <w:bCs/>
          <w:color w:val="1A202C"/>
          <w:sz w:val="16"/>
          <w:szCs w:val="16"/>
        </w:rPr>
        <w:t xml:space="preserve">Keywords: </w:t>
      </w:r>
      <w:r>
        <w:rPr>
          <w:color w:val="1A202C"/>
          <w:sz w:val="16"/>
          <w:szCs w:val="16"/>
        </w:rPr>
        <w:t xml:space="preserve">API drift detection, behavioural fingerprint, semantic change detection, adapter synthesis, impact analysis, autonomous adaptation, policy-gated remediation, prior art, patentability, </w:t>
      </w:r>
      <w:proofErr w:type="spellStart"/>
      <w:r>
        <w:rPr>
          <w:color w:val="1A202C"/>
          <w:sz w:val="16"/>
          <w:szCs w:val="16"/>
        </w:rPr>
        <w:t>FlashFill</w:t>
      </w:r>
      <w:proofErr w:type="spellEnd"/>
      <w:r>
        <w:rPr>
          <w:color w:val="1A202C"/>
          <w:sz w:val="16"/>
          <w:szCs w:val="16"/>
        </w:rPr>
        <w:t xml:space="preserve"> PBE, Wald SPRT, Hungarian matching</w:t>
      </w:r>
    </w:p>
    <w:p w14:paraId="2640A626" w14:textId="77777777" w:rsidR="005E660D" w:rsidRDefault="005E660D">
      <w:pPr>
        <w:sectPr w:rsidR="005E660D">
          <w:headerReference w:type="default" r:id="rId8"/>
          <w:footerReference w:type="default" r:id="rId9"/>
          <w:pgSz w:w="12240" w:h="15840"/>
          <w:pgMar w:top="720" w:right="720" w:bottom="720" w:left="720" w:header="708" w:footer="708" w:gutter="0"/>
          <w:cols w:space="720"/>
          <w:docGrid w:linePitch="360"/>
        </w:sectPr>
      </w:pPr>
    </w:p>
    <w:p w14:paraId="1932B6BB" w14:textId="77777777" w:rsidR="005E660D" w:rsidRDefault="00000000">
      <w:pPr>
        <w:spacing w:before="180" w:after="80"/>
      </w:pPr>
      <w:r>
        <w:rPr>
          <w:b/>
          <w:bCs/>
          <w:color w:val="1A365D"/>
          <w:sz w:val="19"/>
          <w:szCs w:val="19"/>
        </w:rPr>
        <w:t>1. Introduction</w:t>
      </w:r>
    </w:p>
    <w:p w14:paraId="4998DCE1" w14:textId="77777777" w:rsidR="005E660D" w:rsidRDefault="00000000">
      <w:pPr>
        <w:spacing w:before="140" w:after="60"/>
      </w:pPr>
      <w:r>
        <w:rPr>
          <w:b/>
          <w:bCs/>
          <w:color w:val="1A202C"/>
        </w:rPr>
        <w:t>1.1 Background</w:t>
      </w:r>
    </w:p>
    <w:p w14:paraId="085E7F61" w14:textId="79281388" w:rsidR="005E660D" w:rsidRDefault="00000000">
      <w:pPr>
        <w:spacing w:after="100" w:line="260" w:lineRule="auto"/>
        <w:jc w:val="both"/>
      </w:pPr>
      <w:r>
        <w:rPr>
          <w:color w:val="1A202C"/>
        </w:rPr>
        <w:t xml:space="preserve">Production software is coupled to services it does not control. When an upstream provider renames a field, switches </w:t>
      </w:r>
      <w:proofErr w:type="gramStart"/>
      <w:r>
        <w:rPr>
          <w:color w:val="1A202C"/>
        </w:rPr>
        <w:t>amounts</w:t>
      </w:r>
      <w:proofErr w:type="gramEnd"/>
      <w:r>
        <w:rPr>
          <w:color w:val="1A202C"/>
        </w:rPr>
        <w:t xml:space="preserve"> from floating-point dollars to integer cents, changes pagination from offset to opaque cursor, flips a default, or alters </w:t>
      </w:r>
      <w:proofErr w:type="spellStart"/>
      <w:r>
        <w:rPr>
          <w:color w:val="1A202C"/>
        </w:rPr>
        <w:t>enum</w:t>
      </w:r>
      <w:proofErr w:type="spellEnd"/>
      <w:r>
        <w:rPr>
          <w:color w:val="1A202C"/>
        </w:rPr>
        <w:t xml:space="preserve"> semantics, downstream workflows fail</w:t>
      </w:r>
      <w:r w:rsidR="00E04355">
        <w:rPr>
          <w:color w:val="1A202C"/>
        </w:rPr>
        <w:t xml:space="preserve"> </w:t>
      </w:r>
      <w:r>
        <w:rPr>
          <w:color w:val="1A202C"/>
        </w:rPr>
        <w:t xml:space="preserve">often silently, because the response remains syntactically valid. Static contracts and </w:t>
      </w:r>
      <w:proofErr w:type="spellStart"/>
      <w:r>
        <w:rPr>
          <w:color w:val="1A202C"/>
        </w:rPr>
        <w:t>OpenAPI</w:t>
      </w:r>
      <w:proofErr w:type="spellEnd"/>
      <w:r>
        <w:rPr>
          <w:color w:val="1A202C"/>
        </w:rPr>
        <w:t xml:space="preserve"> diffs catch many structural breaks but systematically miss behavioural and semantic drift that schema validators treat as legal. </w:t>
      </w:r>
      <w:proofErr w:type="spellStart"/>
      <w:r>
        <w:rPr>
          <w:color w:val="1A202C"/>
        </w:rPr>
        <w:t>Intra’s</w:t>
      </w:r>
      <w:proofErr w:type="spellEnd"/>
      <w:r>
        <w:rPr>
          <w:color w:val="1A202C"/>
        </w:rPr>
        <w:t xml:space="preserve"> authoritative problem statement (docs/lock.md) formalises this as “the Internet after the API”: help software </w:t>
      </w:r>
      <w:proofErr w:type="gramStart"/>
      <w:r>
        <w:rPr>
          <w:color w:val="1A202C"/>
        </w:rPr>
        <w:t>survive</w:t>
      </w:r>
      <w:proofErr w:type="gramEnd"/>
      <w:r>
        <w:rPr>
          <w:color w:val="1A202C"/>
        </w:rPr>
        <w:t xml:space="preserve"> undocumented changes in systems it does not control.</w:t>
      </w:r>
    </w:p>
    <w:p w14:paraId="2C496556" w14:textId="77777777" w:rsidR="005E660D" w:rsidRDefault="00000000">
      <w:pPr>
        <w:spacing w:before="140" w:after="60"/>
      </w:pPr>
      <w:r>
        <w:rPr>
          <w:b/>
          <w:bCs/>
          <w:color w:val="1A202C"/>
        </w:rPr>
        <w:t>1.2 The 80% Blind Spot and Failure Taxonomy</w:t>
      </w:r>
    </w:p>
    <w:p w14:paraId="16C15775" w14:textId="77777777" w:rsidR="005E660D" w:rsidRDefault="00000000">
      <w:pPr>
        <w:spacing w:after="100" w:line="260" w:lineRule="auto"/>
        <w:jc w:val="both"/>
      </w:pPr>
      <w:r>
        <w:rPr>
          <w:color w:val="1A202C"/>
        </w:rPr>
        <w:t xml:space="preserve">Traditional validators (JSON Schema, Zod, </w:t>
      </w:r>
      <w:proofErr w:type="spellStart"/>
      <w:r>
        <w:rPr>
          <w:color w:val="1A202C"/>
        </w:rPr>
        <w:t>OpenAPI</w:t>
      </w:r>
      <w:proofErr w:type="spellEnd"/>
      <w:r>
        <w:rPr>
          <w:color w:val="1A202C"/>
        </w:rPr>
        <w:t xml:space="preserve">) only check structural syntax. A payload that shifts amount from 25.00 (dollars) to 2500 (cents) still satisfies </w:t>
      </w:r>
      <w:proofErr w:type="spellStart"/>
      <w:proofErr w:type="gramStart"/>
      <w:r>
        <w:rPr>
          <w:color w:val="1A202C"/>
        </w:rPr>
        <w:t>z.number</w:t>
      </w:r>
      <w:proofErr w:type="spellEnd"/>
      <w:proofErr w:type="gramEnd"/>
      <w:r>
        <w:rPr>
          <w:color w:val="1A202C"/>
        </w:rPr>
        <w:t xml:space="preserve">(). Intra enumerates eleven failure classes (M1–M11): field rename, format shift, unit/scale shift, default flip, pagination shift, silent truncation, webhook flattening, rate-limit drift, MCP/tool drift, </w:t>
      </w:r>
      <w:proofErr w:type="spellStart"/>
      <w:r>
        <w:rPr>
          <w:color w:val="1A202C"/>
        </w:rPr>
        <w:t>enum</w:t>
      </w:r>
      <w:proofErr w:type="spellEnd"/>
      <w:r>
        <w:rPr>
          <w:color w:val="1A202C"/>
        </w:rPr>
        <w:t xml:space="preserve"> semantics, and gradual/mixed-version rollout. Eight of </w:t>
      </w:r>
      <w:proofErr w:type="gramStart"/>
      <w:r>
        <w:rPr>
          <w:color w:val="1A202C"/>
        </w:rPr>
        <w:t>these pass schema validation</w:t>
      </w:r>
      <w:proofErr w:type="gramEnd"/>
      <w:r>
        <w:rPr>
          <w:color w:val="1A202C"/>
        </w:rPr>
        <w:t xml:space="preserve"> while corrupting business logic.</w:t>
      </w:r>
    </w:p>
    <w:p w14:paraId="1244D45C" w14:textId="77777777" w:rsidR="005E660D" w:rsidRDefault="00000000">
      <w:pPr>
        <w:spacing w:before="140" w:after="60"/>
      </w:pPr>
      <w:r>
        <w:rPr>
          <w:b/>
          <w:bCs/>
          <w:color w:val="1A202C"/>
        </w:rPr>
        <w:t>1.3 Objective and Scope</w:t>
      </w:r>
    </w:p>
    <w:p w14:paraId="75939161" w14:textId="77777777" w:rsidR="005E660D" w:rsidRDefault="00000000">
      <w:pPr>
        <w:spacing w:after="100" w:line="260" w:lineRule="auto"/>
        <w:jc w:val="both"/>
      </w:pPr>
      <w:r>
        <w:rPr>
          <w:color w:val="1A202C"/>
        </w:rPr>
        <w:t xml:space="preserve">Intra implements a closed loop: continuous observation of live traffic, inference of contracts and behavioural fingerprints (T-Digest quantiles, </w:t>
      </w:r>
      <w:proofErr w:type="spellStart"/>
      <w:r>
        <w:rPr>
          <w:color w:val="1A202C"/>
        </w:rPr>
        <w:t>HyperLogLog</w:t>
      </w:r>
      <w:proofErr w:type="spellEnd"/>
      <w:r>
        <w:rPr>
          <w:color w:val="1A202C"/>
        </w:rPr>
        <w:t xml:space="preserve"> cardinality), multi-layer change detection with Kuhn-Munkres Hungarian bipartite matching for renames and Quantile-Ratio Constancy for unit shifts, AST blast-radius mapping, </w:t>
      </w:r>
      <w:proofErr w:type="spellStart"/>
      <w:r>
        <w:rPr>
          <w:color w:val="1A202C"/>
        </w:rPr>
        <w:t>FlashFill</w:t>
      </w:r>
      <w:proofErr w:type="spellEnd"/>
      <w:r>
        <w:rPr>
          <w:color w:val="1A202C"/>
        </w:rPr>
        <w:t xml:space="preserve"> Programming-by-Example adapter synthesis under a Safe-Handling Policy Matrix, and Wald SPRT + golden-replay validation before promotion. The research question is whether this closed-loop, behaviour-first, policy-gated control flow is a distinguishable technical contribution.</w:t>
      </w:r>
    </w:p>
    <w:p w14:paraId="393D2CC7" w14:textId="77777777" w:rsidR="005E660D" w:rsidRDefault="00000000">
      <w:pPr>
        <w:spacing w:before="140" w:after="60"/>
      </w:pPr>
      <w:r>
        <w:rPr>
          <w:b/>
          <w:bCs/>
          <w:color w:val="1A202C"/>
        </w:rPr>
        <w:t>1.4 Approach</w:t>
      </w:r>
    </w:p>
    <w:p w14:paraId="7AEB8F8D" w14:textId="77777777" w:rsidR="005E660D" w:rsidRDefault="00000000">
      <w:pPr>
        <w:spacing w:after="100" w:line="260" w:lineRule="auto"/>
        <w:jc w:val="both"/>
      </w:pPr>
      <w:r>
        <w:rPr>
          <w:color w:val="1A202C"/>
        </w:rPr>
        <w:t>We inspected the public repository Precise-Goals/Intra, mapped features to packages/observer, model, differ, impact, adapter, validator and apps/engine, incorporated project documentation (explain.md, guide.md, metricsandlogs.md, Pitch.md), surveyed academic literature, commercial products and patent databases, and treated the supplied architecture diagrams as authoritative. We do not assert patentability. This document is a technical research assessment, not legal advice.</w:t>
      </w:r>
    </w:p>
    <w:p w14:paraId="39EF1C71" w14:textId="77777777" w:rsidR="005E660D" w:rsidRDefault="00000000">
      <w:pPr>
        <w:spacing w:before="180" w:after="80"/>
      </w:pPr>
      <w:r>
        <w:rPr>
          <w:b/>
          <w:bCs/>
          <w:color w:val="1A365D"/>
          <w:sz w:val="19"/>
          <w:szCs w:val="19"/>
        </w:rPr>
        <w:t>2. Technical Field</w:t>
      </w:r>
    </w:p>
    <w:p w14:paraId="2522FD95" w14:textId="77777777" w:rsidR="005E660D" w:rsidRDefault="00000000">
      <w:pPr>
        <w:spacing w:after="100" w:line="260" w:lineRule="auto"/>
        <w:jc w:val="both"/>
      </w:pPr>
      <w:r>
        <w:rPr>
          <w:color w:val="1A202C"/>
        </w:rPr>
        <w:t>The invention belongs to software infrastructure management: autonomous detection of and adaptation to undocumented behavioural changes in external service dependencies (REST APIs, SDKs, webhooks, MCP tool servers), using live observation, streaming sketches, bipartite schema matching, inductive program synthesis, and sequential hypothesis testing for canary promotion.</w:t>
      </w:r>
    </w:p>
    <w:p w14:paraId="4A67117F" w14:textId="77777777" w:rsidR="005E660D" w:rsidRDefault="00000000">
      <w:pPr>
        <w:spacing w:before="180" w:after="80"/>
      </w:pPr>
      <w:r>
        <w:rPr>
          <w:b/>
          <w:bCs/>
          <w:color w:val="1A365D"/>
          <w:sz w:val="19"/>
          <w:szCs w:val="19"/>
        </w:rPr>
        <w:t>3. System Architecture and Implemented Workflow</w:t>
      </w:r>
    </w:p>
    <w:p w14:paraId="6F172334" w14:textId="77777777" w:rsidR="005E660D" w:rsidRDefault="00000000">
      <w:pPr>
        <w:spacing w:before="140" w:after="60"/>
      </w:pPr>
      <w:r>
        <w:rPr>
          <w:b/>
          <w:bCs/>
          <w:color w:val="1A202C"/>
        </w:rPr>
        <w:t>3.1 High-Level Component View</w:t>
      </w:r>
    </w:p>
    <w:p w14:paraId="65AE7B92" w14:textId="77777777" w:rsidR="005E660D" w:rsidRDefault="00000000">
      <w:pPr>
        <w:spacing w:after="100" w:line="260" w:lineRule="auto"/>
        <w:jc w:val="both"/>
      </w:pPr>
      <w:r>
        <w:rPr>
          <w:color w:val="1A202C"/>
        </w:rPr>
        <w:t xml:space="preserve">Intra is a </w:t>
      </w:r>
      <w:proofErr w:type="spellStart"/>
      <w:r>
        <w:rPr>
          <w:color w:val="1A202C"/>
        </w:rPr>
        <w:t>pnpm</w:t>
      </w:r>
      <w:proofErr w:type="spellEnd"/>
      <w:r>
        <w:rPr>
          <w:color w:val="1A202C"/>
        </w:rPr>
        <w:t xml:space="preserve">/turbo </w:t>
      </w:r>
      <w:proofErr w:type="spellStart"/>
      <w:r>
        <w:rPr>
          <w:color w:val="1A202C"/>
        </w:rPr>
        <w:t>monorepo</w:t>
      </w:r>
      <w:proofErr w:type="spellEnd"/>
      <w:r>
        <w:rPr>
          <w:color w:val="1A202C"/>
        </w:rPr>
        <w:t xml:space="preserve">. The core engine is a </w:t>
      </w:r>
      <w:proofErr w:type="spellStart"/>
      <w:r>
        <w:rPr>
          <w:color w:val="1A202C"/>
        </w:rPr>
        <w:t>Fastify</w:t>
      </w:r>
      <w:proofErr w:type="spellEnd"/>
      <w:r>
        <w:rPr>
          <w:color w:val="1A202C"/>
        </w:rPr>
        <w:t xml:space="preserve"> monolith hosting the six-stage pipeline. A React 18 + Vite dashboard streams telemetry. A customer MCP server exposes seven discovery and adaptation tools. A TypeScript client SDK intercepts and adapts production traffic. Simulated services support controlled M1–M10 mutations.</w:t>
      </w:r>
    </w:p>
    <w:p w14:paraId="71C78FA4" w14:textId="77777777" w:rsidR="005E660D" w:rsidRDefault="00000000">
      <w:pPr>
        <w:spacing w:before="80" w:after="30"/>
        <w:jc w:val="center"/>
      </w:pPr>
      <w:r>
        <w:rPr>
          <w:noProof/>
        </w:rPr>
        <w:drawing>
          <wp:inline distT="0" distB="0" distL="0" distR="0" wp14:anchorId="4522968E" wp14:editId="5AF68FB0">
            <wp:extent cx="2571750" cy="1485900"/>
            <wp:effectExtent l="0" t="0" r="0" b="0"/>
            <wp:docPr id="1" name="fig1" descr="System architecture"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485900"/>
                    </a:xfrm>
                    <a:prstGeom prst="rect">
                      <a:avLst/>
                    </a:prstGeom>
                  </pic:spPr>
                </pic:pic>
              </a:graphicData>
            </a:graphic>
          </wp:inline>
        </w:drawing>
      </w:r>
    </w:p>
    <w:p w14:paraId="0FDE6D3C" w14:textId="77777777" w:rsidR="005E660D" w:rsidRDefault="00000000">
      <w:pPr>
        <w:spacing w:before="40" w:after="120"/>
        <w:jc w:val="center"/>
      </w:pPr>
      <w:r>
        <w:rPr>
          <w:i/>
          <w:iCs/>
          <w:color w:val="4A5568"/>
          <w:sz w:val="14"/>
          <w:szCs w:val="14"/>
        </w:rPr>
        <w:t>Figure 1. System Architecture of the Autonomous Core Engine and Connected Client, AI, and Dashboard Interfaces.</w:t>
      </w:r>
    </w:p>
    <w:p w14:paraId="63114494" w14:textId="77777777" w:rsidR="005E660D" w:rsidRDefault="00000000">
      <w:pPr>
        <w:spacing w:before="140" w:after="60"/>
      </w:pPr>
      <w:r>
        <w:rPr>
          <w:b/>
          <w:bCs/>
          <w:color w:val="1A202C"/>
        </w:rPr>
        <w:t>3.2 Six-Stage Adaptation Loop</w:t>
      </w:r>
    </w:p>
    <w:p w14:paraId="2880BAEF" w14:textId="77777777" w:rsidR="005E660D" w:rsidRDefault="00000000">
      <w:pPr>
        <w:spacing w:after="50" w:line="250" w:lineRule="auto"/>
        <w:ind w:left="160"/>
      </w:pPr>
      <w:r>
        <w:rPr>
          <w:color w:val="1A202C"/>
          <w:sz w:val="16"/>
          <w:szCs w:val="16"/>
        </w:rPr>
        <w:t>• Observer: non-blocking HTTP/SDK/webhook capture with SHA-256 PII redaction.</w:t>
      </w:r>
    </w:p>
    <w:p w14:paraId="6D901C24" w14:textId="77777777" w:rsidR="005E660D" w:rsidRDefault="00000000">
      <w:pPr>
        <w:spacing w:after="50" w:line="250" w:lineRule="auto"/>
        <w:ind w:left="160"/>
      </w:pPr>
      <w:r>
        <w:rPr>
          <w:color w:val="1A202C"/>
          <w:sz w:val="16"/>
          <w:szCs w:val="16"/>
        </w:rPr>
        <w:t xml:space="preserve">• Model: T-Digest quantiles and </w:t>
      </w:r>
      <w:proofErr w:type="spellStart"/>
      <w:r>
        <w:rPr>
          <w:color w:val="1A202C"/>
          <w:sz w:val="16"/>
          <w:szCs w:val="16"/>
        </w:rPr>
        <w:t>HyperLogLog</w:t>
      </w:r>
      <w:proofErr w:type="spellEnd"/>
      <w:r>
        <w:rPr>
          <w:color w:val="1A202C"/>
          <w:sz w:val="16"/>
          <w:szCs w:val="16"/>
        </w:rPr>
        <w:t xml:space="preserve"> cardinality for behavioural fingerprints.</w:t>
      </w:r>
    </w:p>
    <w:p w14:paraId="4C948F8E" w14:textId="77777777" w:rsidR="005E660D" w:rsidRDefault="00000000">
      <w:pPr>
        <w:spacing w:after="50" w:line="250" w:lineRule="auto"/>
        <w:ind w:left="160"/>
      </w:pPr>
      <w:r>
        <w:rPr>
          <w:color w:val="1A202C"/>
          <w:sz w:val="16"/>
          <w:szCs w:val="16"/>
        </w:rPr>
        <w:t>• Differ: Hungarian bipartite matching for renames; Quantile-Ratio Constancy for unit shifts; confidence and semantic verdict.</w:t>
      </w:r>
    </w:p>
    <w:p w14:paraId="7A542BCD" w14:textId="77777777" w:rsidR="005E660D" w:rsidRDefault="00000000">
      <w:pPr>
        <w:spacing w:after="50" w:line="250" w:lineRule="auto"/>
        <w:ind w:left="160"/>
      </w:pPr>
      <w:r>
        <w:rPr>
          <w:color w:val="1A202C"/>
          <w:sz w:val="16"/>
          <w:szCs w:val="16"/>
        </w:rPr>
        <w:t>• Impact: TypeScript AST dependency graph mapping fields to workflows and source lines.</w:t>
      </w:r>
    </w:p>
    <w:p w14:paraId="0A2142EC" w14:textId="77777777" w:rsidR="005E660D" w:rsidRDefault="00000000">
      <w:pPr>
        <w:spacing w:after="50" w:line="250" w:lineRule="auto"/>
        <w:ind w:left="160"/>
      </w:pPr>
      <w:r>
        <w:rPr>
          <w:color w:val="1A202C"/>
          <w:sz w:val="16"/>
          <w:szCs w:val="16"/>
        </w:rPr>
        <w:t xml:space="preserve">• Adapter: </w:t>
      </w:r>
      <w:proofErr w:type="spellStart"/>
      <w:r>
        <w:rPr>
          <w:color w:val="1A202C"/>
          <w:sz w:val="16"/>
          <w:szCs w:val="16"/>
        </w:rPr>
        <w:t>FlashFill</w:t>
      </w:r>
      <w:proofErr w:type="spellEnd"/>
      <w:r>
        <w:rPr>
          <w:color w:val="1A202C"/>
          <w:sz w:val="16"/>
          <w:szCs w:val="16"/>
        </w:rPr>
        <w:t xml:space="preserve"> PBE typed-DSL synthesis + Safe-Handling Policy Matrix (auto-apply / migration PR / circuit-break).</w:t>
      </w:r>
    </w:p>
    <w:p w14:paraId="39111D7E" w14:textId="77777777" w:rsidR="005E660D" w:rsidRDefault="00000000">
      <w:pPr>
        <w:spacing w:after="50" w:line="250" w:lineRule="auto"/>
        <w:ind w:left="160"/>
      </w:pPr>
      <w:r>
        <w:rPr>
          <w:color w:val="1A202C"/>
          <w:sz w:val="16"/>
          <w:szCs w:val="16"/>
        </w:rPr>
        <w:lastRenderedPageBreak/>
        <w:t>• Validator: golden-replay equivalence + Wald Sequential Probability Ratio Test for canary promote/rollback.</w:t>
      </w:r>
    </w:p>
    <w:p w14:paraId="60A548BB" w14:textId="77777777" w:rsidR="005E660D" w:rsidRDefault="00000000">
      <w:pPr>
        <w:spacing w:before="80" w:after="30"/>
        <w:jc w:val="center"/>
      </w:pPr>
      <w:r>
        <w:rPr>
          <w:noProof/>
        </w:rPr>
        <w:drawing>
          <wp:inline distT="0" distB="0" distL="0" distR="0" wp14:anchorId="3FF3456E" wp14:editId="72BB556A">
            <wp:extent cx="2381250" cy="1638300"/>
            <wp:effectExtent l="0" t="0" r="0" b="0"/>
            <wp:docPr id="31256209" name="fig2" descr="Pipeline"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1638300"/>
                    </a:xfrm>
                    <a:prstGeom prst="rect">
                      <a:avLst/>
                    </a:prstGeom>
                  </pic:spPr>
                </pic:pic>
              </a:graphicData>
            </a:graphic>
          </wp:inline>
        </w:drawing>
      </w:r>
    </w:p>
    <w:p w14:paraId="3FE42598" w14:textId="77777777" w:rsidR="005E660D" w:rsidRDefault="00000000">
      <w:pPr>
        <w:spacing w:before="40" w:after="120"/>
        <w:jc w:val="center"/>
      </w:pPr>
      <w:r>
        <w:rPr>
          <w:i/>
          <w:iCs/>
          <w:color w:val="4A5568"/>
          <w:sz w:val="14"/>
          <w:szCs w:val="14"/>
        </w:rPr>
        <w:t xml:space="preserve">Figure 2. Architectural Flow of Live Observation, </w:t>
      </w:r>
      <w:proofErr w:type="spellStart"/>
      <w:r>
        <w:rPr>
          <w:i/>
          <w:iCs/>
          <w:color w:val="4A5568"/>
          <w:sz w:val="14"/>
          <w:szCs w:val="14"/>
        </w:rPr>
        <w:t>Modeling</w:t>
      </w:r>
      <w:proofErr w:type="spellEnd"/>
      <w:r>
        <w:rPr>
          <w:i/>
          <w:iCs/>
          <w:color w:val="4A5568"/>
          <w:sz w:val="14"/>
          <w:szCs w:val="14"/>
        </w:rPr>
        <w:t>, Differential Analysis, and Policy-Driven Adaptation.</w:t>
      </w:r>
    </w:p>
    <w:p w14:paraId="2E831522" w14:textId="77777777" w:rsidR="005E660D" w:rsidRDefault="00000000">
      <w:pPr>
        <w:spacing w:before="140" w:after="60"/>
      </w:pPr>
      <w:r>
        <w:rPr>
          <w:b/>
          <w:bCs/>
          <w:color w:val="1A202C"/>
        </w:rPr>
        <w:t>3.3 Implementation Evidence</w:t>
      </w:r>
    </w:p>
    <w:p w14:paraId="75CE75D1" w14:textId="77777777" w:rsidR="005E660D" w:rsidRDefault="00000000">
      <w:pPr>
        <w:spacing w:after="100" w:line="260" w:lineRule="auto"/>
        <w:jc w:val="both"/>
      </w:pPr>
      <w:r>
        <w:rPr>
          <w:color w:val="1A202C"/>
        </w:rPr>
        <w:t>Repository cloned October 2026. Empirical evaluation (metricsandlogs.md): 551/551 tests across 31 suites, 0 failures. 50-sample multi-domain batch: average detection confidence 88%, equivalence replay pass rate 90%, auto-apply 31, migration PR 14, circuit-break 5.</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1670"/>
        <w:gridCol w:w="1321"/>
      </w:tblGrid>
      <w:tr w:rsidR="005E660D" w14:paraId="38163BD6"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0C8AC32C" w14:textId="77777777" w:rsidR="005E660D" w:rsidRDefault="00000000">
            <w:pPr>
              <w:spacing w:after="30"/>
            </w:pPr>
            <w:r>
              <w:rPr>
                <w:b/>
                <w:bCs/>
                <w:color w:val="1A202C"/>
                <w:sz w:val="13"/>
                <w:szCs w:val="13"/>
              </w:rPr>
              <w:t>Feature</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426E265B" w14:textId="77777777" w:rsidR="005E660D" w:rsidRDefault="00000000">
            <w:pPr>
              <w:spacing w:after="30"/>
            </w:pPr>
            <w:r>
              <w:rPr>
                <w:b/>
                <w:bCs/>
                <w:color w:val="1A202C"/>
                <w:sz w:val="13"/>
                <w:szCs w:val="13"/>
              </w:rPr>
              <w:t>Location</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16C253D1" w14:textId="77777777" w:rsidR="005E660D" w:rsidRDefault="00000000">
            <w:pPr>
              <w:spacing w:after="30"/>
            </w:pPr>
            <w:r>
              <w:rPr>
                <w:b/>
                <w:bCs/>
                <w:color w:val="1A202C"/>
                <w:sz w:val="13"/>
                <w:szCs w:val="13"/>
              </w:rPr>
              <w:t>Status</w:t>
            </w:r>
          </w:p>
        </w:tc>
      </w:tr>
      <w:tr w:rsidR="005E660D" w14:paraId="14194DCE"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48026273" w14:textId="77777777" w:rsidR="005E660D" w:rsidRDefault="00000000">
            <w:pPr>
              <w:spacing w:after="30"/>
            </w:pPr>
            <w:r>
              <w:rPr>
                <w:color w:val="1A202C"/>
                <w:sz w:val="13"/>
                <w:szCs w:val="13"/>
              </w:rPr>
              <w:t>T-Digest / HLL fingerprints</w:t>
            </w:r>
          </w:p>
        </w:tc>
        <w:tc>
          <w:tcPr>
            <w:tcW w:w="1433" w:type="dxa"/>
            <w:tcBorders>
              <w:top w:val="single" w:sz="4" w:space="0" w:color="A0AEC0"/>
              <w:left w:val="single" w:sz="4" w:space="0" w:color="A0AEC0"/>
              <w:bottom w:val="single" w:sz="4" w:space="0" w:color="A0AEC0"/>
              <w:right w:val="single" w:sz="4" w:space="0" w:color="A0AEC0"/>
            </w:tcBorders>
          </w:tcPr>
          <w:p w14:paraId="1E87AA39" w14:textId="77777777" w:rsidR="005E660D" w:rsidRDefault="00000000">
            <w:pPr>
              <w:spacing w:after="30"/>
            </w:pPr>
            <w:r>
              <w:rPr>
                <w:color w:val="1A202C"/>
                <w:sz w:val="13"/>
                <w:szCs w:val="13"/>
              </w:rPr>
              <w:t>packages/model/</w:t>
            </w:r>
            <w:proofErr w:type="spellStart"/>
            <w:r>
              <w:rPr>
                <w:color w:val="1A202C"/>
                <w:sz w:val="13"/>
                <w:szCs w:val="13"/>
              </w:rPr>
              <w:t>src</w:t>
            </w:r>
            <w:proofErr w:type="spellEnd"/>
            <w:r>
              <w:rPr>
                <w:color w:val="1A202C"/>
                <w:sz w:val="13"/>
                <w:szCs w:val="13"/>
              </w:rPr>
              <w:t>/</w:t>
            </w:r>
            <w:proofErr w:type="spellStart"/>
            <w:r>
              <w:rPr>
                <w:color w:val="1A202C"/>
                <w:sz w:val="13"/>
                <w:szCs w:val="13"/>
              </w:rPr>
              <w:t>sketches.ts</w:t>
            </w:r>
            <w:proofErr w:type="spellEnd"/>
          </w:p>
        </w:tc>
        <w:tc>
          <w:tcPr>
            <w:tcW w:w="1433" w:type="dxa"/>
            <w:tcBorders>
              <w:top w:val="single" w:sz="4" w:space="0" w:color="A0AEC0"/>
              <w:left w:val="single" w:sz="4" w:space="0" w:color="A0AEC0"/>
              <w:bottom w:val="single" w:sz="4" w:space="0" w:color="A0AEC0"/>
              <w:right w:val="single" w:sz="4" w:space="0" w:color="A0AEC0"/>
            </w:tcBorders>
          </w:tcPr>
          <w:p w14:paraId="559A1B61" w14:textId="77777777" w:rsidR="005E660D" w:rsidRDefault="00000000">
            <w:pPr>
              <w:spacing w:after="30"/>
            </w:pPr>
            <w:r>
              <w:rPr>
                <w:color w:val="1A202C"/>
                <w:sz w:val="13"/>
                <w:szCs w:val="13"/>
              </w:rPr>
              <w:t>Implemented</w:t>
            </w:r>
          </w:p>
        </w:tc>
      </w:tr>
      <w:tr w:rsidR="005E660D" w14:paraId="6D03838D"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29CA8B17" w14:textId="77777777" w:rsidR="005E660D" w:rsidRDefault="00000000">
            <w:pPr>
              <w:spacing w:after="30"/>
            </w:pPr>
            <w:proofErr w:type="gramStart"/>
            <w:r>
              <w:rPr>
                <w:color w:val="1A202C"/>
                <w:sz w:val="13"/>
                <w:szCs w:val="13"/>
              </w:rPr>
              <w:t>Hungarian</w:t>
            </w:r>
            <w:proofErr w:type="gramEnd"/>
            <w:r>
              <w:rPr>
                <w:color w:val="1A202C"/>
                <w:sz w:val="13"/>
                <w:szCs w:val="13"/>
              </w:rPr>
              <w:t xml:space="preserve"> rename matching</w:t>
            </w:r>
          </w:p>
        </w:tc>
        <w:tc>
          <w:tcPr>
            <w:tcW w:w="1433" w:type="dxa"/>
            <w:tcBorders>
              <w:top w:val="single" w:sz="4" w:space="0" w:color="A0AEC0"/>
              <w:left w:val="single" w:sz="4" w:space="0" w:color="A0AEC0"/>
              <w:bottom w:val="single" w:sz="4" w:space="0" w:color="A0AEC0"/>
              <w:right w:val="single" w:sz="4" w:space="0" w:color="A0AEC0"/>
            </w:tcBorders>
          </w:tcPr>
          <w:p w14:paraId="5A46AE1F" w14:textId="77777777" w:rsidR="005E660D" w:rsidRDefault="00000000">
            <w:pPr>
              <w:spacing w:after="30"/>
            </w:pPr>
            <w:r>
              <w:rPr>
                <w:color w:val="1A202C"/>
                <w:sz w:val="13"/>
                <w:szCs w:val="13"/>
              </w:rPr>
              <w:t>packages/differ (</w:t>
            </w:r>
            <w:proofErr w:type="spellStart"/>
            <w:r>
              <w:rPr>
                <w:color w:val="1A202C"/>
                <w:sz w:val="13"/>
                <w:szCs w:val="13"/>
              </w:rPr>
              <w:t>hungarian</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6492C103" w14:textId="77777777" w:rsidR="005E660D" w:rsidRDefault="00000000">
            <w:pPr>
              <w:spacing w:after="30"/>
            </w:pPr>
            <w:r>
              <w:rPr>
                <w:color w:val="1A202C"/>
                <w:sz w:val="13"/>
                <w:szCs w:val="13"/>
              </w:rPr>
              <w:t>Implemented</w:t>
            </w:r>
          </w:p>
        </w:tc>
      </w:tr>
      <w:tr w:rsidR="005E660D" w14:paraId="5F5C4459"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3ADAB4E7" w14:textId="77777777" w:rsidR="005E660D" w:rsidRDefault="00000000">
            <w:pPr>
              <w:spacing w:after="30"/>
            </w:pPr>
            <w:r>
              <w:rPr>
                <w:color w:val="1A202C"/>
                <w:sz w:val="13"/>
                <w:szCs w:val="13"/>
              </w:rPr>
              <w:t>Quantile-Ratio unit shift</w:t>
            </w:r>
          </w:p>
        </w:tc>
        <w:tc>
          <w:tcPr>
            <w:tcW w:w="1433" w:type="dxa"/>
            <w:tcBorders>
              <w:top w:val="single" w:sz="4" w:space="0" w:color="A0AEC0"/>
              <w:left w:val="single" w:sz="4" w:space="0" w:color="A0AEC0"/>
              <w:bottom w:val="single" w:sz="4" w:space="0" w:color="A0AEC0"/>
              <w:right w:val="single" w:sz="4" w:space="0" w:color="A0AEC0"/>
            </w:tcBorders>
          </w:tcPr>
          <w:p w14:paraId="735AE558" w14:textId="77777777" w:rsidR="005E660D" w:rsidRDefault="00000000">
            <w:pPr>
              <w:spacing w:after="30"/>
            </w:pPr>
            <w:r>
              <w:rPr>
                <w:color w:val="1A202C"/>
                <w:sz w:val="13"/>
                <w:szCs w:val="13"/>
              </w:rPr>
              <w:t>packages/differ (</w:t>
            </w:r>
            <w:proofErr w:type="spellStart"/>
            <w:r>
              <w:rPr>
                <w:color w:val="1A202C"/>
                <w:sz w:val="13"/>
                <w:szCs w:val="13"/>
              </w:rPr>
              <w:t>unitShift</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011D6299" w14:textId="77777777" w:rsidR="005E660D" w:rsidRDefault="00000000">
            <w:pPr>
              <w:spacing w:after="30"/>
            </w:pPr>
            <w:r>
              <w:rPr>
                <w:color w:val="1A202C"/>
                <w:sz w:val="13"/>
                <w:szCs w:val="13"/>
              </w:rPr>
              <w:t>Implemented</w:t>
            </w:r>
          </w:p>
        </w:tc>
      </w:tr>
      <w:tr w:rsidR="005E660D" w14:paraId="05C6E9B7"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71B6F015" w14:textId="77777777" w:rsidR="005E660D" w:rsidRDefault="00000000">
            <w:pPr>
              <w:spacing w:after="30"/>
            </w:pPr>
            <w:proofErr w:type="spellStart"/>
            <w:r>
              <w:rPr>
                <w:color w:val="1A202C"/>
                <w:sz w:val="13"/>
                <w:szCs w:val="13"/>
              </w:rPr>
              <w:t>FlashFill</w:t>
            </w:r>
            <w:proofErr w:type="spellEnd"/>
            <w:r>
              <w:rPr>
                <w:color w:val="1A202C"/>
                <w:sz w:val="13"/>
                <w:szCs w:val="13"/>
              </w:rPr>
              <w:t xml:space="preserve"> PBE synthesizer</w:t>
            </w:r>
          </w:p>
        </w:tc>
        <w:tc>
          <w:tcPr>
            <w:tcW w:w="1433" w:type="dxa"/>
            <w:tcBorders>
              <w:top w:val="single" w:sz="4" w:space="0" w:color="A0AEC0"/>
              <w:left w:val="single" w:sz="4" w:space="0" w:color="A0AEC0"/>
              <w:bottom w:val="single" w:sz="4" w:space="0" w:color="A0AEC0"/>
              <w:right w:val="single" w:sz="4" w:space="0" w:color="A0AEC0"/>
            </w:tcBorders>
          </w:tcPr>
          <w:p w14:paraId="12255490" w14:textId="77777777" w:rsidR="005E660D" w:rsidRDefault="00000000">
            <w:pPr>
              <w:spacing w:after="30"/>
            </w:pPr>
            <w:r>
              <w:rPr>
                <w:color w:val="1A202C"/>
                <w:sz w:val="13"/>
                <w:szCs w:val="13"/>
              </w:rPr>
              <w:t>packages/adapter (</w:t>
            </w:r>
            <w:proofErr w:type="spellStart"/>
            <w:r>
              <w:rPr>
                <w:color w:val="1A202C"/>
                <w:sz w:val="13"/>
                <w:szCs w:val="13"/>
              </w:rPr>
              <w:t>pbe</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3D29C066" w14:textId="77777777" w:rsidR="005E660D" w:rsidRDefault="00000000">
            <w:pPr>
              <w:spacing w:after="30"/>
            </w:pPr>
            <w:r>
              <w:rPr>
                <w:color w:val="1A202C"/>
                <w:sz w:val="13"/>
                <w:szCs w:val="13"/>
              </w:rPr>
              <w:t>Implemented</w:t>
            </w:r>
          </w:p>
        </w:tc>
      </w:tr>
      <w:tr w:rsidR="005E660D" w14:paraId="7F4A3D3B"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3B00D118" w14:textId="77777777" w:rsidR="005E660D" w:rsidRDefault="00000000">
            <w:pPr>
              <w:spacing w:after="30"/>
            </w:pPr>
            <w:r>
              <w:rPr>
                <w:color w:val="1A202C"/>
                <w:sz w:val="13"/>
                <w:szCs w:val="13"/>
              </w:rPr>
              <w:t>Safe-Handling Policy Matrix</w:t>
            </w:r>
          </w:p>
        </w:tc>
        <w:tc>
          <w:tcPr>
            <w:tcW w:w="1433" w:type="dxa"/>
            <w:tcBorders>
              <w:top w:val="single" w:sz="4" w:space="0" w:color="A0AEC0"/>
              <w:left w:val="single" w:sz="4" w:space="0" w:color="A0AEC0"/>
              <w:bottom w:val="single" w:sz="4" w:space="0" w:color="A0AEC0"/>
              <w:right w:val="single" w:sz="4" w:space="0" w:color="A0AEC0"/>
            </w:tcBorders>
          </w:tcPr>
          <w:p w14:paraId="296267BA" w14:textId="77777777" w:rsidR="005E660D" w:rsidRDefault="00000000">
            <w:pPr>
              <w:spacing w:after="30"/>
            </w:pPr>
            <w:r>
              <w:rPr>
                <w:color w:val="1A202C"/>
                <w:sz w:val="13"/>
                <w:szCs w:val="13"/>
              </w:rPr>
              <w:t>packages/adapter</w:t>
            </w:r>
          </w:p>
        </w:tc>
        <w:tc>
          <w:tcPr>
            <w:tcW w:w="1433" w:type="dxa"/>
            <w:tcBorders>
              <w:top w:val="single" w:sz="4" w:space="0" w:color="A0AEC0"/>
              <w:left w:val="single" w:sz="4" w:space="0" w:color="A0AEC0"/>
              <w:bottom w:val="single" w:sz="4" w:space="0" w:color="A0AEC0"/>
              <w:right w:val="single" w:sz="4" w:space="0" w:color="A0AEC0"/>
            </w:tcBorders>
          </w:tcPr>
          <w:p w14:paraId="3F321486" w14:textId="77777777" w:rsidR="005E660D" w:rsidRDefault="00000000">
            <w:pPr>
              <w:spacing w:after="30"/>
            </w:pPr>
            <w:r>
              <w:rPr>
                <w:color w:val="1A202C"/>
                <w:sz w:val="13"/>
                <w:szCs w:val="13"/>
              </w:rPr>
              <w:t>Implemented</w:t>
            </w:r>
          </w:p>
        </w:tc>
      </w:tr>
      <w:tr w:rsidR="005E660D" w14:paraId="1379C7F1"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5E1BF77E" w14:textId="77777777" w:rsidR="005E660D" w:rsidRDefault="00000000">
            <w:pPr>
              <w:spacing w:after="30"/>
            </w:pPr>
            <w:r>
              <w:rPr>
                <w:color w:val="1A202C"/>
                <w:sz w:val="13"/>
                <w:szCs w:val="13"/>
              </w:rPr>
              <w:t>Wald SPRT canary</w:t>
            </w:r>
          </w:p>
        </w:tc>
        <w:tc>
          <w:tcPr>
            <w:tcW w:w="1433" w:type="dxa"/>
            <w:tcBorders>
              <w:top w:val="single" w:sz="4" w:space="0" w:color="A0AEC0"/>
              <w:left w:val="single" w:sz="4" w:space="0" w:color="A0AEC0"/>
              <w:bottom w:val="single" w:sz="4" w:space="0" w:color="A0AEC0"/>
              <w:right w:val="single" w:sz="4" w:space="0" w:color="A0AEC0"/>
            </w:tcBorders>
          </w:tcPr>
          <w:p w14:paraId="71F28EBD" w14:textId="77777777" w:rsidR="005E660D" w:rsidRDefault="00000000">
            <w:pPr>
              <w:spacing w:after="30"/>
            </w:pPr>
            <w:r>
              <w:rPr>
                <w:color w:val="1A202C"/>
                <w:sz w:val="13"/>
                <w:szCs w:val="13"/>
              </w:rPr>
              <w:t>packages/validator (</w:t>
            </w:r>
            <w:proofErr w:type="spellStart"/>
            <w:r>
              <w:rPr>
                <w:color w:val="1A202C"/>
                <w:sz w:val="13"/>
                <w:szCs w:val="13"/>
              </w:rPr>
              <w:t>sprt</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015ACD11" w14:textId="77777777" w:rsidR="005E660D" w:rsidRDefault="00000000">
            <w:pPr>
              <w:spacing w:after="30"/>
            </w:pPr>
            <w:r>
              <w:rPr>
                <w:color w:val="1A202C"/>
                <w:sz w:val="13"/>
                <w:szCs w:val="13"/>
              </w:rPr>
              <w:t>Implemented</w:t>
            </w:r>
          </w:p>
        </w:tc>
      </w:tr>
      <w:tr w:rsidR="005E660D" w14:paraId="77C4CD76"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41F815F5" w14:textId="77777777" w:rsidR="005E660D" w:rsidRDefault="00000000">
            <w:pPr>
              <w:spacing w:after="30"/>
            </w:pPr>
            <w:r>
              <w:rPr>
                <w:color w:val="1A202C"/>
                <w:sz w:val="13"/>
                <w:szCs w:val="13"/>
              </w:rPr>
              <w:t>AST blast radius</w:t>
            </w:r>
          </w:p>
        </w:tc>
        <w:tc>
          <w:tcPr>
            <w:tcW w:w="1433" w:type="dxa"/>
            <w:tcBorders>
              <w:top w:val="single" w:sz="4" w:space="0" w:color="A0AEC0"/>
              <w:left w:val="single" w:sz="4" w:space="0" w:color="A0AEC0"/>
              <w:bottom w:val="single" w:sz="4" w:space="0" w:color="A0AEC0"/>
              <w:right w:val="single" w:sz="4" w:space="0" w:color="A0AEC0"/>
            </w:tcBorders>
          </w:tcPr>
          <w:p w14:paraId="656F4031" w14:textId="77777777" w:rsidR="005E660D" w:rsidRDefault="00000000">
            <w:pPr>
              <w:spacing w:after="30"/>
            </w:pPr>
            <w:r>
              <w:rPr>
                <w:color w:val="1A202C"/>
                <w:sz w:val="13"/>
                <w:szCs w:val="13"/>
              </w:rPr>
              <w:t>packages/impact/</w:t>
            </w:r>
            <w:proofErr w:type="spellStart"/>
            <w:r>
              <w:rPr>
                <w:color w:val="1A202C"/>
                <w:sz w:val="13"/>
                <w:szCs w:val="13"/>
              </w:rPr>
              <w:t>src</w:t>
            </w:r>
            <w:proofErr w:type="spellEnd"/>
            <w:r>
              <w:rPr>
                <w:color w:val="1A202C"/>
                <w:sz w:val="13"/>
                <w:szCs w:val="13"/>
              </w:rPr>
              <w:t>/</w:t>
            </w:r>
            <w:proofErr w:type="spellStart"/>
            <w:r>
              <w:rPr>
                <w:color w:val="1A202C"/>
                <w:sz w:val="13"/>
                <w:szCs w:val="13"/>
              </w:rPr>
              <w:t>analyzer.ts</w:t>
            </w:r>
            <w:proofErr w:type="spellEnd"/>
          </w:p>
        </w:tc>
        <w:tc>
          <w:tcPr>
            <w:tcW w:w="1433" w:type="dxa"/>
            <w:tcBorders>
              <w:top w:val="single" w:sz="4" w:space="0" w:color="A0AEC0"/>
              <w:left w:val="single" w:sz="4" w:space="0" w:color="A0AEC0"/>
              <w:bottom w:val="single" w:sz="4" w:space="0" w:color="A0AEC0"/>
              <w:right w:val="single" w:sz="4" w:space="0" w:color="A0AEC0"/>
            </w:tcBorders>
          </w:tcPr>
          <w:p w14:paraId="77FE7469" w14:textId="77777777" w:rsidR="005E660D" w:rsidRDefault="00000000">
            <w:pPr>
              <w:spacing w:after="30"/>
            </w:pPr>
            <w:r>
              <w:rPr>
                <w:color w:val="1A202C"/>
                <w:sz w:val="13"/>
                <w:szCs w:val="13"/>
              </w:rPr>
              <w:t>Implemented</w:t>
            </w:r>
          </w:p>
        </w:tc>
      </w:tr>
      <w:tr w:rsidR="005E660D" w14:paraId="1931FF78"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540B28AB" w14:textId="77777777" w:rsidR="005E660D" w:rsidRDefault="00000000">
            <w:pPr>
              <w:spacing w:after="30"/>
            </w:pPr>
            <w:r>
              <w:rPr>
                <w:color w:val="1A202C"/>
                <w:sz w:val="13"/>
                <w:szCs w:val="13"/>
              </w:rPr>
              <w:t>MCP 7 tools</w:t>
            </w:r>
          </w:p>
        </w:tc>
        <w:tc>
          <w:tcPr>
            <w:tcW w:w="1433" w:type="dxa"/>
            <w:tcBorders>
              <w:top w:val="single" w:sz="4" w:space="0" w:color="A0AEC0"/>
              <w:left w:val="single" w:sz="4" w:space="0" w:color="A0AEC0"/>
              <w:bottom w:val="single" w:sz="4" w:space="0" w:color="A0AEC0"/>
              <w:right w:val="single" w:sz="4" w:space="0" w:color="A0AEC0"/>
            </w:tcBorders>
          </w:tcPr>
          <w:p w14:paraId="4B240B40" w14:textId="77777777" w:rsidR="005E660D" w:rsidRDefault="00000000">
            <w:pPr>
              <w:spacing w:after="30"/>
            </w:pPr>
            <w:proofErr w:type="spellStart"/>
            <w:r>
              <w:rPr>
                <w:color w:val="1A202C"/>
                <w:sz w:val="13"/>
                <w:szCs w:val="13"/>
              </w:rPr>
              <w:t>mcpserver</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40D07C01" w14:textId="77777777" w:rsidR="005E660D" w:rsidRDefault="00000000">
            <w:pPr>
              <w:spacing w:after="30"/>
            </w:pPr>
            <w:r>
              <w:rPr>
                <w:color w:val="1A202C"/>
                <w:sz w:val="13"/>
                <w:szCs w:val="13"/>
              </w:rPr>
              <w:t>Implemented</w:t>
            </w:r>
          </w:p>
        </w:tc>
      </w:tr>
      <w:tr w:rsidR="005E660D" w14:paraId="6ECA2C92"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2E224E8D" w14:textId="77777777" w:rsidR="005E660D" w:rsidRDefault="00000000">
            <w:pPr>
              <w:spacing w:after="30"/>
            </w:pPr>
            <w:r>
              <w:rPr>
                <w:color w:val="1A202C"/>
                <w:sz w:val="13"/>
                <w:szCs w:val="13"/>
              </w:rPr>
              <w:t>SHA-256 audit ledger</w:t>
            </w:r>
          </w:p>
        </w:tc>
        <w:tc>
          <w:tcPr>
            <w:tcW w:w="1433" w:type="dxa"/>
            <w:tcBorders>
              <w:top w:val="single" w:sz="4" w:space="0" w:color="A0AEC0"/>
              <w:left w:val="single" w:sz="4" w:space="0" w:color="A0AEC0"/>
              <w:bottom w:val="single" w:sz="4" w:space="0" w:color="A0AEC0"/>
              <w:right w:val="single" w:sz="4" w:space="0" w:color="A0AEC0"/>
            </w:tcBorders>
          </w:tcPr>
          <w:p w14:paraId="752C3449" w14:textId="77777777" w:rsidR="005E660D" w:rsidRDefault="00000000">
            <w:pPr>
              <w:spacing w:after="30"/>
            </w:pPr>
            <w:proofErr w:type="spellStart"/>
            <w:r>
              <w:rPr>
                <w:color w:val="1A202C"/>
                <w:sz w:val="13"/>
                <w:szCs w:val="13"/>
              </w:rPr>
              <w:t>WebCrypto</w:t>
            </w:r>
            <w:proofErr w:type="spellEnd"/>
            <w:r>
              <w:rPr>
                <w:color w:val="1A202C"/>
                <w:sz w:val="13"/>
                <w:szCs w:val="13"/>
              </w:rPr>
              <w:t xml:space="preserve"> + MST </w:t>
            </w:r>
            <w:proofErr w:type="spellStart"/>
            <w:r>
              <w:rPr>
                <w:color w:val="1A202C"/>
                <w:sz w:val="13"/>
                <w:szCs w:val="13"/>
              </w:rPr>
              <w:t>testnet</w:t>
            </w:r>
            <w:proofErr w:type="spellEnd"/>
          </w:p>
        </w:tc>
        <w:tc>
          <w:tcPr>
            <w:tcW w:w="1433" w:type="dxa"/>
            <w:tcBorders>
              <w:top w:val="single" w:sz="4" w:space="0" w:color="A0AEC0"/>
              <w:left w:val="single" w:sz="4" w:space="0" w:color="A0AEC0"/>
              <w:bottom w:val="single" w:sz="4" w:space="0" w:color="A0AEC0"/>
              <w:right w:val="single" w:sz="4" w:space="0" w:color="A0AEC0"/>
            </w:tcBorders>
          </w:tcPr>
          <w:p w14:paraId="3BDED625" w14:textId="77777777" w:rsidR="005E660D" w:rsidRDefault="00000000">
            <w:pPr>
              <w:spacing w:after="30"/>
            </w:pPr>
            <w:r>
              <w:rPr>
                <w:color w:val="1A202C"/>
                <w:sz w:val="13"/>
                <w:szCs w:val="13"/>
              </w:rPr>
              <w:t>Implemented</w:t>
            </w:r>
          </w:p>
        </w:tc>
      </w:tr>
    </w:tbl>
    <w:p w14:paraId="5D1CC2CA" w14:textId="77777777" w:rsidR="005E660D" w:rsidRDefault="00000000">
      <w:pPr>
        <w:spacing w:before="40" w:after="120"/>
        <w:jc w:val="center"/>
      </w:pPr>
      <w:r>
        <w:rPr>
          <w:i/>
          <w:iCs/>
          <w:color w:val="4A5568"/>
          <w:sz w:val="14"/>
          <w:szCs w:val="14"/>
        </w:rPr>
        <w:t>Table 1. Feature-to-Implementation Evidence Matrix (updated with algorithmic modules).</w:t>
      </w:r>
    </w:p>
    <w:p w14:paraId="3369B300" w14:textId="77777777" w:rsidR="005E660D" w:rsidRDefault="00000000">
      <w:pPr>
        <w:spacing w:before="180" w:after="80"/>
      </w:pPr>
      <w:r>
        <w:rPr>
          <w:b/>
          <w:bCs/>
          <w:color w:val="1A365D"/>
          <w:sz w:val="19"/>
          <w:szCs w:val="19"/>
        </w:rPr>
        <w:t>4. Background and Prior Art</w:t>
      </w:r>
    </w:p>
    <w:p w14:paraId="7904C4E3" w14:textId="77777777" w:rsidR="005E660D" w:rsidRDefault="00000000">
      <w:pPr>
        <w:spacing w:before="140" w:after="60"/>
      </w:pPr>
      <w:r>
        <w:rPr>
          <w:b/>
          <w:bCs/>
          <w:color w:val="1A202C"/>
        </w:rPr>
        <w:t>4.1 Academic and Algorithmic Foundations</w:t>
      </w:r>
    </w:p>
    <w:p w14:paraId="47023A04" w14:textId="77777777" w:rsidR="005E660D" w:rsidRDefault="00000000">
      <w:pPr>
        <w:spacing w:after="100" w:line="260" w:lineRule="auto"/>
        <w:jc w:val="both"/>
      </w:pPr>
      <w:r>
        <w:rPr>
          <w:color w:val="1A202C"/>
        </w:rPr>
        <w:t xml:space="preserve">Intra deliberately reuses peer-reviewed primitives rather than inventing new mathematics: T-Digest (Dunning &amp; Ertl), </w:t>
      </w:r>
      <w:proofErr w:type="spellStart"/>
      <w:r>
        <w:rPr>
          <w:color w:val="1A202C"/>
        </w:rPr>
        <w:t>HyperLogLog</w:t>
      </w:r>
      <w:proofErr w:type="spellEnd"/>
      <w:r>
        <w:rPr>
          <w:color w:val="1A202C"/>
        </w:rPr>
        <w:t xml:space="preserve"> (</w:t>
      </w:r>
      <w:proofErr w:type="spellStart"/>
      <w:r>
        <w:rPr>
          <w:color w:val="1A202C"/>
        </w:rPr>
        <w:t>Flajolet</w:t>
      </w:r>
      <w:proofErr w:type="spellEnd"/>
      <w:r>
        <w:rPr>
          <w:color w:val="1A202C"/>
        </w:rPr>
        <w:t xml:space="preserve"> et al.), Kuhn-Munkres Hungarian assignment (1955), </w:t>
      </w:r>
      <w:proofErr w:type="spellStart"/>
      <w:r>
        <w:rPr>
          <w:color w:val="1A202C"/>
        </w:rPr>
        <w:t>FlashFill</w:t>
      </w:r>
      <w:proofErr w:type="spellEnd"/>
      <w:r>
        <w:rPr>
          <w:color w:val="1A202C"/>
        </w:rPr>
        <w:t xml:space="preserve"> inductive program synthesis (</w:t>
      </w:r>
      <w:proofErr w:type="spellStart"/>
      <w:r>
        <w:rPr>
          <w:color w:val="1A202C"/>
        </w:rPr>
        <w:t>Gulwani</w:t>
      </w:r>
      <w:proofErr w:type="spellEnd"/>
      <w:r>
        <w:rPr>
          <w:color w:val="1A202C"/>
        </w:rPr>
        <w:t>, POPL 2011 / CACM 2012), and Wald’s Sequential Probability Ratio Test (1945). The contribution, if any, lies in the closed-loop composition for live third-party API/MCP behavioural drift.</w:t>
      </w:r>
    </w:p>
    <w:p w14:paraId="3B78878A" w14:textId="77777777" w:rsidR="005E660D" w:rsidRDefault="00000000">
      <w:pPr>
        <w:spacing w:after="100" w:line="260" w:lineRule="auto"/>
        <w:jc w:val="both"/>
      </w:pPr>
      <w:r>
        <w:rPr>
          <w:color w:val="1A202C"/>
        </w:rPr>
        <w:t>A 2026 Technical Disclosure Commons publication (Agrawal &amp; Shinde, VISA) on silent backward-incompatible API contract drift using runtime structural-semantic fingerprints remains the closest single disclosure to the model + differ stages. Commercial monitors (</w:t>
      </w:r>
      <w:proofErr w:type="spellStart"/>
      <w:r>
        <w:rPr>
          <w:color w:val="1A202C"/>
        </w:rPr>
        <w:t>FlareCanary</w:t>
      </w:r>
      <w:proofErr w:type="spellEnd"/>
      <w:r>
        <w:rPr>
          <w:color w:val="1A202C"/>
        </w:rPr>
        <w:t xml:space="preserve">, DriftGuard, </w:t>
      </w:r>
      <w:proofErr w:type="spellStart"/>
      <w:r>
        <w:rPr>
          <w:color w:val="1A202C"/>
        </w:rPr>
        <w:t>DiffMon</w:t>
      </w:r>
      <w:proofErr w:type="spellEnd"/>
      <w:r>
        <w:rPr>
          <w:color w:val="1A202C"/>
        </w:rPr>
        <w:t xml:space="preserve">, </w:t>
      </w:r>
      <w:proofErr w:type="spellStart"/>
      <w:r>
        <w:rPr>
          <w:color w:val="1A202C"/>
        </w:rPr>
        <w:t>Beeceptor</w:t>
      </w:r>
      <w:proofErr w:type="spellEnd"/>
      <w:r>
        <w:rPr>
          <w:color w:val="1A202C"/>
        </w:rPr>
        <w:t xml:space="preserve">) provide baseline or </w:t>
      </w:r>
      <w:proofErr w:type="spellStart"/>
      <w:r>
        <w:rPr>
          <w:color w:val="1A202C"/>
        </w:rPr>
        <w:t>OpenAPI</w:t>
      </w:r>
      <w:proofErr w:type="spellEnd"/>
      <w:r>
        <w:rPr>
          <w:color w:val="1A202C"/>
        </w:rPr>
        <w:t xml:space="preserve"> response-shape drift with alerting; most stop short of confidence-gated auto-apply, AST impact, PBE adapter synthesis and SPRT canary control.</w:t>
      </w:r>
    </w:p>
    <w:p w14:paraId="19F49C0A" w14:textId="77777777" w:rsidR="005E660D" w:rsidRDefault="00000000">
      <w:pPr>
        <w:spacing w:before="140" w:after="60"/>
      </w:pPr>
      <w:r>
        <w:rPr>
          <w:b/>
          <w:bCs/>
          <w:color w:val="1A202C"/>
        </w:rPr>
        <w:t>4.2 Patent and Commercial Landscape</w:t>
      </w:r>
    </w:p>
    <w:p w14:paraId="5812FC7B" w14:textId="77777777" w:rsidR="005E660D" w:rsidRDefault="00000000">
      <w:pPr>
        <w:spacing w:after="100" w:line="260" w:lineRule="auto"/>
        <w:jc w:val="both"/>
      </w:pPr>
      <w:r>
        <w:rPr>
          <w:color w:val="1A202C"/>
        </w:rPr>
        <w:t xml:space="preserve">Patents on API-integration remediation, impact analysis of third-party components, and software change analysis cover overlapping elements. </w:t>
      </w:r>
      <w:proofErr w:type="spellStart"/>
      <w:r>
        <w:rPr>
          <w:color w:val="1A202C"/>
        </w:rPr>
        <w:t>FlashFill</w:t>
      </w:r>
      <w:proofErr w:type="spellEnd"/>
      <w:r>
        <w:rPr>
          <w:color w:val="1A202C"/>
        </w:rPr>
        <w:t xml:space="preserve">-style PBE is widely published and productised (Excel, PROSE SDK); SPRT has been applied to canary and progressive delivery (recent sequential progressive delivery papers). No single identified patent claims the exact Intra combination of streaming behavioural fingerprints + Hungarian semantic rename + Quantile-Ratio unit shift + </w:t>
      </w:r>
      <w:proofErr w:type="spellStart"/>
      <w:r>
        <w:rPr>
          <w:color w:val="1A202C"/>
        </w:rPr>
        <w:t>FlashFill</w:t>
      </w:r>
      <w:proofErr w:type="spellEnd"/>
      <w:r>
        <w:rPr>
          <w:color w:val="1A202C"/>
        </w:rPr>
        <w:t xml:space="preserve"> DSL adapters + Safe-Handling Matrix + Wald SPRT promotion for third-party HTTP/MCP dependencies.</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433"/>
        <w:gridCol w:w="1433"/>
      </w:tblGrid>
      <w:tr w:rsidR="005E660D" w14:paraId="574D6113"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6B6CD425" w14:textId="77777777" w:rsidR="005E660D" w:rsidRDefault="00000000">
            <w:pPr>
              <w:spacing w:after="30"/>
            </w:pPr>
            <w:r>
              <w:rPr>
                <w:b/>
                <w:bCs/>
                <w:color w:val="1A202C"/>
                <w:sz w:val="13"/>
                <w:szCs w:val="13"/>
              </w:rPr>
              <w:t>Source</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49138AFF" w14:textId="77777777" w:rsidR="005E660D" w:rsidRDefault="00000000">
            <w:pPr>
              <w:spacing w:after="30"/>
            </w:pPr>
            <w:r>
              <w:rPr>
                <w:b/>
                <w:bCs/>
                <w:color w:val="1A202C"/>
                <w:sz w:val="13"/>
                <w:szCs w:val="13"/>
              </w:rPr>
              <w:t>Core Mechanism</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0DC846B6" w14:textId="77777777" w:rsidR="005E660D" w:rsidRDefault="00000000">
            <w:pPr>
              <w:spacing w:after="30"/>
            </w:pPr>
            <w:r>
              <w:rPr>
                <w:b/>
                <w:bCs/>
                <w:color w:val="1A202C"/>
                <w:sz w:val="13"/>
                <w:szCs w:val="13"/>
              </w:rPr>
              <w:t>Sim.</w:t>
            </w:r>
          </w:p>
        </w:tc>
      </w:tr>
      <w:tr w:rsidR="005E660D" w14:paraId="498AD8B0"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4E91EF24" w14:textId="77777777" w:rsidR="005E660D" w:rsidRDefault="00000000">
            <w:pPr>
              <w:spacing w:after="30"/>
            </w:pPr>
            <w:proofErr w:type="spellStart"/>
            <w:r>
              <w:rPr>
                <w:color w:val="1A202C"/>
                <w:sz w:val="13"/>
                <w:szCs w:val="13"/>
              </w:rPr>
              <w:t>TDCommons</w:t>
            </w:r>
            <w:proofErr w:type="spellEnd"/>
            <w:r>
              <w:rPr>
                <w:color w:val="1A202C"/>
                <w:sz w:val="13"/>
                <w:szCs w:val="13"/>
              </w:rPr>
              <w:t xml:space="preserve"> structural-semantic fingerprints (2026)</w:t>
            </w:r>
          </w:p>
        </w:tc>
        <w:tc>
          <w:tcPr>
            <w:tcW w:w="1433" w:type="dxa"/>
            <w:tcBorders>
              <w:top w:val="single" w:sz="4" w:space="0" w:color="A0AEC0"/>
              <w:left w:val="single" w:sz="4" w:space="0" w:color="A0AEC0"/>
              <w:bottom w:val="single" w:sz="4" w:space="0" w:color="A0AEC0"/>
              <w:right w:val="single" w:sz="4" w:space="0" w:color="A0AEC0"/>
            </w:tcBorders>
          </w:tcPr>
          <w:p w14:paraId="4F901EBB" w14:textId="77777777" w:rsidR="005E660D" w:rsidRDefault="00000000">
            <w:pPr>
              <w:spacing w:after="30"/>
            </w:pPr>
            <w:r>
              <w:rPr>
                <w:color w:val="1A202C"/>
                <w:sz w:val="13"/>
                <w:szCs w:val="13"/>
              </w:rPr>
              <w:t>Runtime fingerprints + invariants</w:t>
            </w:r>
          </w:p>
        </w:tc>
        <w:tc>
          <w:tcPr>
            <w:tcW w:w="1433" w:type="dxa"/>
            <w:tcBorders>
              <w:top w:val="single" w:sz="4" w:space="0" w:color="A0AEC0"/>
              <w:left w:val="single" w:sz="4" w:space="0" w:color="A0AEC0"/>
              <w:bottom w:val="single" w:sz="4" w:space="0" w:color="A0AEC0"/>
              <w:right w:val="single" w:sz="4" w:space="0" w:color="A0AEC0"/>
            </w:tcBorders>
          </w:tcPr>
          <w:p w14:paraId="66F7BFED" w14:textId="77777777" w:rsidR="005E660D" w:rsidRDefault="00000000">
            <w:pPr>
              <w:spacing w:after="30"/>
            </w:pPr>
            <w:r>
              <w:rPr>
                <w:color w:val="1A202C"/>
                <w:sz w:val="13"/>
                <w:szCs w:val="13"/>
              </w:rPr>
              <w:t>5</w:t>
            </w:r>
          </w:p>
        </w:tc>
      </w:tr>
      <w:tr w:rsidR="005E660D" w14:paraId="496CD259"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6EA7BFDC" w14:textId="77777777" w:rsidR="005E660D" w:rsidRDefault="00000000">
            <w:pPr>
              <w:spacing w:after="30"/>
            </w:pPr>
            <w:r>
              <w:rPr>
                <w:color w:val="1A202C"/>
                <w:sz w:val="13"/>
                <w:szCs w:val="13"/>
              </w:rPr>
              <w:t>Commercial drift monitors</w:t>
            </w:r>
          </w:p>
        </w:tc>
        <w:tc>
          <w:tcPr>
            <w:tcW w:w="1433" w:type="dxa"/>
            <w:tcBorders>
              <w:top w:val="single" w:sz="4" w:space="0" w:color="A0AEC0"/>
              <w:left w:val="single" w:sz="4" w:space="0" w:color="A0AEC0"/>
              <w:bottom w:val="single" w:sz="4" w:space="0" w:color="A0AEC0"/>
              <w:right w:val="single" w:sz="4" w:space="0" w:color="A0AEC0"/>
            </w:tcBorders>
          </w:tcPr>
          <w:p w14:paraId="347858A7" w14:textId="77777777" w:rsidR="005E660D" w:rsidRDefault="00000000">
            <w:pPr>
              <w:spacing w:after="30"/>
            </w:pPr>
            <w:r>
              <w:rPr>
                <w:color w:val="1A202C"/>
                <w:sz w:val="13"/>
                <w:szCs w:val="13"/>
              </w:rPr>
              <w:t xml:space="preserve">Baseline / </w:t>
            </w:r>
            <w:proofErr w:type="spellStart"/>
            <w:r>
              <w:rPr>
                <w:color w:val="1A202C"/>
                <w:sz w:val="13"/>
                <w:szCs w:val="13"/>
              </w:rPr>
              <w:t>OpenAPI</w:t>
            </w:r>
            <w:proofErr w:type="spellEnd"/>
            <w:r>
              <w:rPr>
                <w:color w:val="1A202C"/>
                <w:sz w:val="13"/>
                <w:szCs w:val="13"/>
              </w:rPr>
              <w:t xml:space="preserve"> shape alerts</w:t>
            </w:r>
          </w:p>
        </w:tc>
        <w:tc>
          <w:tcPr>
            <w:tcW w:w="1433" w:type="dxa"/>
            <w:tcBorders>
              <w:top w:val="single" w:sz="4" w:space="0" w:color="A0AEC0"/>
              <w:left w:val="single" w:sz="4" w:space="0" w:color="A0AEC0"/>
              <w:bottom w:val="single" w:sz="4" w:space="0" w:color="A0AEC0"/>
              <w:right w:val="single" w:sz="4" w:space="0" w:color="A0AEC0"/>
            </w:tcBorders>
          </w:tcPr>
          <w:p w14:paraId="07EDD0B8" w14:textId="77777777" w:rsidR="005E660D" w:rsidRDefault="00000000">
            <w:pPr>
              <w:spacing w:after="30"/>
            </w:pPr>
            <w:r>
              <w:rPr>
                <w:color w:val="1A202C"/>
                <w:sz w:val="13"/>
                <w:szCs w:val="13"/>
              </w:rPr>
              <w:t>4</w:t>
            </w:r>
          </w:p>
        </w:tc>
      </w:tr>
      <w:tr w:rsidR="005E660D" w14:paraId="205DAF17"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6ECE8050" w14:textId="77777777" w:rsidR="005E660D" w:rsidRDefault="00000000">
            <w:pPr>
              <w:spacing w:after="30"/>
            </w:pPr>
            <w:r>
              <w:rPr>
                <w:color w:val="1A202C"/>
                <w:sz w:val="13"/>
                <w:szCs w:val="13"/>
              </w:rPr>
              <w:t>API integration remediation patents</w:t>
            </w:r>
          </w:p>
        </w:tc>
        <w:tc>
          <w:tcPr>
            <w:tcW w:w="1433" w:type="dxa"/>
            <w:tcBorders>
              <w:top w:val="single" w:sz="4" w:space="0" w:color="A0AEC0"/>
              <w:left w:val="single" w:sz="4" w:space="0" w:color="A0AEC0"/>
              <w:bottom w:val="single" w:sz="4" w:space="0" w:color="A0AEC0"/>
              <w:right w:val="single" w:sz="4" w:space="0" w:color="A0AEC0"/>
            </w:tcBorders>
          </w:tcPr>
          <w:p w14:paraId="031D710E" w14:textId="77777777" w:rsidR="005E660D" w:rsidRDefault="00000000">
            <w:pPr>
              <w:spacing w:after="30"/>
            </w:pPr>
            <w:r>
              <w:rPr>
                <w:color w:val="1A202C"/>
                <w:sz w:val="13"/>
                <w:szCs w:val="13"/>
              </w:rPr>
              <w:t>Monitor + adapter adjust</w:t>
            </w:r>
          </w:p>
        </w:tc>
        <w:tc>
          <w:tcPr>
            <w:tcW w:w="1433" w:type="dxa"/>
            <w:tcBorders>
              <w:top w:val="single" w:sz="4" w:space="0" w:color="A0AEC0"/>
              <w:left w:val="single" w:sz="4" w:space="0" w:color="A0AEC0"/>
              <w:bottom w:val="single" w:sz="4" w:space="0" w:color="A0AEC0"/>
              <w:right w:val="single" w:sz="4" w:space="0" w:color="A0AEC0"/>
            </w:tcBorders>
          </w:tcPr>
          <w:p w14:paraId="1B86E075" w14:textId="77777777" w:rsidR="005E660D" w:rsidRDefault="00000000">
            <w:pPr>
              <w:spacing w:after="30"/>
            </w:pPr>
            <w:r>
              <w:rPr>
                <w:color w:val="1A202C"/>
                <w:sz w:val="13"/>
                <w:szCs w:val="13"/>
              </w:rPr>
              <w:t>4</w:t>
            </w:r>
          </w:p>
        </w:tc>
      </w:tr>
      <w:tr w:rsidR="005E660D" w14:paraId="4A1D591C"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4512D3E1" w14:textId="77777777" w:rsidR="005E660D" w:rsidRDefault="00000000">
            <w:pPr>
              <w:spacing w:after="30"/>
            </w:pPr>
            <w:proofErr w:type="spellStart"/>
            <w:r>
              <w:rPr>
                <w:color w:val="1A202C"/>
                <w:sz w:val="13"/>
                <w:szCs w:val="13"/>
              </w:rPr>
              <w:t>FlashFill</w:t>
            </w:r>
            <w:proofErr w:type="spellEnd"/>
            <w:r>
              <w:rPr>
                <w:color w:val="1A202C"/>
                <w:sz w:val="13"/>
                <w:szCs w:val="13"/>
              </w:rPr>
              <w:t xml:space="preserve"> / PROSE (</w:t>
            </w:r>
            <w:proofErr w:type="spellStart"/>
            <w:r>
              <w:rPr>
                <w:color w:val="1A202C"/>
                <w:sz w:val="13"/>
                <w:szCs w:val="13"/>
              </w:rPr>
              <w:t>Gulwani</w:t>
            </w:r>
            <w:proofErr w:type="spellEnd"/>
            <w:r>
              <w:rPr>
                <w:color w:val="1A202C"/>
                <w:sz w:val="13"/>
                <w:szCs w:val="13"/>
              </w:rPr>
              <w:t>)</w:t>
            </w:r>
          </w:p>
        </w:tc>
        <w:tc>
          <w:tcPr>
            <w:tcW w:w="1433" w:type="dxa"/>
            <w:tcBorders>
              <w:top w:val="single" w:sz="4" w:space="0" w:color="A0AEC0"/>
              <w:left w:val="single" w:sz="4" w:space="0" w:color="A0AEC0"/>
              <w:bottom w:val="single" w:sz="4" w:space="0" w:color="A0AEC0"/>
              <w:right w:val="single" w:sz="4" w:space="0" w:color="A0AEC0"/>
            </w:tcBorders>
          </w:tcPr>
          <w:p w14:paraId="7E57465C" w14:textId="77777777" w:rsidR="005E660D" w:rsidRDefault="00000000">
            <w:pPr>
              <w:spacing w:after="30"/>
            </w:pPr>
            <w:r>
              <w:rPr>
                <w:color w:val="1A202C"/>
                <w:sz w:val="13"/>
                <w:szCs w:val="13"/>
              </w:rPr>
              <w:t>PBE string/data transforms</w:t>
            </w:r>
          </w:p>
        </w:tc>
        <w:tc>
          <w:tcPr>
            <w:tcW w:w="1433" w:type="dxa"/>
            <w:tcBorders>
              <w:top w:val="single" w:sz="4" w:space="0" w:color="A0AEC0"/>
              <w:left w:val="single" w:sz="4" w:space="0" w:color="A0AEC0"/>
              <w:bottom w:val="single" w:sz="4" w:space="0" w:color="A0AEC0"/>
              <w:right w:val="single" w:sz="4" w:space="0" w:color="A0AEC0"/>
            </w:tcBorders>
          </w:tcPr>
          <w:p w14:paraId="75333FA3" w14:textId="77777777" w:rsidR="005E660D" w:rsidRDefault="00000000">
            <w:pPr>
              <w:spacing w:after="30"/>
            </w:pPr>
            <w:r>
              <w:rPr>
                <w:color w:val="1A202C"/>
                <w:sz w:val="13"/>
                <w:szCs w:val="13"/>
              </w:rPr>
              <w:t>3 (adapter only)</w:t>
            </w:r>
          </w:p>
        </w:tc>
      </w:tr>
      <w:tr w:rsidR="005E660D" w14:paraId="3CABEA0F"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62F05B9D" w14:textId="77777777" w:rsidR="005E660D" w:rsidRDefault="00000000">
            <w:pPr>
              <w:spacing w:after="30"/>
            </w:pPr>
            <w:r>
              <w:rPr>
                <w:color w:val="1A202C"/>
                <w:sz w:val="13"/>
                <w:szCs w:val="13"/>
              </w:rPr>
              <w:t>SPRT canary literature</w:t>
            </w:r>
          </w:p>
        </w:tc>
        <w:tc>
          <w:tcPr>
            <w:tcW w:w="1433" w:type="dxa"/>
            <w:tcBorders>
              <w:top w:val="single" w:sz="4" w:space="0" w:color="A0AEC0"/>
              <w:left w:val="single" w:sz="4" w:space="0" w:color="A0AEC0"/>
              <w:bottom w:val="single" w:sz="4" w:space="0" w:color="A0AEC0"/>
              <w:right w:val="single" w:sz="4" w:space="0" w:color="A0AEC0"/>
            </w:tcBorders>
          </w:tcPr>
          <w:p w14:paraId="39F78B13" w14:textId="77777777" w:rsidR="005E660D" w:rsidRDefault="00000000">
            <w:pPr>
              <w:spacing w:after="30"/>
            </w:pPr>
            <w:r>
              <w:rPr>
                <w:color w:val="1A202C"/>
                <w:sz w:val="13"/>
                <w:szCs w:val="13"/>
              </w:rPr>
              <w:t>Sequential promote/rollback</w:t>
            </w:r>
          </w:p>
        </w:tc>
        <w:tc>
          <w:tcPr>
            <w:tcW w:w="1433" w:type="dxa"/>
            <w:tcBorders>
              <w:top w:val="single" w:sz="4" w:space="0" w:color="A0AEC0"/>
              <w:left w:val="single" w:sz="4" w:space="0" w:color="A0AEC0"/>
              <w:bottom w:val="single" w:sz="4" w:space="0" w:color="A0AEC0"/>
              <w:right w:val="single" w:sz="4" w:space="0" w:color="A0AEC0"/>
            </w:tcBorders>
          </w:tcPr>
          <w:p w14:paraId="689F2719" w14:textId="77777777" w:rsidR="005E660D" w:rsidRDefault="00000000">
            <w:pPr>
              <w:spacing w:after="30"/>
            </w:pPr>
            <w:r>
              <w:rPr>
                <w:color w:val="1A202C"/>
                <w:sz w:val="13"/>
                <w:szCs w:val="13"/>
              </w:rPr>
              <w:t>3 (validator only)</w:t>
            </w:r>
          </w:p>
        </w:tc>
      </w:tr>
      <w:tr w:rsidR="005E660D" w14:paraId="05AF6D31"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2A3F2495" w14:textId="77777777" w:rsidR="005E660D" w:rsidRDefault="00000000">
            <w:pPr>
              <w:spacing w:after="30"/>
            </w:pPr>
            <w:r>
              <w:rPr>
                <w:color w:val="1A202C"/>
                <w:sz w:val="13"/>
                <w:szCs w:val="13"/>
              </w:rPr>
              <w:t>Intra (this work)</w:t>
            </w:r>
          </w:p>
        </w:tc>
        <w:tc>
          <w:tcPr>
            <w:tcW w:w="1433" w:type="dxa"/>
            <w:tcBorders>
              <w:top w:val="single" w:sz="4" w:space="0" w:color="A0AEC0"/>
              <w:left w:val="single" w:sz="4" w:space="0" w:color="A0AEC0"/>
              <w:bottom w:val="single" w:sz="4" w:space="0" w:color="A0AEC0"/>
              <w:right w:val="single" w:sz="4" w:space="0" w:color="A0AEC0"/>
            </w:tcBorders>
          </w:tcPr>
          <w:p w14:paraId="536B2784" w14:textId="77777777" w:rsidR="005E660D" w:rsidRDefault="00000000">
            <w:pPr>
              <w:spacing w:after="30"/>
            </w:pPr>
            <w:r>
              <w:rPr>
                <w:color w:val="1A202C"/>
                <w:sz w:val="13"/>
                <w:szCs w:val="13"/>
              </w:rPr>
              <w:t>Full closed loop + policy + golden</w:t>
            </w:r>
          </w:p>
        </w:tc>
        <w:tc>
          <w:tcPr>
            <w:tcW w:w="1433" w:type="dxa"/>
            <w:tcBorders>
              <w:top w:val="single" w:sz="4" w:space="0" w:color="A0AEC0"/>
              <w:left w:val="single" w:sz="4" w:space="0" w:color="A0AEC0"/>
              <w:bottom w:val="single" w:sz="4" w:space="0" w:color="A0AEC0"/>
              <w:right w:val="single" w:sz="4" w:space="0" w:color="A0AEC0"/>
            </w:tcBorders>
          </w:tcPr>
          <w:p w14:paraId="50D7E66B" w14:textId="77777777" w:rsidR="005E660D" w:rsidRDefault="00000000">
            <w:pPr>
              <w:spacing w:after="30"/>
            </w:pPr>
            <w:r>
              <w:rPr>
                <w:color w:val="1A202C"/>
                <w:sz w:val="13"/>
                <w:szCs w:val="13"/>
              </w:rPr>
              <w:t>n/a</w:t>
            </w:r>
          </w:p>
        </w:tc>
      </w:tr>
    </w:tbl>
    <w:p w14:paraId="35FCADDE" w14:textId="77777777" w:rsidR="005E660D" w:rsidRDefault="00000000">
      <w:pPr>
        <w:spacing w:before="40" w:after="120"/>
        <w:jc w:val="center"/>
      </w:pPr>
      <w:r>
        <w:rPr>
          <w:i/>
          <w:iCs/>
          <w:color w:val="4A5568"/>
          <w:sz w:val="14"/>
          <w:szCs w:val="14"/>
        </w:rPr>
        <w:t>Table 2. Prior-art comparison (1=low, 5=extremely similar).</w:t>
      </w:r>
    </w:p>
    <w:p w14:paraId="39A6F8E9" w14:textId="77777777" w:rsidR="005E660D" w:rsidRDefault="00000000">
      <w:pPr>
        <w:spacing w:before="180" w:after="80"/>
      </w:pPr>
      <w:r>
        <w:rPr>
          <w:b/>
          <w:bCs/>
          <w:color w:val="1A365D"/>
          <w:sz w:val="19"/>
          <w:szCs w:val="19"/>
        </w:rPr>
        <w:t>5. Problem Statement and Research Questions</w:t>
      </w:r>
    </w:p>
    <w:p w14:paraId="55A7E5A0" w14:textId="77777777" w:rsidR="005E660D" w:rsidRDefault="00000000">
      <w:pPr>
        <w:spacing w:after="100" w:line="260" w:lineRule="auto"/>
        <w:jc w:val="both"/>
      </w:pPr>
      <w:r>
        <w:rPr>
          <w:color w:val="1A202C"/>
        </w:rPr>
        <w:t xml:space="preserve">RQ1 (central): Can a system that maintains live behavioural models (T-Digest/HLL), detects structural and semantic drift via Hungarian matching and Quantile-Ratio tests with confidence/verdict, maps AST blast radius, synthesises </w:t>
      </w:r>
      <w:proofErr w:type="spellStart"/>
      <w:r>
        <w:rPr>
          <w:color w:val="1A202C"/>
        </w:rPr>
        <w:t>FlashFill</w:t>
      </w:r>
      <w:proofErr w:type="spellEnd"/>
      <w:r>
        <w:rPr>
          <w:color w:val="1A202C"/>
        </w:rPr>
        <w:t xml:space="preserve"> adapters under a deterministic Safe-Handling Policy, and validates with golden-replay + Wald SPRT measurably reduce integration MTTR and silent semantic failures versus static monitoring and manual remediation?</w:t>
      </w:r>
    </w:p>
    <w:p w14:paraId="252102F1" w14:textId="77777777" w:rsidR="005E660D" w:rsidRDefault="00000000">
      <w:pPr>
        <w:spacing w:after="100" w:line="260" w:lineRule="auto"/>
        <w:jc w:val="both"/>
      </w:pPr>
      <w:r>
        <w:rPr>
          <w:color w:val="1A202C"/>
        </w:rPr>
        <w:t>Supporting questions cover rename/unit detection precision, detection-to-action latency, success versus static baselines, mixed-version rollout behaviour under SPRT, and whether the closed-loop control flow is distinguishable from the closest fingerprint and remediation prior art.</w:t>
      </w:r>
    </w:p>
    <w:p w14:paraId="7E7AACE4" w14:textId="77777777" w:rsidR="005E660D" w:rsidRDefault="00000000">
      <w:pPr>
        <w:spacing w:before="180" w:after="80"/>
      </w:pPr>
      <w:r>
        <w:rPr>
          <w:b/>
          <w:bCs/>
          <w:color w:val="1A365D"/>
          <w:sz w:val="19"/>
          <w:szCs w:val="19"/>
        </w:rPr>
        <w:t>6. Summary of the Invention</w:t>
      </w:r>
    </w:p>
    <w:p w14:paraId="4347A2C2" w14:textId="77777777" w:rsidR="005E660D" w:rsidRDefault="00000000">
      <w:pPr>
        <w:spacing w:after="100" w:line="260" w:lineRule="auto"/>
        <w:jc w:val="both"/>
      </w:pPr>
      <w:r>
        <w:rPr>
          <w:color w:val="1A202C"/>
        </w:rPr>
        <w:t>Intra is a computer-implemented system and method for recovering consumer-side integrations after undocumented upstream behavioural change. It observes live traffic; builds contracts and behavioural fingerprints with space-bounded sketches; detects structural and semantic changes (including optimal bipartite rename assignment and unit-scale constancy); computes affected workflows via AST; synthesises adapters via inductive program synthesis under a policy that auto-applies only high-confidence equivalent changes, opens migration PRs for lossy/medium-confidence cases, and circuit-breaks breaking/unknown cases; validates by golden replay and sequential probability ratio testing; and records tamper-evident cryptographic audit seals. The operator retains control over low-confidence and breaking changes.</w:t>
      </w:r>
    </w:p>
    <w:p w14:paraId="2E3BD71A" w14:textId="77777777" w:rsidR="005E660D" w:rsidRDefault="00000000">
      <w:pPr>
        <w:spacing w:before="180" w:after="80"/>
      </w:pPr>
      <w:r>
        <w:rPr>
          <w:b/>
          <w:bCs/>
          <w:color w:val="1A365D"/>
          <w:sz w:val="19"/>
          <w:szCs w:val="19"/>
        </w:rPr>
        <w:t>7. Novelty Analysis</w:t>
      </w:r>
    </w:p>
    <w:p w14:paraId="48B7C621" w14:textId="77777777" w:rsidR="005E660D" w:rsidRDefault="00000000">
      <w:pPr>
        <w:spacing w:before="140" w:after="60"/>
      </w:pPr>
      <w:r>
        <w:rPr>
          <w:b/>
          <w:bCs/>
          <w:color w:val="1A202C"/>
        </w:rPr>
        <w:t>7.1 Mechanism Decomposition</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433"/>
        <w:gridCol w:w="1433"/>
      </w:tblGrid>
      <w:tr w:rsidR="005E660D" w14:paraId="45DE9509"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4D38B6FB" w14:textId="77777777" w:rsidR="005E660D" w:rsidRDefault="00000000">
            <w:pPr>
              <w:spacing w:after="30"/>
            </w:pPr>
            <w:r>
              <w:rPr>
                <w:b/>
                <w:bCs/>
                <w:color w:val="1A202C"/>
                <w:sz w:val="13"/>
                <w:szCs w:val="13"/>
              </w:rPr>
              <w:t>Mech.</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13D0909B" w14:textId="77777777" w:rsidR="005E660D" w:rsidRDefault="00000000">
            <w:pPr>
              <w:spacing w:after="30"/>
            </w:pPr>
            <w:r>
              <w:rPr>
                <w:b/>
                <w:bCs/>
                <w:color w:val="1A202C"/>
                <w:sz w:val="13"/>
                <w:szCs w:val="13"/>
              </w:rPr>
              <w:t>Description</w:t>
            </w:r>
          </w:p>
        </w:tc>
        <w:tc>
          <w:tcPr>
            <w:tcW w:w="1433" w:type="dxa"/>
            <w:tcBorders>
              <w:top w:val="single" w:sz="4" w:space="0" w:color="A0AEC0"/>
              <w:left w:val="single" w:sz="4" w:space="0" w:color="A0AEC0"/>
              <w:bottom w:val="single" w:sz="4" w:space="0" w:color="A0AEC0"/>
              <w:right w:val="single" w:sz="4" w:space="0" w:color="A0AEC0"/>
            </w:tcBorders>
            <w:shd w:val="clear" w:color="auto" w:fill="E2E8F0"/>
          </w:tcPr>
          <w:p w14:paraId="4348407B" w14:textId="77777777" w:rsidR="005E660D" w:rsidRDefault="00000000">
            <w:pPr>
              <w:spacing w:after="30"/>
            </w:pPr>
            <w:r>
              <w:rPr>
                <w:b/>
                <w:bCs/>
                <w:color w:val="1A202C"/>
                <w:sz w:val="13"/>
                <w:szCs w:val="13"/>
              </w:rPr>
              <w:t>Novelty</w:t>
            </w:r>
          </w:p>
        </w:tc>
      </w:tr>
      <w:tr w:rsidR="005E660D" w14:paraId="6A9C2CB7"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070858C2" w14:textId="77777777" w:rsidR="005E660D" w:rsidRDefault="00000000">
            <w:pPr>
              <w:spacing w:after="30"/>
            </w:pPr>
            <w:r>
              <w:rPr>
                <w:color w:val="1A202C"/>
                <w:sz w:val="13"/>
                <w:szCs w:val="13"/>
              </w:rPr>
              <w:t>A</w:t>
            </w:r>
          </w:p>
        </w:tc>
        <w:tc>
          <w:tcPr>
            <w:tcW w:w="1433" w:type="dxa"/>
            <w:tcBorders>
              <w:top w:val="single" w:sz="4" w:space="0" w:color="A0AEC0"/>
              <w:left w:val="single" w:sz="4" w:space="0" w:color="A0AEC0"/>
              <w:bottom w:val="single" w:sz="4" w:space="0" w:color="A0AEC0"/>
              <w:right w:val="single" w:sz="4" w:space="0" w:color="A0AEC0"/>
            </w:tcBorders>
          </w:tcPr>
          <w:p w14:paraId="6641BFD3" w14:textId="77777777" w:rsidR="005E660D" w:rsidRDefault="00000000">
            <w:pPr>
              <w:spacing w:after="30"/>
            </w:pPr>
            <w:r>
              <w:rPr>
                <w:color w:val="1A202C"/>
                <w:sz w:val="13"/>
                <w:szCs w:val="13"/>
              </w:rPr>
              <w:t>Live observation + PII redaction</w:t>
            </w:r>
          </w:p>
        </w:tc>
        <w:tc>
          <w:tcPr>
            <w:tcW w:w="1433" w:type="dxa"/>
            <w:tcBorders>
              <w:top w:val="single" w:sz="4" w:space="0" w:color="A0AEC0"/>
              <w:left w:val="single" w:sz="4" w:space="0" w:color="A0AEC0"/>
              <w:bottom w:val="single" w:sz="4" w:space="0" w:color="A0AEC0"/>
              <w:right w:val="single" w:sz="4" w:space="0" w:color="A0AEC0"/>
            </w:tcBorders>
          </w:tcPr>
          <w:p w14:paraId="0368E815" w14:textId="77777777" w:rsidR="005E660D" w:rsidRDefault="00000000">
            <w:pPr>
              <w:spacing w:after="30"/>
            </w:pPr>
            <w:r>
              <w:rPr>
                <w:color w:val="1A202C"/>
                <w:sz w:val="13"/>
                <w:szCs w:val="13"/>
              </w:rPr>
              <w:t>Low</w:t>
            </w:r>
          </w:p>
        </w:tc>
      </w:tr>
      <w:tr w:rsidR="005E660D" w14:paraId="375F98F0"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046C6670" w14:textId="77777777" w:rsidR="005E660D" w:rsidRDefault="00000000">
            <w:pPr>
              <w:spacing w:after="30"/>
            </w:pPr>
            <w:r>
              <w:rPr>
                <w:color w:val="1A202C"/>
                <w:sz w:val="13"/>
                <w:szCs w:val="13"/>
              </w:rPr>
              <w:t>B</w:t>
            </w:r>
          </w:p>
        </w:tc>
        <w:tc>
          <w:tcPr>
            <w:tcW w:w="1433" w:type="dxa"/>
            <w:tcBorders>
              <w:top w:val="single" w:sz="4" w:space="0" w:color="A0AEC0"/>
              <w:left w:val="single" w:sz="4" w:space="0" w:color="A0AEC0"/>
              <w:bottom w:val="single" w:sz="4" w:space="0" w:color="A0AEC0"/>
              <w:right w:val="single" w:sz="4" w:space="0" w:color="A0AEC0"/>
            </w:tcBorders>
          </w:tcPr>
          <w:p w14:paraId="4DA29720" w14:textId="77777777" w:rsidR="005E660D" w:rsidRDefault="00000000">
            <w:pPr>
              <w:spacing w:after="30"/>
            </w:pPr>
            <w:r>
              <w:rPr>
                <w:color w:val="1A202C"/>
                <w:sz w:val="13"/>
                <w:szCs w:val="13"/>
              </w:rPr>
              <w:t>T-Digest / HLL behavioural fingerprints</w:t>
            </w:r>
          </w:p>
        </w:tc>
        <w:tc>
          <w:tcPr>
            <w:tcW w:w="1433" w:type="dxa"/>
            <w:tcBorders>
              <w:top w:val="single" w:sz="4" w:space="0" w:color="A0AEC0"/>
              <w:left w:val="single" w:sz="4" w:space="0" w:color="A0AEC0"/>
              <w:bottom w:val="single" w:sz="4" w:space="0" w:color="A0AEC0"/>
              <w:right w:val="single" w:sz="4" w:space="0" w:color="A0AEC0"/>
            </w:tcBorders>
          </w:tcPr>
          <w:p w14:paraId="718C888E" w14:textId="77777777" w:rsidR="005E660D" w:rsidRDefault="00000000">
            <w:pPr>
              <w:spacing w:after="30"/>
            </w:pPr>
            <w:r>
              <w:rPr>
                <w:color w:val="1A202C"/>
                <w:sz w:val="13"/>
                <w:szCs w:val="13"/>
              </w:rPr>
              <w:t>Low (known sketches)</w:t>
            </w:r>
          </w:p>
        </w:tc>
      </w:tr>
      <w:tr w:rsidR="005E660D" w14:paraId="44652179"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697AF1A6" w14:textId="77777777" w:rsidR="005E660D" w:rsidRDefault="00000000">
            <w:pPr>
              <w:spacing w:after="30"/>
            </w:pPr>
            <w:r>
              <w:rPr>
                <w:color w:val="1A202C"/>
                <w:sz w:val="13"/>
                <w:szCs w:val="13"/>
              </w:rPr>
              <w:t>C</w:t>
            </w:r>
          </w:p>
        </w:tc>
        <w:tc>
          <w:tcPr>
            <w:tcW w:w="1433" w:type="dxa"/>
            <w:tcBorders>
              <w:top w:val="single" w:sz="4" w:space="0" w:color="A0AEC0"/>
              <w:left w:val="single" w:sz="4" w:space="0" w:color="A0AEC0"/>
              <w:bottom w:val="single" w:sz="4" w:space="0" w:color="A0AEC0"/>
              <w:right w:val="single" w:sz="4" w:space="0" w:color="A0AEC0"/>
            </w:tcBorders>
          </w:tcPr>
          <w:p w14:paraId="2C954B91" w14:textId="77777777" w:rsidR="005E660D" w:rsidRDefault="00000000">
            <w:pPr>
              <w:spacing w:after="30"/>
            </w:pPr>
            <w:proofErr w:type="gramStart"/>
            <w:r>
              <w:rPr>
                <w:color w:val="1A202C"/>
                <w:sz w:val="13"/>
                <w:szCs w:val="13"/>
              </w:rPr>
              <w:t>Hungarian</w:t>
            </w:r>
            <w:proofErr w:type="gramEnd"/>
            <w:r>
              <w:rPr>
                <w:color w:val="1A202C"/>
                <w:sz w:val="13"/>
                <w:szCs w:val="13"/>
              </w:rPr>
              <w:t xml:space="preserve"> rename + Quantile-Ratio unit shift</w:t>
            </w:r>
          </w:p>
        </w:tc>
        <w:tc>
          <w:tcPr>
            <w:tcW w:w="1433" w:type="dxa"/>
            <w:tcBorders>
              <w:top w:val="single" w:sz="4" w:space="0" w:color="A0AEC0"/>
              <w:left w:val="single" w:sz="4" w:space="0" w:color="A0AEC0"/>
              <w:bottom w:val="single" w:sz="4" w:space="0" w:color="A0AEC0"/>
              <w:right w:val="single" w:sz="4" w:space="0" w:color="A0AEC0"/>
            </w:tcBorders>
          </w:tcPr>
          <w:p w14:paraId="7680C07B" w14:textId="77777777" w:rsidR="005E660D" w:rsidRDefault="00000000">
            <w:pPr>
              <w:spacing w:after="30"/>
            </w:pPr>
            <w:r>
              <w:rPr>
                <w:color w:val="1A202C"/>
                <w:sz w:val="13"/>
                <w:szCs w:val="13"/>
              </w:rPr>
              <w:t>Moderate (application)</w:t>
            </w:r>
          </w:p>
        </w:tc>
      </w:tr>
      <w:tr w:rsidR="005E660D" w14:paraId="203C13B7"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76C20348" w14:textId="77777777" w:rsidR="005E660D" w:rsidRDefault="00000000">
            <w:pPr>
              <w:spacing w:after="30"/>
            </w:pPr>
            <w:r>
              <w:rPr>
                <w:color w:val="1A202C"/>
                <w:sz w:val="13"/>
                <w:szCs w:val="13"/>
              </w:rPr>
              <w:t>D</w:t>
            </w:r>
          </w:p>
        </w:tc>
        <w:tc>
          <w:tcPr>
            <w:tcW w:w="1433" w:type="dxa"/>
            <w:tcBorders>
              <w:top w:val="single" w:sz="4" w:space="0" w:color="A0AEC0"/>
              <w:left w:val="single" w:sz="4" w:space="0" w:color="A0AEC0"/>
              <w:bottom w:val="single" w:sz="4" w:space="0" w:color="A0AEC0"/>
              <w:right w:val="single" w:sz="4" w:space="0" w:color="A0AEC0"/>
            </w:tcBorders>
          </w:tcPr>
          <w:p w14:paraId="0C04E9AE" w14:textId="77777777" w:rsidR="005E660D" w:rsidRDefault="00000000">
            <w:pPr>
              <w:spacing w:after="30"/>
            </w:pPr>
            <w:r>
              <w:rPr>
                <w:color w:val="1A202C"/>
                <w:sz w:val="13"/>
                <w:szCs w:val="13"/>
              </w:rPr>
              <w:t>AST blast-radius mapping</w:t>
            </w:r>
          </w:p>
        </w:tc>
        <w:tc>
          <w:tcPr>
            <w:tcW w:w="1433" w:type="dxa"/>
            <w:tcBorders>
              <w:top w:val="single" w:sz="4" w:space="0" w:color="A0AEC0"/>
              <w:left w:val="single" w:sz="4" w:space="0" w:color="A0AEC0"/>
              <w:bottom w:val="single" w:sz="4" w:space="0" w:color="A0AEC0"/>
              <w:right w:val="single" w:sz="4" w:space="0" w:color="A0AEC0"/>
            </w:tcBorders>
          </w:tcPr>
          <w:p w14:paraId="338569E4" w14:textId="77777777" w:rsidR="005E660D" w:rsidRDefault="00000000">
            <w:pPr>
              <w:spacing w:after="30"/>
            </w:pPr>
            <w:r>
              <w:rPr>
                <w:color w:val="1A202C"/>
                <w:sz w:val="13"/>
                <w:szCs w:val="13"/>
              </w:rPr>
              <w:t>Low</w:t>
            </w:r>
          </w:p>
        </w:tc>
      </w:tr>
      <w:tr w:rsidR="005E660D" w14:paraId="22FFA131"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3BCD1CB0" w14:textId="77777777" w:rsidR="005E660D" w:rsidRDefault="00000000">
            <w:pPr>
              <w:spacing w:after="30"/>
            </w:pPr>
            <w:r>
              <w:rPr>
                <w:color w:val="1A202C"/>
                <w:sz w:val="13"/>
                <w:szCs w:val="13"/>
              </w:rPr>
              <w:t>E</w:t>
            </w:r>
          </w:p>
        </w:tc>
        <w:tc>
          <w:tcPr>
            <w:tcW w:w="1433" w:type="dxa"/>
            <w:tcBorders>
              <w:top w:val="single" w:sz="4" w:space="0" w:color="A0AEC0"/>
              <w:left w:val="single" w:sz="4" w:space="0" w:color="A0AEC0"/>
              <w:bottom w:val="single" w:sz="4" w:space="0" w:color="A0AEC0"/>
              <w:right w:val="single" w:sz="4" w:space="0" w:color="A0AEC0"/>
            </w:tcBorders>
          </w:tcPr>
          <w:p w14:paraId="46D2512C" w14:textId="77777777" w:rsidR="005E660D" w:rsidRDefault="00000000">
            <w:pPr>
              <w:spacing w:after="30"/>
            </w:pPr>
            <w:proofErr w:type="spellStart"/>
            <w:r>
              <w:rPr>
                <w:color w:val="1A202C"/>
                <w:sz w:val="13"/>
                <w:szCs w:val="13"/>
              </w:rPr>
              <w:t>FlashFill</w:t>
            </w:r>
            <w:proofErr w:type="spellEnd"/>
            <w:r>
              <w:rPr>
                <w:color w:val="1A202C"/>
                <w:sz w:val="13"/>
                <w:szCs w:val="13"/>
              </w:rPr>
              <w:t xml:space="preserve"> PBE adapter synthesis</w:t>
            </w:r>
          </w:p>
        </w:tc>
        <w:tc>
          <w:tcPr>
            <w:tcW w:w="1433" w:type="dxa"/>
            <w:tcBorders>
              <w:top w:val="single" w:sz="4" w:space="0" w:color="A0AEC0"/>
              <w:left w:val="single" w:sz="4" w:space="0" w:color="A0AEC0"/>
              <w:bottom w:val="single" w:sz="4" w:space="0" w:color="A0AEC0"/>
              <w:right w:val="single" w:sz="4" w:space="0" w:color="A0AEC0"/>
            </w:tcBorders>
          </w:tcPr>
          <w:p w14:paraId="0D80D888" w14:textId="77777777" w:rsidR="005E660D" w:rsidRDefault="00000000">
            <w:pPr>
              <w:spacing w:after="30"/>
            </w:pPr>
            <w:r>
              <w:rPr>
                <w:color w:val="1A202C"/>
                <w:sz w:val="13"/>
                <w:szCs w:val="13"/>
              </w:rPr>
              <w:t>Low–Mod. (known PBE)</w:t>
            </w:r>
          </w:p>
        </w:tc>
      </w:tr>
      <w:tr w:rsidR="005E660D" w14:paraId="46293E34"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43D788BA" w14:textId="77777777" w:rsidR="005E660D" w:rsidRDefault="00000000">
            <w:pPr>
              <w:spacing w:after="30"/>
            </w:pPr>
            <w:r>
              <w:rPr>
                <w:color w:val="1A202C"/>
                <w:sz w:val="13"/>
                <w:szCs w:val="13"/>
              </w:rPr>
              <w:t>F</w:t>
            </w:r>
          </w:p>
        </w:tc>
        <w:tc>
          <w:tcPr>
            <w:tcW w:w="1433" w:type="dxa"/>
            <w:tcBorders>
              <w:top w:val="single" w:sz="4" w:space="0" w:color="A0AEC0"/>
              <w:left w:val="single" w:sz="4" w:space="0" w:color="A0AEC0"/>
              <w:bottom w:val="single" w:sz="4" w:space="0" w:color="A0AEC0"/>
              <w:right w:val="single" w:sz="4" w:space="0" w:color="A0AEC0"/>
            </w:tcBorders>
          </w:tcPr>
          <w:p w14:paraId="3EA51CB0" w14:textId="77777777" w:rsidR="005E660D" w:rsidRDefault="00000000">
            <w:pPr>
              <w:spacing w:after="30"/>
            </w:pPr>
            <w:r>
              <w:rPr>
                <w:color w:val="1A202C"/>
                <w:sz w:val="13"/>
                <w:szCs w:val="13"/>
              </w:rPr>
              <w:t>Safe-Handling Policy Matrix</w:t>
            </w:r>
          </w:p>
        </w:tc>
        <w:tc>
          <w:tcPr>
            <w:tcW w:w="1433" w:type="dxa"/>
            <w:tcBorders>
              <w:top w:val="single" w:sz="4" w:space="0" w:color="A0AEC0"/>
              <w:left w:val="single" w:sz="4" w:space="0" w:color="A0AEC0"/>
              <w:bottom w:val="single" w:sz="4" w:space="0" w:color="A0AEC0"/>
              <w:right w:val="single" w:sz="4" w:space="0" w:color="A0AEC0"/>
            </w:tcBorders>
          </w:tcPr>
          <w:p w14:paraId="5F4A72F6" w14:textId="77777777" w:rsidR="005E660D" w:rsidRDefault="00000000">
            <w:pPr>
              <w:spacing w:after="30"/>
            </w:pPr>
            <w:r>
              <w:rPr>
                <w:color w:val="1A202C"/>
                <w:sz w:val="13"/>
                <w:szCs w:val="13"/>
              </w:rPr>
              <w:t>Possible (control)</w:t>
            </w:r>
          </w:p>
        </w:tc>
      </w:tr>
      <w:tr w:rsidR="005E660D" w14:paraId="328A51C5"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37442DE1" w14:textId="77777777" w:rsidR="005E660D" w:rsidRDefault="00000000">
            <w:pPr>
              <w:spacing w:after="30"/>
            </w:pPr>
            <w:r>
              <w:rPr>
                <w:color w:val="1A202C"/>
                <w:sz w:val="13"/>
                <w:szCs w:val="13"/>
              </w:rPr>
              <w:t>G</w:t>
            </w:r>
          </w:p>
        </w:tc>
        <w:tc>
          <w:tcPr>
            <w:tcW w:w="1433" w:type="dxa"/>
            <w:tcBorders>
              <w:top w:val="single" w:sz="4" w:space="0" w:color="A0AEC0"/>
              <w:left w:val="single" w:sz="4" w:space="0" w:color="A0AEC0"/>
              <w:bottom w:val="single" w:sz="4" w:space="0" w:color="A0AEC0"/>
              <w:right w:val="single" w:sz="4" w:space="0" w:color="A0AEC0"/>
            </w:tcBorders>
          </w:tcPr>
          <w:p w14:paraId="4DA0D42C" w14:textId="77777777" w:rsidR="005E660D" w:rsidRDefault="00000000">
            <w:pPr>
              <w:spacing w:after="30"/>
            </w:pPr>
            <w:r>
              <w:rPr>
                <w:color w:val="1A202C"/>
                <w:sz w:val="13"/>
                <w:szCs w:val="13"/>
              </w:rPr>
              <w:t>Golden replay + Wald SPRT canary</w:t>
            </w:r>
          </w:p>
        </w:tc>
        <w:tc>
          <w:tcPr>
            <w:tcW w:w="1433" w:type="dxa"/>
            <w:tcBorders>
              <w:top w:val="single" w:sz="4" w:space="0" w:color="A0AEC0"/>
              <w:left w:val="single" w:sz="4" w:space="0" w:color="A0AEC0"/>
              <w:bottom w:val="single" w:sz="4" w:space="0" w:color="A0AEC0"/>
              <w:right w:val="single" w:sz="4" w:space="0" w:color="A0AEC0"/>
            </w:tcBorders>
          </w:tcPr>
          <w:p w14:paraId="2DF8881B" w14:textId="77777777" w:rsidR="005E660D" w:rsidRDefault="00000000">
            <w:pPr>
              <w:spacing w:after="30"/>
            </w:pPr>
            <w:r>
              <w:rPr>
                <w:color w:val="1A202C"/>
                <w:sz w:val="13"/>
                <w:szCs w:val="13"/>
              </w:rPr>
              <w:t>Possible (composition)</w:t>
            </w:r>
          </w:p>
        </w:tc>
      </w:tr>
      <w:tr w:rsidR="005E660D" w14:paraId="0CC9C298" w14:textId="77777777">
        <w:tblPrEx>
          <w:tblCellMar>
            <w:top w:w="0" w:type="dxa"/>
            <w:bottom w:w="0" w:type="dxa"/>
          </w:tblCellMar>
        </w:tblPrEx>
        <w:tc>
          <w:tcPr>
            <w:tcW w:w="1433" w:type="dxa"/>
            <w:tcBorders>
              <w:top w:val="single" w:sz="4" w:space="0" w:color="A0AEC0"/>
              <w:left w:val="single" w:sz="4" w:space="0" w:color="A0AEC0"/>
              <w:bottom w:val="single" w:sz="4" w:space="0" w:color="A0AEC0"/>
              <w:right w:val="single" w:sz="4" w:space="0" w:color="A0AEC0"/>
            </w:tcBorders>
          </w:tcPr>
          <w:p w14:paraId="7F6FC3DC" w14:textId="77777777" w:rsidR="005E660D" w:rsidRDefault="00000000">
            <w:pPr>
              <w:spacing w:after="30"/>
            </w:pPr>
            <w:r>
              <w:rPr>
                <w:color w:val="1A202C"/>
                <w:sz w:val="13"/>
                <w:szCs w:val="13"/>
              </w:rPr>
              <w:t>H</w:t>
            </w:r>
          </w:p>
        </w:tc>
        <w:tc>
          <w:tcPr>
            <w:tcW w:w="1433" w:type="dxa"/>
            <w:tcBorders>
              <w:top w:val="single" w:sz="4" w:space="0" w:color="A0AEC0"/>
              <w:left w:val="single" w:sz="4" w:space="0" w:color="A0AEC0"/>
              <w:bottom w:val="single" w:sz="4" w:space="0" w:color="A0AEC0"/>
              <w:right w:val="single" w:sz="4" w:space="0" w:color="A0AEC0"/>
            </w:tcBorders>
          </w:tcPr>
          <w:p w14:paraId="7DB9D231" w14:textId="77777777" w:rsidR="005E660D" w:rsidRDefault="00000000">
            <w:pPr>
              <w:spacing w:after="30"/>
            </w:pPr>
            <w:r>
              <w:rPr>
                <w:color w:val="1A202C"/>
                <w:sz w:val="13"/>
                <w:szCs w:val="13"/>
              </w:rPr>
              <w:t>Closed-loop full pipeline + ledger</w:t>
            </w:r>
          </w:p>
        </w:tc>
        <w:tc>
          <w:tcPr>
            <w:tcW w:w="1433" w:type="dxa"/>
            <w:tcBorders>
              <w:top w:val="single" w:sz="4" w:space="0" w:color="A0AEC0"/>
              <w:left w:val="single" w:sz="4" w:space="0" w:color="A0AEC0"/>
              <w:bottom w:val="single" w:sz="4" w:space="0" w:color="A0AEC0"/>
              <w:right w:val="single" w:sz="4" w:space="0" w:color="A0AEC0"/>
            </w:tcBorders>
          </w:tcPr>
          <w:p w14:paraId="5CC1AAFE" w14:textId="77777777" w:rsidR="005E660D" w:rsidRDefault="00000000">
            <w:pPr>
              <w:spacing w:after="30"/>
            </w:pPr>
            <w:r>
              <w:rPr>
                <w:color w:val="1A202C"/>
                <w:sz w:val="13"/>
                <w:szCs w:val="13"/>
              </w:rPr>
              <w:t>Possible</w:t>
            </w:r>
          </w:p>
        </w:tc>
      </w:tr>
    </w:tbl>
    <w:p w14:paraId="333AFF69" w14:textId="77777777" w:rsidR="005E660D" w:rsidRDefault="00000000">
      <w:pPr>
        <w:spacing w:before="40" w:after="120"/>
        <w:jc w:val="center"/>
      </w:pPr>
      <w:r>
        <w:rPr>
          <w:i/>
          <w:iCs/>
          <w:color w:val="4A5568"/>
          <w:sz w:val="14"/>
          <w:szCs w:val="14"/>
        </w:rPr>
        <w:t>Table 3. Novelty assessment by mechanism (updated).</w:t>
      </w:r>
    </w:p>
    <w:p w14:paraId="79652FD7" w14:textId="77777777" w:rsidR="005E660D" w:rsidRDefault="00000000">
      <w:pPr>
        <w:spacing w:before="140" w:after="60"/>
      </w:pPr>
      <w:r>
        <w:rPr>
          <w:b/>
          <w:bCs/>
          <w:color w:val="1A202C"/>
        </w:rPr>
        <w:t>7.2 Three Levels of Novelty</w:t>
      </w:r>
    </w:p>
    <w:p w14:paraId="39E93CFF" w14:textId="77777777" w:rsidR="005E660D" w:rsidRDefault="00000000">
      <w:pPr>
        <w:spacing w:after="50" w:line="250" w:lineRule="auto"/>
        <w:ind w:left="160"/>
      </w:pPr>
      <w:r>
        <w:rPr>
          <w:color w:val="1A202C"/>
          <w:sz w:val="16"/>
          <w:szCs w:val="16"/>
        </w:rPr>
        <w:t xml:space="preserve">• Level 1 (components): Low. Observation, sketches, Hungarian assignment, </w:t>
      </w:r>
      <w:proofErr w:type="spellStart"/>
      <w:r>
        <w:rPr>
          <w:color w:val="1A202C"/>
          <w:sz w:val="16"/>
          <w:szCs w:val="16"/>
        </w:rPr>
        <w:t>FlashFill</w:t>
      </w:r>
      <w:proofErr w:type="spellEnd"/>
      <w:r>
        <w:rPr>
          <w:color w:val="1A202C"/>
          <w:sz w:val="16"/>
          <w:szCs w:val="16"/>
        </w:rPr>
        <w:t>, SPRT, AST analysis and approval gates are each established.</w:t>
      </w:r>
    </w:p>
    <w:p w14:paraId="43D5E013" w14:textId="77777777" w:rsidR="005E660D" w:rsidRDefault="00000000">
      <w:pPr>
        <w:spacing w:after="50" w:line="250" w:lineRule="auto"/>
        <w:ind w:left="160"/>
      </w:pPr>
      <w:r>
        <w:rPr>
          <w:color w:val="1A202C"/>
          <w:sz w:val="16"/>
          <w:szCs w:val="16"/>
        </w:rPr>
        <w:t xml:space="preserve">• Level 2 (combination): Moderate and contested by the </w:t>
      </w:r>
      <w:proofErr w:type="spellStart"/>
      <w:r>
        <w:rPr>
          <w:color w:val="1A202C"/>
          <w:sz w:val="16"/>
          <w:szCs w:val="16"/>
        </w:rPr>
        <w:t>TDCommons</w:t>
      </w:r>
      <w:proofErr w:type="spellEnd"/>
      <w:r>
        <w:rPr>
          <w:color w:val="1A202C"/>
          <w:sz w:val="16"/>
          <w:szCs w:val="16"/>
        </w:rPr>
        <w:t xml:space="preserve"> fingerprint disclosure and commercial drift monitors.</w:t>
      </w:r>
    </w:p>
    <w:p w14:paraId="7F01FFC8" w14:textId="77777777" w:rsidR="005E660D" w:rsidRDefault="00000000">
      <w:pPr>
        <w:spacing w:after="50" w:line="250" w:lineRule="auto"/>
        <w:ind w:left="160"/>
      </w:pPr>
      <w:r>
        <w:rPr>
          <w:color w:val="1A202C"/>
          <w:sz w:val="16"/>
          <w:szCs w:val="16"/>
        </w:rPr>
        <w:t xml:space="preserve">• Level 3 (specific control logic): The narrowest candidate remains the confidence-and-verdict Safe-Handling Policy together with mandatory golden-replay + SPRT promotion and atomic rollback, applied to live third-party API/MCP behavioural drift. Residual novelty depends on implementation detail and </w:t>
      </w:r>
      <w:proofErr w:type="gramStart"/>
      <w:r>
        <w:rPr>
          <w:color w:val="1A202C"/>
          <w:sz w:val="16"/>
          <w:szCs w:val="16"/>
        </w:rPr>
        <w:t>measured</w:t>
      </w:r>
      <w:proofErr w:type="gramEnd"/>
      <w:r>
        <w:rPr>
          <w:color w:val="1A202C"/>
          <w:sz w:val="16"/>
          <w:szCs w:val="16"/>
        </w:rPr>
        <w:t xml:space="preserve"> technical effect not disclosed in the closest prior art.</w:t>
      </w:r>
    </w:p>
    <w:p w14:paraId="0ABE956B" w14:textId="77777777" w:rsidR="005E660D" w:rsidRDefault="00000000">
      <w:pPr>
        <w:spacing w:before="180" w:after="80"/>
      </w:pPr>
      <w:r>
        <w:rPr>
          <w:b/>
          <w:bCs/>
          <w:color w:val="1A365D"/>
          <w:sz w:val="19"/>
          <w:szCs w:val="19"/>
        </w:rPr>
        <w:t>8. Patentability Assessment (Technical, Non-Legal)</w:t>
      </w:r>
    </w:p>
    <w:p w14:paraId="4C76E3CA" w14:textId="4B7399A9" w:rsidR="005E660D" w:rsidRDefault="00000000">
      <w:pPr>
        <w:spacing w:after="100" w:line="260" w:lineRule="auto"/>
        <w:jc w:val="both"/>
      </w:pPr>
      <w:r>
        <w:rPr>
          <w:color w:val="1A202C"/>
        </w:rPr>
        <w:lastRenderedPageBreak/>
        <w:t xml:space="preserve">Broad claims of “detecting API schema drift from traffic and generating adapters” face high risk from commercial monitors, the </w:t>
      </w:r>
      <w:proofErr w:type="spellStart"/>
      <w:r>
        <w:rPr>
          <w:color w:val="1A202C"/>
        </w:rPr>
        <w:t>TDCommons</w:t>
      </w:r>
      <w:proofErr w:type="spellEnd"/>
      <w:r>
        <w:rPr>
          <w:color w:val="1A202C"/>
        </w:rPr>
        <w:t xml:space="preserve"> disclosure, and API-remediation patents. Narrower claims around (1) the closed-loop control method that uses behavioural-fingerprint similarity, Hungarian assignment and Quantile-Ratio tests for semantic classification, (2) the dual-path Safe-Handling Matrix (auto-apply vs PR vs circuit-break), and (3) mandatory golden-replay + Wald SPRT before promotion with atomic rollback may retain a residual argument</w:t>
      </w:r>
      <w:r w:rsidR="00E04355">
        <w:rPr>
          <w:color w:val="1A202C"/>
        </w:rPr>
        <w:t xml:space="preserve"> </w:t>
      </w:r>
      <w:r>
        <w:rPr>
          <w:color w:val="1A202C"/>
        </w:rPr>
        <w:t>subject to full file-wrapper and non-patent literature review by counsel. A skilled SRE/API engineer would likely view aggregation of known primitives as obvious unless a surprising technical effect is demonstrated. Enablement is supported by the public repository and 551 passing tests. Framing as a technical improvement to reliability of distributed integrations is preferable for eligibility analysis.</w:t>
      </w:r>
    </w:p>
    <w:p w14:paraId="080DA5E3" w14:textId="77777777" w:rsidR="005E660D" w:rsidRDefault="00000000">
      <w:pPr>
        <w:spacing w:before="180" w:after="80"/>
      </w:pPr>
      <w:r>
        <w:rPr>
          <w:b/>
          <w:bCs/>
          <w:color w:val="1A365D"/>
          <w:sz w:val="19"/>
          <w:szCs w:val="19"/>
        </w:rPr>
        <w:t>9. IP Market Boundaries and Competitive Positioning</w:t>
      </w:r>
    </w:p>
    <w:p w14:paraId="0EA19F5A" w14:textId="77777777" w:rsidR="005E660D" w:rsidRDefault="00000000">
      <w:pPr>
        <w:spacing w:after="100" w:line="260" w:lineRule="auto"/>
        <w:jc w:val="both"/>
      </w:pPr>
      <w:r>
        <w:rPr>
          <w:color w:val="1A202C"/>
        </w:rPr>
        <w:t xml:space="preserve">Primary market: API observability and autonomous remediation for third-party and MCP dependencies. Direct competitors: drift monitors and AIOps platforms. Differentiation: closed loop from behavioural model → semantic verdict → policy-gated </w:t>
      </w:r>
      <w:proofErr w:type="spellStart"/>
      <w:r>
        <w:rPr>
          <w:color w:val="1A202C"/>
        </w:rPr>
        <w:t>FlashFill</w:t>
      </w:r>
      <w:proofErr w:type="spellEnd"/>
      <w:r>
        <w:rPr>
          <w:color w:val="1A202C"/>
        </w:rPr>
        <w:t xml:space="preserve"> adapter → SPRT/golden validation; pure monitors stop at alert. Protection boundary: copyright/trade secret for the codebase; patent focus, if any, on the narrow control logic rather than broad “API drift detection”. Commercial boundary: adoption depends on false-positive rate, mixed-version handling, and SDK integration cost. The prototype’s empirical batch results (88% confidence, 90% equivalence) are supportive but not yet enterprise-scale evidence.</w:t>
      </w:r>
    </w:p>
    <w:p w14:paraId="696B07C6" w14:textId="77777777" w:rsidR="005E660D" w:rsidRDefault="00000000">
      <w:pPr>
        <w:spacing w:before="180" w:after="80"/>
      </w:pPr>
      <w:r>
        <w:rPr>
          <w:b/>
          <w:bCs/>
          <w:color w:val="1A365D"/>
          <w:sz w:val="19"/>
          <w:szCs w:val="19"/>
        </w:rPr>
        <w:t>10. Security and Failure-Safe Design</w:t>
      </w:r>
    </w:p>
    <w:p w14:paraId="4A162D17" w14:textId="77777777" w:rsidR="005E660D" w:rsidRDefault="00000000">
      <w:pPr>
        <w:spacing w:after="100" w:line="260" w:lineRule="auto"/>
        <w:jc w:val="both"/>
      </w:pPr>
      <w:r>
        <w:rPr>
          <w:color w:val="1A202C"/>
        </w:rPr>
        <w:t>Risks include observation-channel compromise, fingerprint poisoning, adapter injection, approval bypass, and recovery-loop attacks. Controls include least-privilege identities, signed adapters, SHA-256 tamper-evident ledger, optional MST blockchain approval signatures, and circuit-breakers. Failure modes under incomplete fingerprints, mixed-version rollouts (mitigated by SPRT indecision bounds), and partial adapter application require explicit safe-abort paths partially demonstrated in tests.</w:t>
      </w:r>
    </w:p>
    <w:p w14:paraId="4FCCB65A" w14:textId="77777777" w:rsidR="005E660D" w:rsidRDefault="00000000">
      <w:pPr>
        <w:spacing w:before="180" w:after="80"/>
      </w:pPr>
      <w:r>
        <w:rPr>
          <w:b/>
          <w:bCs/>
          <w:color w:val="1A365D"/>
          <w:sz w:val="19"/>
          <w:szCs w:val="19"/>
        </w:rPr>
        <w:t>11. Experimental Status</w:t>
      </w:r>
    </w:p>
    <w:p w14:paraId="7B7C8338" w14:textId="77777777" w:rsidR="005E660D" w:rsidRDefault="00000000">
      <w:pPr>
        <w:spacing w:after="100" w:line="260" w:lineRule="auto"/>
        <w:jc w:val="both"/>
      </w:pPr>
      <w:r>
        <w:rPr>
          <w:color w:val="1A202C"/>
        </w:rPr>
        <w:t xml:space="preserve">metricsandlogs.md reports 551/551 tests, 0 failures; T-Digest relative error ~0.005% on 10k samples; </w:t>
      </w:r>
      <w:proofErr w:type="spellStart"/>
      <w:r>
        <w:rPr>
          <w:color w:val="1A202C"/>
        </w:rPr>
        <w:t>HyperLogLog</w:t>
      </w:r>
      <w:proofErr w:type="spellEnd"/>
      <w:r>
        <w:rPr>
          <w:color w:val="1A202C"/>
        </w:rPr>
        <w:t xml:space="preserve"> relative error &lt;1% on 20k entities; Hungarian optimal assignment under 4 </w:t>
      </w:r>
      <w:proofErr w:type="spellStart"/>
      <w:r>
        <w:rPr>
          <w:color w:val="1A202C"/>
        </w:rPr>
        <w:t>ms</w:t>
      </w:r>
      <w:proofErr w:type="spellEnd"/>
      <w:r>
        <w:rPr>
          <w:color w:val="1A202C"/>
        </w:rPr>
        <w:t xml:space="preserve"> for 100×100; Quantile-Ratio CV=0.0000 on pure unit shifts and correct rejection of quadratic/additive noise; </w:t>
      </w:r>
      <w:proofErr w:type="spellStart"/>
      <w:r>
        <w:rPr>
          <w:color w:val="1A202C"/>
        </w:rPr>
        <w:t>FlashFill</w:t>
      </w:r>
      <w:proofErr w:type="spellEnd"/>
      <w:r>
        <w:rPr>
          <w:color w:val="1A202C"/>
        </w:rPr>
        <w:t xml:space="preserve"> 100% train/test accuracy with sub-millisecond synthesis; SPRT promote/rollback at designed α/β. 50-sample multi-domain batch: 88% </w:t>
      </w:r>
      <w:proofErr w:type="spellStart"/>
      <w:r>
        <w:rPr>
          <w:color w:val="1A202C"/>
        </w:rPr>
        <w:t>avg</w:t>
      </w:r>
      <w:proofErr w:type="spellEnd"/>
      <w:r>
        <w:rPr>
          <w:color w:val="1A202C"/>
        </w:rPr>
        <w:t xml:space="preserve"> confidence, 90% equivalence, safe-handling distribution 31/14/5. No independent third-party statistical validation against production baselines was located.</w:t>
      </w:r>
    </w:p>
    <w:p w14:paraId="72C2E417" w14:textId="77777777" w:rsidR="005E660D" w:rsidRDefault="00000000">
      <w:pPr>
        <w:spacing w:before="180" w:after="80"/>
      </w:pPr>
      <w:r>
        <w:rPr>
          <w:b/>
          <w:bCs/>
          <w:color w:val="1A365D"/>
          <w:sz w:val="19"/>
          <w:szCs w:val="19"/>
        </w:rPr>
        <w:t>12. Potential Claim Concepts (Non-Legal)</w:t>
      </w:r>
    </w:p>
    <w:p w14:paraId="39B54429" w14:textId="77777777" w:rsidR="005E660D" w:rsidRDefault="00000000">
      <w:pPr>
        <w:spacing w:after="100" w:line="260" w:lineRule="auto"/>
        <w:jc w:val="both"/>
      </w:pPr>
      <w:r>
        <w:rPr>
          <w:color w:val="1A202C"/>
        </w:rPr>
        <w:t>Independent method concept: observing live traffic; inferring structural contracts and behavioural fingerprints via streaming sketches; detecting structural and semantic changes including bipartite rename assignment and unit-scale constancy with confidence and semantic verdict; computing AST impact; synthesising adapters via inductive program synthesis under a policy that auto-applies only high-confidence equivalent changes and otherwise opens a migration proposal or circuit-breaks; validating by golden-workflow replay and sequential probability ratio testing; promoting or rolling back; recording cryptographic audit seals.</w:t>
      </w:r>
    </w:p>
    <w:p w14:paraId="7A04B1D5" w14:textId="77777777" w:rsidR="005E660D" w:rsidRDefault="00000000">
      <w:pPr>
        <w:spacing w:after="100" w:line="260" w:lineRule="auto"/>
        <w:jc w:val="both"/>
      </w:pPr>
      <w:r>
        <w:rPr>
          <w:color w:val="1A202C"/>
        </w:rPr>
        <w:t xml:space="preserve">Dependent concepts: mixed-version SPRT indecision; Quantile-Ratio decision rule; </w:t>
      </w:r>
      <w:proofErr w:type="spellStart"/>
      <w:r>
        <w:rPr>
          <w:color w:val="1A202C"/>
        </w:rPr>
        <w:t>FlashFill</w:t>
      </w:r>
      <w:proofErr w:type="spellEnd"/>
      <w:r>
        <w:rPr>
          <w:color w:val="1A202C"/>
        </w:rPr>
        <w:t xml:space="preserve"> depth-bounded Occam search; atomic rollback handles; MCP observation path; mid-loop re-modelling on validation failure.</w:t>
      </w:r>
    </w:p>
    <w:p w14:paraId="21272986" w14:textId="77777777" w:rsidR="005E660D" w:rsidRDefault="00000000">
      <w:pPr>
        <w:spacing w:before="180" w:after="80"/>
      </w:pPr>
      <w:r>
        <w:rPr>
          <w:b/>
          <w:bCs/>
          <w:color w:val="1A365D"/>
          <w:sz w:val="19"/>
          <w:szCs w:val="19"/>
        </w:rPr>
        <w:t>13. IPR Roadmap</w:t>
      </w:r>
    </w:p>
    <w:p w14:paraId="7670B7F1" w14:textId="77777777" w:rsidR="005E660D" w:rsidRDefault="00000000">
      <w:pPr>
        <w:spacing w:after="50" w:line="250" w:lineRule="auto"/>
        <w:ind w:left="160"/>
      </w:pPr>
      <w:r>
        <w:rPr>
          <w:color w:val="1A202C"/>
          <w:sz w:val="16"/>
          <w:szCs w:val="16"/>
        </w:rPr>
        <w:t>• 1. Freeze architecture, commit hash, inventor contributions and metrics ledger hash.</w:t>
      </w:r>
    </w:p>
    <w:p w14:paraId="5D4D9694" w14:textId="77777777" w:rsidR="005E660D" w:rsidRDefault="00000000">
      <w:pPr>
        <w:spacing w:after="50" w:line="250" w:lineRule="auto"/>
        <w:ind w:left="160"/>
      </w:pPr>
      <w:r>
        <w:rPr>
          <w:color w:val="1A202C"/>
          <w:sz w:val="16"/>
          <w:szCs w:val="16"/>
        </w:rPr>
        <w:t xml:space="preserve">• 2. Expanded prior-art search focused on </w:t>
      </w:r>
      <w:proofErr w:type="spellStart"/>
      <w:r>
        <w:rPr>
          <w:color w:val="1A202C"/>
          <w:sz w:val="16"/>
          <w:szCs w:val="16"/>
        </w:rPr>
        <w:t>TDCommons</w:t>
      </w:r>
      <w:proofErr w:type="spellEnd"/>
      <w:r>
        <w:rPr>
          <w:color w:val="1A202C"/>
          <w:sz w:val="16"/>
          <w:szCs w:val="16"/>
        </w:rPr>
        <w:t xml:space="preserve"> fingerprint family, API-remediation patents, and combinations of PBE + SPRT in canary contexts.</w:t>
      </w:r>
    </w:p>
    <w:p w14:paraId="049699B0" w14:textId="77777777" w:rsidR="005E660D" w:rsidRDefault="00000000">
      <w:pPr>
        <w:spacing w:after="50" w:line="250" w:lineRule="auto"/>
        <w:ind w:left="160"/>
      </w:pPr>
      <w:r>
        <w:rPr>
          <w:color w:val="1A202C"/>
          <w:sz w:val="16"/>
          <w:szCs w:val="16"/>
        </w:rPr>
        <w:t>• 3. Written counsel opinion on residual novelty for the narrow Safe-Handling + SPRT + golden-replay control claims.</w:t>
      </w:r>
    </w:p>
    <w:p w14:paraId="2092BA53" w14:textId="77777777" w:rsidR="005E660D" w:rsidRDefault="00000000">
      <w:pPr>
        <w:spacing w:after="50" w:line="250" w:lineRule="auto"/>
        <w:ind w:left="160"/>
      </w:pPr>
      <w:r>
        <w:rPr>
          <w:color w:val="1A202C"/>
          <w:sz w:val="16"/>
          <w:szCs w:val="16"/>
        </w:rPr>
        <w:t>• 4. Provisional only if residual novelty is supported, stressing behavioural-fingerprint semantic classification, policy matrix and SPRT promotion.</w:t>
      </w:r>
    </w:p>
    <w:p w14:paraId="3802BD46" w14:textId="77777777" w:rsidR="005E660D" w:rsidRDefault="00000000">
      <w:pPr>
        <w:spacing w:after="50" w:line="250" w:lineRule="auto"/>
        <w:ind w:left="160"/>
      </w:pPr>
      <w:r>
        <w:rPr>
          <w:color w:val="1A202C"/>
          <w:sz w:val="16"/>
          <w:szCs w:val="16"/>
        </w:rPr>
        <w:t>• 5. Attach controlled experimental data and audit ledger evidence to the complete specification.</w:t>
      </w:r>
    </w:p>
    <w:p w14:paraId="5C23E5F8" w14:textId="77777777" w:rsidR="005E660D" w:rsidRDefault="00000000">
      <w:pPr>
        <w:spacing w:after="50" w:line="250" w:lineRule="auto"/>
        <w:ind w:left="160"/>
      </w:pPr>
      <w:r>
        <w:rPr>
          <w:color w:val="1A202C"/>
          <w:sz w:val="16"/>
          <w:szCs w:val="16"/>
        </w:rPr>
        <w:t>• 6. Open-source licence and third-party IP review before commercial release.</w:t>
      </w:r>
    </w:p>
    <w:p w14:paraId="683A3621" w14:textId="77777777" w:rsidR="005E660D" w:rsidRDefault="00000000">
      <w:pPr>
        <w:spacing w:before="180" w:after="80"/>
      </w:pPr>
      <w:r>
        <w:rPr>
          <w:b/>
          <w:bCs/>
          <w:color w:val="1A365D"/>
          <w:sz w:val="19"/>
          <w:szCs w:val="19"/>
        </w:rPr>
        <w:t>14. Conclusion and Verdict</w:t>
      </w:r>
    </w:p>
    <w:p w14:paraId="1C3B846E" w14:textId="60BBD98F" w:rsidR="005E660D" w:rsidRDefault="00000000">
      <w:pPr>
        <w:spacing w:after="100" w:line="260" w:lineRule="auto"/>
        <w:jc w:val="both"/>
      </w:pPr>
      <w:r>
        <w:rPr>
          <w:color w:val="1A202C"/>
        </w:rPr>
        <w:t xml:space="preserve">Intra is a coherent, working prototype of behaviour-first, policy-gated autonomous adaptation for third-party API and MCP dependencies. The engineering is real: streaming sketches, Hungarian matching, Quantile-Ratio tests, </w:t>
      </w:r>
      <w:proofErr w:type="spellStart"/>
      <w:r>
        <w:rPr>
          <w:color w:val="1A202C"/>
        </w:rPr>
        <w:t>FlashFill</w:t>
      </w:r>
      <w:proofErr w:type="spellEnd"/>
      <w:r>
        <w:rPr>
          <w:color w:val="1A202C"/>
        </w:rPr>
        <w:t xml:space="preserve"> synthesis, Safe-Handling Matrix, AST impact, golden replay and Wald SPRT exist in code with 551 passing tests and published batch metrics. Against the strongest prior </w:t>
      </w:r>
      <w:proofErr w:type="gramStart"/>
      <w:r>
        <w:rPr>
          <w:color w:val="1A202C"/>
        </w:rPr>
        <w:t>art</w:t>
      </w:r>
      <w:proofErr w:type="gramEnd"/>
      <w:r>
        <w:rPr>
          <w:color w:val="1A202C"/>
        </w:rPr>
        <w:t xml:space="preserve"> the research contribution is narrower than product messaging might suggest. The combination of behavioural-fingerprint-driven semantic classification, mandatory confidence/verdict gates and golden-replay/SPRT promotion remains the most defensible technical ground</w:t>
      </w:r>
      <w:r w:rsidR="00E04355">
        <w:rPr>
          <w:color w:val="1A202C"/>
        </w:rPr>
        <w:t xml:space="preserve"> </w:t>
      </w:r>
      <w:r>
        <w:rPr>
          <w:color w:val="1A202C"/>
        </w:rPr>
        <w:t>and even that is contested.</w:t>
      </w:r>
    </w:p>
    <w:p w14:paraId="32542DC7" w14:textId="77777777" w:rsidR="005E660D" w:rsidRDefault="00000000">
      <w:pPr>
        <w:spacing w:after="100" w:line="260" w:lineRule="auto"/>
        <w:jc w:val="both"/>
      </w:pPr>
      <w:r>
        <w:rPr>
          <w:b/>
          <w:bCs/>
          <w:color w:val="1A202C"/>
        </w:rPr>
        <w:t xml:space="preserve">What is strong: </w:t>
      </w:r>
      <w:r>
        <w:rPr>
          <w:color w:val="1A202C"/>
        </w:rPr>
        <w:t>deterministic, inspectable control path; separation of deterministic synthesis from optional LLM assistance; empirical batch results and cryptographic auditability.</w:t>
      </w:r>
    </w:p>
    <w:p w14:paraId="626CFF83" w14:textId="77777777" w:rsidR="005E660D" w:rsidRDefault="00000000">
      <w:pPr>
        <w:spacing w:after="100" w:line="260" w:lineRule="auto"/>
        <w:jc w:val="both"/>
      </w:pPr>
      <w:r>
        <w:rPr>
          <w:b/>
          <w:bCs/>
          <w:color w:val="1A202C"/>
        </w:rPr>
        <w:t xml:space="preserve">What is known: </w:t>
      </w:r>
      <w:r>
        <w:rPr>
          <w:color w:val="1A202C"/>
        </w:rPr>
        <w:t>traffic-based inference, structural/behavioural drift detection, impact graphs, PBE adapters, sequential canary testing, approval gates.</w:t>
      </w:r>
    </w:p>
    <w:p w14:paraId="0A9324BA" w14:textId="77777777" w:rsidR="005E660D" w:rsidRDefault="00000000">
      <w:pPr>
        <w:spacing w:after="100" w:line="260" w:lineRule="auto"/>
        <w:jc w:val="both"/>
      </w:pPr>
      <w:r>
        <w:rPr>
          <w:b/>
          <w:bCs/>
          <w:color w:val="1A202C"/>
        </w:rPr>
        <w:t xml:space="preserve">What not to claim as novel: </w:t>
      </w:r>
      <w:r>
        <w:rPr>
          <w:color w:val="1A202C"/>
        </w:rPr>
        <w:t>mere API monitoring, mere use of T-Digest/HLL/Hungarian/</w:t>
      </w:r>
      <w:proofErr w:type="spellStart"/>
      <w:r>
        <w:rPr>
          <w:color w:val="1A202C"/>
        </w:rPr>
        <w:t>FlashFill</w:t>
      </w:r>
      <w:proofErr w:type="spellEnd"/>
      <w:r>
        <w:rPr>
          <w:color w:val="1A202C"/>
        </w:rPr>
        <w:t>/SPRT in isolation, or “AI-powered API repair” without specific non-obvious control logic.</w:t>
      </w:r>
    </w:p>
    <w:p w14:paraId="49F4A8C5" w14:textId="77777777" w:rsidR="005E660D" w:rsidRDefault="00000000">
      <w:pPr>
        <w:spacing w:after="100" w:line="260" w:lineRule="auto"/>
        <w:jc w:val="both"/>
      </w:pPr>
      <w:r>
        <w:rPr>
          <w:b/>
          <w:bCs/>
          <w:color w:val="1A202C"/>
        </w:rPr>
        <w:t xml:space="preserve">What to strengthen: </w:t>
      </w:r>
      <w:r>
        <w:rPr>
          <w:color w:val="1A202C"/>
        </w:rPr>
        <w:t>measured technical effect vs baselines; formal mixed-version and incomplete-fingerprint treatment; counsel-reviewed claim scope around the closest fingerprint and remediation disclosures.</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150"/>
      </w:tblGrid>
      <w:tr w:rsidR="005E660D" w14:paraId="7535137F"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shd w:val="clear" w:color="auto" w:fill="E2E8F0"/>
          </w:tcPr>
          <w:p w14:paraId="49FB660E" w14:textId="77777777" w:rsidR="005E660D" w:rsidRDefault="00000000">
            <w:pPr>
              <w:spacing w:after="30"/>
            </w:pPr>
            <w:r>
              <w:rPr>
                <w:b/>
                <w:bCs/>
                <w:color w:val="1A202C"/>
                <w:sz w:val="13"/>
                <w:szCs w:val="13"/>
              </w:rPr>
              <w:t>Dimension</w:t>
            </w:r>
          </w:p>
        </w:tc>
        <w:tc>
          <w:tcPr>
            <w:tcW w:w="2150" w:type="dxa"/>
            <w:tcBorders>
              <w:top w:val="single" w:sz="4" w:space="0" w:color="A0AEC0"/>
              <w:left w:val="single" w:sz="4" w:space="0" w:color="A0AEC0"/>
              <w:bottom w:val="single" w:sz="4" w:space="0" w:color="A0AEC0"/>
              <w:right w:val="single" w:sz="4" w:space="0" w:color="A0AEC0"/>
            </w:tcBorders>
            <w:shd w:val="clear" w:color="auto" w:fill="E2E8F0"/>
          </w:tcPr>
          <w:p w14:paraId="4C8714C8" w14:textId="77777777" w:rsidR="005E660D" w:rsidRDefault="00000000">
            <w:pPr>
              <w:spacing w:after="30"/>
            </w:pPr>
            <w:r>
              <w:rPr>
                <w:b/>
                <w:bCs/>
                <w:color w:val="1A202C"/>
                <w:sz w:val="13"/>
                <w:szCs w:val="13"/>
              </w:rPr>
              <w:t>Rating</w:t>
            </w:r>
          </w:p>
        </w:tc>
      </w:tr>
      <w:tr w:rsidR="005E660D" w14:paraId="14901BB7"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1039DCFC" w14:textId="77777777" w:rsidR="005E660D" w:rsidRDefault="00000000">
            <w:pPr>
              <w:spacing w:after="30"/>
            </w:pPr>
            <w:r>
              <w:rPr>
                <w:color w:val="1A202C"/>
                <w:sz w:val="13"/>
                <w:szCs w:val="13"/>
              </w:rPr>
              <w:t>Overall technical differentiation</w:t>
            </w:r>
          </w:p>
        </w:tc>
        <w:tc>
          <w:tcPr>
            <w:tcW w:w="2150" w:type="dxa"/>
            <w:tcBorders>
              <w:top w:val="single" w:sz="4" w:space="0" w:color="A0AEC0"/>
              <w:left w:val="single" w:sz="4" w:space="0" w:color="A0AEC0"/>
              <w:bottom w:val="single" w:sz="4" w:space="0" w:color="A0AEC0"/>
              <w:right w:val="single" w:sz="4" w:space="0" w:color="A0AEC0"/>
            </w:tcBorders>
          </w:tcPr>
          <w:p w14:paraId="16DF6E1D" w14:textId="77777777" w:rsidR="005E660D" w:rsidRDefault="00000000">
            <w:pPr>
              <w:spacing w:after="30"/>
            </w:pPr>
            <w:r>
              <w:rPr>
                <w:color w:val="1A202C"/>
                <w:sz w:val="13"/>
                <w:szCs w:val="13"/>
              </w:rPr>
              <w:t>6 / 10</w:t>
            </w:r>
          </w:p>
        </w:tc>
      </w:tr>
      <w:tr w:rsidR="005E660D" w14:paraId="76481334"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7783F266" w14:textId="77777777" w:rsidR="005E660D" w:rsidRDefault="00000000">
            <w:pPr>
              <w:spacing w:after="30"/>
            </w:pPr>
            <w:r>
              <w:rPr>
                <w:color w:val="1A202C"/>
                <w:sz w:val="13"/>
                <w:szCs w:val="13"/>
              </w:rPr>
              <w:t>Novelty potential (narrow claims)</w:t>
            </w:r>
          </w:p>
        </w:tc>
        <w:tc>
          <w:tcPr>
            <w:tcW w:w="2150" w:type="dxa"/>
            <w:tcBorders>
              <w:top w:val="single" w:sz="4" w:space="0" w:color="A0AEC0"/>
              <w:left w:val="single" w:sz="4" w:space="0" w:color="A0AEC0"/>
              <w:bottom w:val="single" w:sz="4" w:space="0" w:color="A0AEC0"/>
              <w:right w:val="single" w:sz="4" w:space="0" w:color="A0AEC0"/>
            </w:tcBorders>
          </w:tcPr>
          <w:p w14:paraId="1BF738BB" w14:textId="77777777" w:rsidR="005E660D" w:rsidRDefault="00000000">
            <w:pPr>
              <w:spacing w:after="30"/>
            </w:pPr>
            <w:r>
              <w:rPr>
                <w:color w:val="1A202C"/>
                <w:sz w:val="13"/>
                <w:szCs w:val="13"/>
              </w:rPr>
              <w:t>4–5 / 10</w:t>
            </w:r>
          </w:p>
        </w:tc>
      </w:tr>
      <w:tr w:rsidR="005E660D" w14:paraId="07E7DF43"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4615B7B6" w14:textId="77777777" w:rsidR="005E660D" w:rsidRDefault="00000000">
            <w:pPr>
              <w:spacing w:after="30"/>
            </w:pPr>
            <w:r>
              <w:rPr>
                <w:color w:val="1A202C"/>
                <w:sz w:val="13"/>
                <w:szCs w:val="13"/>
              </w:rPr>
              <w:t>Patentability risk</w:t>
            </w:r>
          </w:p>
        </w:tc>
        <w:tc>
          <w:tcPr>
            <w:tcW w:w="2150" w:type="dxa"/>
            <w:tcBorders>
              <w:top w:val="single" w:sz="4" w:space="0" w:color="A0AEC0"/>
              <w:left w:val="single" w:sz="4" w:space="0" w:color="A0AEC0"/>
              <w:bottom w:val="single" w:sz="4" w:space="0" w:color="A0AEC0"/>
              <w:right w:val="single" w:sz="4" w:space="0" w:color="A0AEC0"/>
            </w:tcBorders>
          </w:tcPr>
          <w:p w14:paraId="4A35AAD7" w14:textId="77777777" w:rsidR="005E660D" w:rsidRDefault="00000000">
            <w:pPr>
              <w:spacing w:after="30"/>
            </w:pPr>
            <w:r>
              <w:rPr>
                <w:color w:val="1A202C"/>
                <w:sz w:val="13"/>
                <w:szCs w:val="13"/>
              </w:rPr>
              <w:t>High (broad); Medium (narrow control)</w:t>
            </w:r>
          </w:p>
        </w:tc>
      </w:tr>
      <w:tr w:rsidR="005E660D" w14:paraId="15C2BDF3"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656CC90E" w14:textId="77777777" w:rsidR="005E660D" w:rsidRDefault="00000000">
            <w:pPr>
              <w:spacing w:after="30"/>
            </w:pPr>
            <w:r>
              <w:rPr>
                <w:color w:val="1A202C"/>
                <w:sz w:val="13"/>
                <w:szCs w:val="13"/>
              </w:rPr>
              <w:t>Implementation readiness</w:t>
            </w:r>
          </w:p>
        </w:tc>
        <w:tc>
          <w:tcPr>
            <w:tcW w:w="2150" w:type="dxa"/>
            <w:tcBorders>
              <w:top w:val="single" w:sz="4" w:space="0" w:color="A0AEC0"/>
              <w:left w:val="single" w:sz="4" w:space="0" w:color="A0AEC0"/>
              <w:bottom w:val="single" w:sz="4" w:space="0" w:color="A0AEC0"/>
              <w:right w:val="single" w:sz="4" w:space="0" w:color="A0AEC0"/>
            </w:tcBorders>
          </w:tcPr>
          <w:p w14:paraId="196A1560" w14:textId="77777777" w:rsidR="005E660D" w:rsidRDefault="00000000">
            <w:pPr>
              <w:spacing w:after="30"/>
            </w:pPr>
            <w:r>
              <w:rPr>
                <w:color w:val="1A202C"/>
                <w:sz w:val="13"/>
                <w:szCs w:val="13"/>
              </w:rPr>
              <w:t>8 / 10 (551 tests, metrics)</w:t>
            </w:r>
          </w:p>
        </w:tc>
      </w:tr>
      <w:tr w:rsidR="005E660D" w14:paraId="5BA2B246"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6AFDBDFC" w14:textId="77777777" w:rsidR="005E660D" w:rsidRDefault="00000000">
            <w:pPr>
              <w:spacing w:after="30"/>
            </w:pPr>
            <w:r>
              <w:rPr>
                <w:color w:val="1A202C"/>
                <w:sz w:val="13"/>
                <w:szCs w:val="13"/>
              </w:rPr>
              <w:t>Enterprise potential (with hardening)</w:t>
            </w:r>
          </w:p>
        </w:tc>
        <w:tc>
          <w:tcPr>
            <w:tcW w:w="2150" w:type="dxa"/>
            <w:tcBorders>
              <w:top w:val="single" w:sz="4" w:space="0" w:color="A0AEC0"/>
              <w:left w:val="single" w:sz="4" w:space="0" w:color="A0AEC0"/>
              <w:bottom w:val="single" w:sz="4" w:space="0" w:color="A0AEC0"/>
              <w:right w:val="single" w:sz="4" w:space="0" w:color="A0AEC0"/>
            </w:tcBorders>
          </w:tcPr>
          <w:p w14:paraId="236E5AEB" w14:textId="77777777" w:rsidR="005E660D" w:rsidRDefault="00000000">
            <w:pPr>
              <w:spacing w:after="30"/>
            </w:pPr>
            <w:r>
              <w:rPr>
                <w:color w:val="1A202C"/>
                <w:sz w:val="13"/>
                <w:szCs w:val="13"/>
              </w:rPr>
              <w:t>7 / 10</w:t>
            </w:r>
          </w:p>
        </w:tc>
      </w:tr>
      <w:tr w:rsidR="005E660D" w14:paraId="4D006DD4" w14:textId="77777777">
        <w:tblPrEx>
          <w:tblCellMar>
            <w:top w:w="0" w:type="dxa"/>
            <w:bottom w:w="0" w:type="dxa"/>
          </w:tblCellMar>
        </w:tblPrEx>
        <w:tc>
          <w:tcPr>
            <w:tcW w:w="2150" w:type="dxa"/>
            <w:tcBorders>
              <w:top w:val="single" w:sz="4" w:space="0" w:color="A0AEC0"/>
              <w:left w:val="single" w:sz="4" w:space="0" w:color="A0AEC0"/>
              <w:bottom w:val="single" w:sz="4" w:space="0" w:color="A0AEC0"/>
              <w:right w:val="single" w:sz="4" w:space="0" w:color="A0AEC0"/>
            </w:tcBorders>
          </w:tcPr>
          <w:p w14:paraId="0B9E1D85" w14:textId="77777777" w:rsidR="005E660D" w:rsidRDefault="00000000">
            <w:pPr>
              <w:spacing w:after="30"/>
            </w:pPr>
            <w:r>
              <w:rPr>
                <w:color w:val="1A202C"/>
                <w:sz w:val="13"/>
                <w:szCs w:val="13"/>
              </w:rPr>
              <w:t>Demo / hackathon impact</w:t>
            </w:r>
          </w:p>
        </w:tc>
        <w:tc>
          <w:tcPr>
            <w:tcW w:w="2150" w:type="dxa"/>
            <w:tcBorders>
              <w:top w:val="single" w:sz="4" w:space="0" w:color="A0AEC0"/>
              <w:left w:val="single" w:sz="4" w:space="0" w:color="A0AEC0"/>
              <w:bottom w:val="single" w:sz="4" w:space="0" w:color="A0AEC0"/>
              <w:right w:val="single" w:sz="4" w:space="0" w:color="A0AEC0"/>
            </w:tcBorders>
          </w:tcPr>
          <w:p w14:paraId="4BDF34FB" w14:textId="77777777" w:rsidR="005E660D" w:rsidRDefault="00000000">
            <w:pPr>
              <w:spacing w:after="30"/>
            </w:pPr>
            <w:r>
              <w:rPr>
                <w:color w:val="1A202C"/>
                <w:sz w:val="13"/>
                <w:szCs w:val="13"/>
              </w:rPr>
              <w:t>9 / 10</w:t>
            </w:r>
          </w:p>
        </w:tc>
      </w:tr>
    </w:tbl>
    <w:p w14:paraId="24824665" w14:textId="77777777" w:rsidR="005E660D" w:rsidRDefault="00000000">
      <w:pPr>
        <w:spacing w:before="40" w:after="120"/>
        <w:jc w:val="center"/>
      </w:pPr>
      <w:r>
        <w:rPr>
          <w:i/>
          <w:iCs/>
          <w:color w:val="4A5568"/>
          <w:sz w:val="14"/>
          <w:szCs w:val="14"/>
        </w:rPr>
        <w:t>Table 4. Overall assessment (technical research view only).</w:t>
      </w:r>
    </w:p>
    <w:p w14:paraId="34D34524" w14:textId="77777777" w:rsidR="005E660D" w:rsidRDefault="00000000">
      <w:pPr>
        <w:spacing w:after="100" w:line="260" w:lineRule="auto"/>
        <w:jc w:val="both"/>
      </w:pPr>
      <w:r>
        <w:rPr>
          <w:color w:val="1A202C"/>
        </w:rPr>
        <w:t>Patent counsel must review this paper before any filing decision. Nothing herein is legal advice.</w:t>
      </w:r>
    </w:p>
    <w:p w14:paraId="2810559D" w14:textId="77777777" w:rsidR="005E660D" w:rsidRDefault="00000000">
      <w:pPr>
        <w:spacing w:before="180" w:after="80"/>
      </w:pPr>
      <w:r>
        <w:rPr>
          <w:b/>
          <w:bCs/>
          <w:color w:val="1A365D"/>
          <w:sz w:val="19"/>
          <w:szCs w:val="19"/>
        </w:rPr>
        <w:t>References</w:t>
      </w:r>
    </w:p>
    <w:p w14:paraId="15B13238" w14:textId="43F9FB1C" w:rsidR="005E660D" w:rsidRDefault="00000000">
      <w:pPr>
        <w:spacing w:after="100" w:line="260" w:lineRule="auto"/>
        <w:jc w:val="both"/>
      </w:pPr>
      <w:r>
        <w:rPr>
          <w:color w:val="1A202C"/>
        </w:rPr>
        <w:t>[1]</w:t>
      </w:r>
      <w:r w:rsidR="00E04355">
        <w:rPr>
          <w:color w:val="1A202C"/>
        </w:rPr>
        <w:t xml:space="preserve"> </w:t>
      </w:r>
      <w:hyperlink r:id="rId12" w:history="1">
        <w:r w:rsidRPr="00E04355">
          <w:rPr>
            <w:rStyle w:val="Hyperlink"/>
          </w:rPr>
          <w:t>Precise-Goals/Intra</w:t>
        </w:r>
      </w:hyperlink>
      <w:r>
        <w:rPr>
          <w:color w:val="1A202C"/>
        </w:rPr>
        <w:t xml:space="preserve"> source, docs/lock.md, explain.md, guide.md, metricsandlogs.md, Pitch.md, inspected October 2026.</w:t>
      </w:r>
    </w:p>
    <w:p w14:paraId="49E03B13" w14:textId="4E1C9108" w:rsidR="005E660D" w:rsidRDefault="00000000">
      <w:pPr>
        <w:spacing w:after="100" w:line="260" w:lineRule="auto"/>
        <w:jc w:val="both"/>
      </w:pPr>
      <w:r>
        <w:rPr>
          <w:color w:val="1A202C"/>
        </w:rPr>
        <w:t>[2]</w:t>
      </w:r>
      <w:r w:rsidR="00E04355">
        <w:rPr>
          <w:color w:val="1A202C"/>
        </w:rPr>
        <w:t xml:space="preserve"> </w:t>
      </w:r>
      <w:hyperlink r:id="rId13" w:history="1">
        <w:r w:rsidR="00E04355" w:rsidRPr="00E04355">
          <w:rPr>
            <w:rStyle w:val="Hyperlink"/>
          </w:rPr>
          <w:t>Article</w:t>
        </w:r>
      </w:hyperlink>
      <w:r w:rsidR="00E04355">
        <w:rPr>
          <w:color w:val="1A202C"/>
        </w:rPr>
        <w:t xml:space="preserve"> -</w:t>
      </w:r>
      <w:r>
        <w:rPr>
          <w:color w:val="1A202C"/>
        </w:rPr>
        <w:t xml:space="preserve"> Agrawal &amp; Shinde, “Systems and Methods for Detecting Silent Backward-Incompatible API Contract Drift Using Runtime Structural-Semantic Fingerprints,” Technical Disclosure Commons, 2026.</w:t>
      </w:r>
    </w:p>
    <w:p w14:paraId="3A47329A" w14:textId="3229FF8F" w:rsidR="005E660D" w:rsidRDefault="00000000">
      <w:pPr>
        <w:spacing w:after="100" w:line="260" w:lineRule="auto"/>
        <w:jc w:val="both"/>
      </w:pPr>
      <w:r>
        <w:rPr>
          <w:color w:val="1A202C"/>
        </w:rPr>
        <w:t xml:space="preserve">[3] Dunning &amp; Ertl, “Computing Extremely Accurate Quantiles Using t-Digests,” </w:t>
      </w:r>
      <w:hyperlink r:id="rId14" w:history="1">
        <w:r w:rsidRPr="00E04355">
          <w:rPr>
            <w:rStyle w:val="Hyperlink"/>
          </w:rPr>
          <w:t>arXiv:1902.04023</w:t>
        </w:r>
      </w:hyperlink>
      <w:r>
        <w:rPr>
          <w:color w:val="1A202C"/>
        </w:rPr>
        <w:t>.</w:t>
      </w:r>
    </w:p>
    <w:p w14:paraId="586D0A99" w14:textId="5030C6F1" w:rsidR="005E660D" w:rsidRDefault="00000000">
      <w:pPr>
        <w:spacing w:after="100" w:line="260" w:lineRule="auto"/>
        <w:jc w:val="both"/>
      </w:pPr>
      <w:r>
        <w:rPr>
          <w:color w:val="1A202C"/>
        </w:rPr>
        <w:t xml:space="preserve">[4] </w:t>
      </w:r>
      <w:hyperlink r:id="rId15" w:history="1">
        <w:proofErr w:type="spellStart"/>
        <w:r w:rsidRPr="00E04355">
          <w:rPr>
            <w:rStyle w:val="Hyperlink"/>
          </w:rPr>
          <w:t>Flajolet</w:t>
        </w:r>
        <w:proofErr w:type="spellEnd"/>
        <w:r w:rsidRPr="00E04355">
          <w:rPr>
            <w:rStyle w:val="Hyperlink"/>
          </w:rPr>
          <w:t xml:space="preserve"> et al., “</w:t>
        </w:r>
        <w:proofErr w:type="spellStart"/>
        <w:r w:rsidRPr="00E04355">
          <w:rPr>
            <w:rStyle w:val="Hyperlink"/>
          </w:rPr>
          <w:t>HyperLogLog</w:t>
        </w:r>
        <w:proofErr w:type="spellEnd"/>
        <w:r w:rsidRPr="00E04355">
          <w:rPr>
            <w:rStyle w:val="Hyperlink"/>
          </w:rPr>
          <w:t>: near-optimal cardinality estimation,” AOFA 2007.</w:t>
        </w:r>
      </w:hyperlink>
    </w:p>
    <w:p w14:paraId="6A3C6273" w14:textId="32321684" w:rsidR="005E660D" w:rsidRDefault="00000000">
      <w:pPr>
        <w:spacing w:after="100" w:line="260" w:lineRule="auto"/>
        <w:jc w:val="both"/>
      </w:pPr>
      <w:r>
        <w:rPr>
          <w:color w:val="1A202C"/>
        </w:rPr>
        <w:t>[5] Kuhn, “</w:t>
      </w:r>
      <w:hyperlink r:id="rId16" w:history="1">
        <w:r w:rsidRPr="00CA6CEF">
          <w:rPr>
            <w:rStyle w:val="Hyperlink"/>
          </w:rPr>
          <w:t>The Hungarian Method for the Assignment Problem</w:t>
        </w:r>
      </w:hyperlink>
      <w:r>
        <w:rPr>
          <w:color w:val="1A202C"/>
        </w:rPr>
        <w:t>,” Naval Research Logistics, 1955.</w:t>
      </w:r>
    </w:p>
    <w:p w14:paraId="2999D1EF" w14:textId="261EB5F7" w:rsidR="005E660D" w:rsidRDefault="00000000">
      <w:pPr>
        <w:spacing w:after="100" w:line="260" w:lineRule="auto"/>
        <w:jc w:val="both"/>
      </w:pPr>
      <w:r>
        <w:rPr>
          <w:color w:val="1A202C"/>
        </w:rPr>
        <w:t xml:space="preserve">[6] </w:t>
      </w:r>
      <w:proofErr w:type="spellStart"/>
      <w:r>
        <w:rPr>
          <w:color w:val="1A202C"/>
        </w:rPr>
        <w:t>Gulwani</w:t>
      </w:r>
      <w:proofErr w:type="spellEnd"/>
      <w:r>
        <w:rPr>
          <w:color w:val="1A202C"/>
        </w:rPr>
        <w:t>, “</w:t>
      </w:r>
      <w:hyperlink r:id="rId17" w:history="1">
        <w:r w:rsidRPr="00CA6CEF">
          <w:rPr>
            <w:rStyle w:val="Hyperlink"/>
          </w:rPr>
          <w:t>Automating String Processing in Spreadsheets using Input-Output Examples</w:t>
        </w:r>
      </w:hyperlink>
      <w:r>
        <w:rPr>
          <w:color w:val="1A202C"/>
        </w:rPr>
        <w:t xml:space="preserve">,” POPL 2011; </w:t>
      </w:r>
      <w:proofErr w:type="spellStart"/>
      <w:r>
        <w:rPr>
          <w:color w:val="1A202C"/>
        </w:rPr>
        <w:t>FlashFill</w:t>
      </w:r>
      <w:proofErr w:type="spellEnd"/>
      <w:r>
        <w:rPr>
          <w:color w:val="1A202C"/>
        </w:rPr>
        <w:t xml:space="preserve"> / PROSE literature.</w:t>
      </w:r>
    </w:p>
    <w:p w14:paraId="0D1796D8" w14:textId="176CC6AF" w:rsidR="005E660D" w:rsidRDefault="00000000">
      <w:pPr>
        <w:spacing w:after="100" w:line="260" w:lineRule="auto"/>
        <w:jc w:val="both"/>
      </w:pPr>
      <w:r>
        <w:rPr>
          <w:color w:val="1A202C"/>
        </w:rPr>
        <w:t>[7] Wald, “</w:t>
      </w:r>
      <w:hyperlink r:id="rId18" w:history="1">
        <w:r w:rsidRPr="00CA6CEF">
          <w:rPr>
            <w:rStyle w:val="Hyperlink"/>
          </w:rPr>
          <w:t>Sequential Tests of Statistical Hypotheses</w:t>
        </w:r>
      </w:hyperlink>
      <w:r>
        <w:rPr>
          <w:color w:val="1A202C"/>
        </w:rPr>
        <w:t>,” Ann. Math. Stat. 1945; recent SPRT canary / progressive-delivery applications.</w:t>
      </w:r>
    </w:p>
    <w:p w14:paraId="5D0287DA" w14:textId="77777777" w:rsidR="005E660D" w:rsidRDefault="00000000">
      <w:pPr>
        <w:spacing w:after="100" w:line="260" w:lineRule="auto"/>
        <w:jc w:val="both"/>
      </w:pPr>
      <w:r>
        <w:rPr>
          <w:color w:val="1A202C"/>
        </w:rPr>
        <w:t>[8] Commercial API drift monitors (</w:t>
      </w:r>
      <w:proofErr w:type="spellStart"/>
      <w:r>
        <w:rPr>
          <w:color w:val="1A202C"/>
        </w:rPr>
        <w:t>FlareCanary</w:t>
      </w:r>
      <w:proofErr w:type="spellEnd"/>
      <w:r>
        <w:rPr>
          <w:color w:val="1A202C"/>
        </w:rPr>
        <w:t xml:space="preserve">, DriftGuard, </w:t>
      </w:r>
      <w:proofErr w:type="spellStart"/>
      <w:r>
        <w:rPr>
          <w:color w:val="1A202C"/>
        </w:rPr>
        <w:t>DiffMon</w:t>
      </w:r>
      <w:proofErr w:type="spellEnd"/>
      <w:r>
        <w:rPr>
          <w:color w:val="1A202C"/>
        </w:rPr>
        <w:t xml:space="preserve">, </w:t>
      </w:r>
      <w:proofErr w:type="spellStart"/>
      <w:r>
        <w:rPr>
          <w:color w:val="1A202C"/>
        </w:rPr>
        <w:t>Beeceptor</w:t>
      </w:r>
      <w:proofErr w:type="spellEnd"/>
      <w:r>
        <w:rPr>
          <w:color w:val="1A202C"/>
        </w:rPr>
        <w:t xml:space="preserve"> et al.) and API-remediation / impact-analysis patents, 2017–2026.</w:t>
      </w:r>
    </w:p>
    <w:sectPr w:rsidR="005E660D">
      <w:headerReference w:type="default" r:id="rId19"/>
      <w:footerReference w:type="default" r:id="rId20"/>
      <w:type w:val="continuous"/>
      <w:pgSz w:w="12240" w:h="15840"/>
      <w:pgMar w:top="720" w:right="540" w:bottom="720" w:left="5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00B7" w14:textId="77777777" w:rsidR="008C7978" w:rsidRDefault="008C7978">
      <w:r>
        <w:separator/>
      </w:r>
    </w:p>
  </w:endnote>
  <w:endnote w:type="continuationSeparator" w:id="0">
    <w:p w14:paraId="62F422CF" w14:textId="77777777" w:rsidR="008C7978" w:rsidRDefault="008C7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323F" w14:textId="77777777" w:rsidR="005E660D" w:rsidRDefault="00000000">
    <w:pPr>
      <w:jc w:val="center"/>
    </w:pPr>
    <w:r>
      <w:rPr>
        <w:color w:val="4A5568"/>
        <w:sz w:val="13"/>
        <w:szCs w:val="13"/>
      </w:rPr>
      <w:t xml:space="preserve">Page </w:t>
    </w:r>
    <w:r>
      <w:rPr>
        <w:color w:val="4A5568"/>
        <w:sz w:val="13"/>
        <w:szCs w:val="13"/>
      </w:rPr>
      <w:fldChar w:fldCharType="begin"/>
    </w:r>
    <w:r>
      <w:rPr>
        <w:color w:val="4A5568"/>
        <w:sz w:val="13"/>
        <w:szCs w:val="13"/>
      </w:rPr>
      <w:instrText>PAGE</w:instrText>
    </w:r>
    <w:r>
      <w:rPr>
        <w:color w:val="4A5568"/>
        <w:sz w:val="13"/>
        <w:szCs w:val="13"/>
      </w:rPr>
      <w:fldChar w:fldCharType="separate"/>
    </w:r>
    <w:r w:rsidR="00E04355">
      <w:rPr>
        <w:noProof/>
        <w:color w:val="4A5568"/>
        <w:sz w:val="13"/>
        <w:szCs w:val="13"/>
      </w:rPr>
      <w:t>1</w:t>
    </w:r>
    <w:r>
      <w:rPr>
        <w:color w:val="4A5568"/>
        <w:sz w:val="13"/>
        <w:szCs w:val="1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B860" w14:textId="77777777" w:rsidR="005E660D" w:rsidRDefault="00000000">
    <w:pPr>
      <w:jc w:val="center"/>
    </w:pPr>
    <w:r>
      <w:rPr>
        <w:color w:val="4A5568"/>
        <w:sz w:val="13"/>
        <w:szCs w:val="13"/>
      </w:rPr>
      <w:t xml:space="preserve">Page </w:t>
    </w:r>
    <w:r>
      <w:rPr>
        <w:color w:val="4A5568"/>
        <w:sz w:val="13"/>
        <w:szCs w:val="13"/>
      </w:rPr>
      <w:fldChar w:fldCharType="begin"/>
    </w:r>
    <w:r>
      <w:rPr>
        <w:color w:val="4A5568"/>
        <w:sz w:val="13"/>
        <w:szCs w:val="13"/>
      </w:rPr>
      <w:instrText>PAGE</w:instrText>
    </w:r>
    <w:r>
      <w:rPr>
        <w:color w:val="4A5568"/>
        <w:sz w:val="13"/>
        <w:szCs w:val="13"/>
      </w:rPr>
      <w:fldChar w:fldCharType="separate"/>
    </w:r>
    <w:r w:rsidR="00E04355">
      <w:rPr>
        <w:noProof/>
        <w:color w:val="4A5568"/>
        <w:sz w:val="13"/>
        <w:szCs w:val="13"/>
      </w:rPr>
      <w:t>2</w:t>
    </w:r>
    <w:r>
      <w:rPr>
        <w:color w:val="4A5568"/>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7C485" w14:textId="77777777" w:rsidR="008C7978" w:rsidRDefault="008C7978">
      <w:r>
        <w:separator/>
      </w:r>
    </w:p>
  </w:footnote>
  <w:footnote w:type="continuationSeparator" w:id="0">
    <w:p w14:paraId="26F14CB0" w14:textId="77777777" w:rsidR="008C7978" w:rsidRDefault="008C7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2E18" w14:textId="77777777" w:rsidR="005E660D" w:rsidRDefault="00000000">
    <w:pPr>
      <w:jc w:val="right"/>
    </w:pPr>
    <w:r>
      <w:rPr>
        <w:i/>
        <w:iCs/>
        <w:color w:val="4A5568"/>
        <w:sz w:val="13"/>
        <w:szCs w:val="13"/>
      </w:rPr>
      <w:t>Intra: Patent Research &amp; IP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F967" w14:textId="77777777" w:rsidR="005E660D" w:rsidRDefault="00000000">
    <w:pPr>
      <w:jc w:val="right"/>
    </w:pPr>
    <w:r>
      <w:rPr>
        <w:i/>
        <w:iCs/>
        <w:color w:val="4A5568"/>
        <w:sz w:val="13"/>
        <w:szCs w:val="13"/>
      </w:rPr>
      <w:t>Intra: Patent Research &amp; IP Assessment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A058D"/>
    <w:multiLevelType w:val="hybridMultilevel"/>
    <w:tmpl w:val="B96CE796"/>
    <w:lvl w:ilvl="0" w:tplc="1E921238">
      <w:start w:val="1"/>
      <w:numFmt w:val="bullet"/>
      <w:lvlText w:val="●"/>
      <w:lvlJc w:val="left"/>
      <w:pPr>
        <w:ind w:left="720" w:hanging="360"/>
      </w:pPr>
    </w:lvl>
    <w:lvl w:ilvl="1" w:tplc="5A50183C">
      <w:start w:val="1"/>
      <w:numFmt w:val="bullet"/>
      <w:lvlText w:val="○"/>
      <w:lvlJc w:val="left"/>
      <w:pPr>
        <w:ind w:left="1440" w:hanging="360"/>
      </w:pPr>
    </w:lvl>
    <w:lvl w:ilvl="2" w:tplc="06D8098E">
      <w:start w:val="1"/>
      <w:numFmt w:val="bullet"/>
      <w:lvlText w:val="■"/>
      <w:lvlJc w:val="left"/>
      <w:pPr>
        <w:ind w:left="2160" w:hanging="360"/>
      </w:pPr>
    </w:lvl>
    <w:lvl w:ilvl="3" w:tplc="E3EA08AC">
      <w:start w:val="1"/>
      <w:numFmt w:val="bullet"/>
      <w:lvlText w:val="●"/>
      <w:lvlJc w:val="left"/>
      <w:pPr>
        <w:ind w:left="2880" w:hanging="360"/>
      </w:pPr>
    </w:lvl>
    <w:lvl w:ilvl="4" w:tplc="037610A0">
      <w:start w:val="1"/>
      <w:numFmt w:val="bullet"/>
      <w:lvlText w:val="○"/>
      <w:lvlJc w:val="left"/>
      <w:pPr>
        <w:ind w:left="3600" w:hanging="360"/>
      </w:pPr>
    </w:lvl>
    <w:lvl w:ilvl="5" w:tplc="3AE27D66">
      <w:start w:val="1"/>
      <w:numFmt w:val="bullet"/>
      <w:lvlText w:val="■"/>
      <w:lvlJc w:val="left"/>
      <w:pPr>
        <w:ind w:left="4320" w:hanging="360"/>
      </w:pPr>
    </w:lvl>
    <w:lvl w:ilvl="6" w:tplc="58CCF0FC">
      <w:start w:val="1"/>
      <w:numFmt w:val="bullet"/>
      <w:lvlText w:val="●"/>
      <w:lvlJc w:val="left"/>
      <w:pPr>
        <w:ind w:left="5040" w:hanging="360"/>
      </w:pPr>
    </w:lvl>
    <w:lvl w:ilvl="7" w:tplc="972E39B6">
      <w:start w:val="1"/>
      <w:numFmt w:val="bullet"/>
      <w:lvlText w:val="●"/>
      <w:lvlJc w:val="left"/>
      <w:pPr>
        <w:ind w:left="5760" w:hanging="360"/>
      </w:pPr>
    </w:lvl>
    <w:lvl w:ilvl="8" w:tplc="74D47C72">
      <w:start w:val="1"/>
      <w:numFmt w:val="bullet"/>
      <w:lvlText w:val="●"/>
      <w:lvlJc w:val="left"/>
      <w:pPr>
        <w:ind w:left="6480" w:hanging="360"/>
      </w:pPr>
    </w:lvl>
  </w:abstractNum>
  <w:num w:numId="1" w16cid:durableId="1795832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60D"/>
    <w:rsid w:val="005734BD"/>
    <w:rsid w:val="005E660D"/>
    <w:rsid w:val="008C7978"/>
    <w:rsid w:val="00AF4B8F"/>
    <w:rsid w:val="00CA6CEF"/>
    <w:rsid w:val="00E043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D4F5"/>
  <w15:docId w15:val="{2B9F346E-2A7E-465E-9AEE-602106C5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7"/>
        <w:szCs w:val="17"/>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43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tdcommons.org/cgi/viewcontent.cgi?article=11480&amp;context=dpubs_series" TargetMode="External"/><Relationship Id="rId18" Type="http://schemas.openxmlformats.org/officeDocument/2006/relationships/hyperlink" Target="https://projecteuclid.org/journals/annals-of-mathematical-statistics/volume-16/issue-2/Sequential-Tests-of-Statistical-Hypotheses/10.1214/aoms/1177731118.ful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recise-Goals/Intra" TargetMode="External"/><Relationship Id="rId12" Type="http://schemas.openxmlformats.org/officeDocument/2006/relationships/hyperlink" Target="https://github.com/Precise-Goals/Intra" TargetMode="External"/><Relationship Id="rId17" Type="http://schemas.openxmlformats.org/officeDocument/2006/relationships/hyperlink" Target="https://dl.acm.org/doi/10.1145/1926385.1926423" TargetMode="External"/><Relationship Id="rId2" Type="http://schemas.openxmlformats.org/officeDocument/2006/relationships/styles" Target="styles.xml"/><Relationship Id="rId16" Type="http://schemas.openxmlformats.org/officeDocument/2006/relationships/hyperlink" Target="https://onlinelibrary.wiley.com/doi/10.1002/nav.3800020109"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yperlink" Target="https://hal.science/hal-00406166" TargetMode="External"/><Relationship Id="rId10" Type="http://schemas.openxmlformats.org/officeDocument/2006/relationships/image" Target="media/image1.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arxiv.org/abs/1902.0402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3052</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Patil</cp:lastModifiedBy>
  <cp:revision>2</cp:revision>
  <dcterms:created xsi:type="dcterms:W3CDTF">2026-10-11T04:38:00Z</dcterms:created>
  <dcterms:modified xsi:type="dcterms:W3CDTF">2026-10-11T04:38:00Z</dcterms:modified>
</cp:coreProperties>
</file>