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pPr>
      <w:r>
        <w:rPr>
          <w:rFonts w:ascii="Calibri" w:hAnsi="Calibri"/>
          <w:b/>
          <w:color w:val="1F4E78"/>
          <w:sz w:val="48"/>
        </w:rPr>
        <w:t>Guía técnica de la Fase 3</w:t>
      </w:r>
    </w:p>
    <w:p>
      <w:pPr>
        <w:spacing w:after="320"/>
      </w:pPr>
      <w:r>
        <w:rPr>
          <w:color w:val="5A5A5A"/>
          <w:sz w:val="24"/>
        </w:rPr>
        <w:t>Nómina robusta: cierre, pago, anulación y recálculo controlado</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E8EEF5"/>
          </w:tcPr>
          <w:p>
            <w:pPr>
              <w:spacing w:after="0"/>
            </w:pPr>
            <w:r>
              <w:rPr>
                <w:b/>
              </w:rPr>
              <w:t>Repositorio base</w:t>
            </w:r>
          </w:p>
        </w:tc>
        <w:tc>
          <w:tcPr>
            <w:tcW w:type="dxa" w:w="4680"/>
            <w:tcMar>
              <w:top w:w="80" w:type="dxa"/>
              <w:start w:w="120" w:type="dxa"/>
              <w:bottom w:w="80" w:type="dxa"/>
              <w:end w:w="120" w:type="dxa"/>
            </w:tcMar>
            <w:vAlign w:val="center"/>
          </w:tcPr>
          <w:p>
            <w:pPr>
              <w:spacing w:after="0"/>
            </w:pPr>
            <w:r>
              <w:t>PredJona/SistemaGestionNomina — main, corte 12 de julio de 2026</w:t>
            </w:r>
          </w:p>
        </w:tc>
      </w:tr>
      <w:tr>
        <w:tc>
          <w:tcPr>
            <w:tcW w:type="dxa" w:w="4680"/>
            <w:tcMar>
              <w:top w:w="80" w:type="dxa"/>
              <w:start w:w="120" w:type="dxa"/>
              <w:bottom w:w="80" w:type="dxa"/>
              <w:end w:w="120" w:type="dxa"/>
            </w:tcMar>
            <w:vAlign w:val="center"/>
            <w:shd w:fill="E8EEF5"/>
          </w:tcPr>
          <w:p>
            <w:pPr>
              <w:spacing w:after="0"/>
            </w:pPr>
            <w:r>
              <w:rPr>
                <w:b/>
              </w:rPr>
              <w:t>Objetivo</w:t>
            </w:r>
          </w:p>
        </w:tc>
        <w:tc>
          <w:tcPr>
            <w:tcW w:type="dxa" w:w="4680"/>
            <w:tcMar>
              <w:top w:w="80" w:type="dxa"/>
              <w:start w:w="120" w:type="dxa"/>
              <w:bottom w:w="80" w:type="dxa"/>
              <w:end w:w="120" w:type="dxa"/>
            </w:tcMar>
            <w:vAlign w:val="center"/>
          </w:tcPr>
          <w:p>
            <w:pPr>
              <w:spacing w:after="0"/>
            </w:pPr>
            <w:r>
              <w:t>Convertir el flujo actual de cálculo y confirmación en un ciclo de nómina trazable y seguro.</w:t>
            </w:r>
          </w:p>
        </w:tc>
      </w:tr>
      <w:tr>
        <w:tc>
          <w:tcPr>
            <w:tcW w:type="dxa" w:w="4680"/>
            <w:tcMar>
              <w:top w:w="80" w:type="dxa"/>
              <w:start w:w="120" w:type="dxa"/>
              <w:bottom w:w="80" w:type="dxa"/>
              <w:end w:w="120" w:type="dxa"/>
            </w:tcMar>
            <w:vAlign w:val="center"/>
            <w:shd w:fill="E8EEF5"/>
          </w:tcPr>
          <w:p>
            <w:pPr>
              <w:spacing w:after="0"/>
            </w:pPr>
            <w:r>
              <w:rPr>
                <w:b/>
              </w:rPr>
              <w:t>Alcance</w:t>
            </w:r>
          </w:p>
        </w:tc>
        <w:tc>
          <w:tcPr>
            <w:tcW w:type="dxa" w:w="4680"/>
            <w:tcMar>
              <w:top w:w="80" w:type="dxa"/>
              <w:start w:w="120" w:type="dxa"/>
              <w:bottom w:w="80" w:type="dxa"/>
              <w:end w:w="120" w:type="dxa"/>
            </w:tcMar>
            <w:vAlign w:val="center"/>
          </w:tcPr>
          <w:p>
            <w:pPr>
              <w:spacing w:after="0"/>
            </w:pPr>
            <w:r>
              <w:t>Windows Forms + .NET Framework 4.8 + SQLite; sin cambiar el modelo de aplicación.</w:t>
            </w:r>
          </w:p>
        </w:tc>
      </w:tr>
      <w:tr>
        <w:tc>
          <w:tcPr>
            <w:tcW w:type="dxa" w:w="4680"/>
            <w:tcMar>
              <w:top w:w="80" w:type="dxa"/>
              <w:start w:w="120" w:type="dxa"/>
              <w:bottom w:w="80" w:type="dxa"/>
              <w:end w:w="120" w:type="dxa"/>
            </w:tcMar>
            <w:vAlign w:val="center"/>
            <w:shd w:fill="E8EEF5"/>
          </w:tcPr>
          <w:p>
            <w:pPr>
              <w:spacing w:after="0"/>
            </w:pPr>
            <w:r>
              <w:rPr>
                <w:b/>
              </w:rPr>
              <w:t>Lectura previa</w:t>
            </w:r>
          </w:p>
        </w:tc>
        <w:tc>
          <w:tcPr>
            <w:tcW w:type="dxa" w:w="4680"/>
            <w:tcMar>
              <w:top w:w="80" w:type="dxa"/>
              <w:start w:w="120" w:type="dxa"/>
              <w:bottom w:w="80" w:type="dxa"/>
              <w:end w:w="120" w:type="dxa"/>
            </w:tcMar>
            <w:vAlign w:val="center"/>
          </w:tcPr>
          <w:p>
            <w:pPr>
              <w:spacing w:after="0"/>
            </w:pPr>
            <w:r>
              <w:t>Informe de avance de Fases 1 y 2 y Documentacion/Escalabilidad.md.</w:t>
            </w:r>
          </w:p>
        </w:tc>
      </w:tr>
    </w:tbl>
    <w:p>
      <w:pPr>
        <w:spacing w:after="0"/>
      </w:pPr>
    </w:p>
    <w:p>
      <w:pPr>
        <w:pStyle w:val="Heading1"/>
      </w:pPr>
      <w:r>
        <w:t>1. Qué problema resuelve esta fase</w:t>
      </w:r>
    </w:p>
    <w:p>
      <w:r>
        <w:t>La aplicación ya calcula una nómina y la confirma, pero una vez confirmada no distingue entre “confirmada” y “pagada”, no bloquea formalmente las fechas del período y no hay una forma controlada de corregir un error. La Fase 3 convierte ese punto débil en un flujo de estados con reglas claras, historial y auditoría.</w:t>
      </w:r>
    </w:p>
    <w:p>
      <w:r>
        <w:t>Decisión de diseño: una nómina nunca se elimina para corregirla. Se anula, se conserva como evidencia y la nueva nómina queda vinculada a la original. Esta decisión es más segura que editar montos históricos o borrar filas.</w:t>
      </w:r>
    </w:p>
    <w:p>
      <w:pPr>
        <w:pStyle w:val="Heading1"/>
      </w:pPr>
      <w:r>
        <w:t>2. Alcance y criterio de terminado</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80" w:type="dxa"/>
              <w:start w:w="120" w:type="dxa"/>
              <w:bottom w:w="80" w:type="dxa"/>
              <w:end w:w="120" w:type="dxa"/>
            </w:tcMar>
            <w:vAlign w:val="center"/>
          </w:tcPr>
          <w:p>
            <w:r>
              <w:rPr>
                <w:b/>
              </w:rPr>
              <w:t>Incluido</w:t>
            </w:r>
          </w:p>
        </w:tc>
        <w:tc>
          <w:tcPr>
            <w:tcW w:type="dxa" w:w="4680"/>
            <w:shd w:fill="E8EEF5"/>
            <w:tcMar>
              <w:top w:w="80" w:type="dxa"/>
              <w:start w:w="120" w:type="dxa"/>
              <w:bottom w:w="80" w:type="dxa"/>
              <w:end w:w="120" w:type="dxa"/>
            </w:tcMar>
            <w:vAlign w:val="center"/>
          </w:tcPr>
          <w:p>
            <w:r>
              <w:rPr>
                <w:b/>
              </w:rPr>
              <w:t>No incluido en esta fase</w:t>
            </w:r>
          </w:p>
        </w:tc>
      </w:tr>
      <w:tr>
        <w:trPr>
          <w:cantSplit/>
        </w:trPr>
        <w:tc>
          <w:tcPr>
            <w:tcW w:type="dxa" w:w="4680"/>
            <w:tcMar>
              <w:top w:w="80" w:type="dxa"/>
              <w:start w:w="120" w:type="dxa"/>
              <w:bottom w:w="80" w:type="dxa"/>
              <w:end w:w="120" w:type="dxa"/>
            </w:tcMar>
            <w:vAlign w:val="center"/>
          </w:tcPr>
          <w:p>
            <w:pPr>
              <w:spacing w:after="0"/>
            </w:pPr>
            <w:r>
              <w:rPr>
                <w:sz w:val="19"/>
              </w:rPr>
              <w:t>Estados Borrador, Calculada, Confirmada, Pagada y Anulada.</w:t>
            </w:r>
          </w:p>
        </w:tc>
        <w:tc>
          <w:tcPr>
            <w:tcW w:type="dxa" w:w="4680"/>
            <w:tcMar>
              <w:top w:w="80" w:type="dxa"/>
              <w:start w:w="120" w:type="dxa"/>
              <w:bottom w:w="80" w:type="dxa"/>
              <w:end w:w="120" w:type="dxa"/>
            </w:tcMar>
            <w:vAlign w:val="center"/>
          </w:tcPr>
          <w:p>
            <w:pPr>
              <w:spacing w:after="0"/>
            </w:pPr>
            <w:r>
              <w:rPr>
                <w:sz w:val="19"/>
              </w:rPr>
              <w:t>Vacaciones, préstamos, conceptos configurables o cambios salariales efectivos.</w:t>
            </w:r>
          </w:p>
        </w:tc>
      </w:tr>
      <w:tr>
        <w:trPr>
          <w:cantSplit/>
        </w:trPr>
        <w:tc>
          <w:tcPr>
            <w:tcW w:type="dxa" w:w="4680"/>
            <w:tcMar>
              <w:top w:w="80" w:type="dxa"/>
              <w:start w:w="120" w:type="dxa"/>
              <w:bottom w:w="80" w:type="dxa"/>
              <w:end w:w="120" w:type="dxa"/>
            </w:tcMar>
            <w:vAlign w:val="center"/>
          </w:tcPr>
          <w:p>
            <w:pPr>
              <w:spacing w:after="0"/>
            </w:pPr>
            <w:r>
              <w:rPr>
                <w:sz w:val="19"/>
              </w:rPr>
              <w:t>Cierre de fechas de asistencia al confirmar.</w:t>
            </w:r>
          </w:p>
        </w:tc>
        <w:tc>
          <w:tcPr>
            <w:tcW w:type="dxa" w:w="4680"/>
            <w:tcMar>
              <w:top w:w="80" w:type="dxa"/>
              <w:start w:w="120" w:type="dxa"/>
              <w:bottom w:w="80" w:type="dxa"/>
              <w:end w:w="120" w:type="dxa"/>
            </w:tcMar>
            <w:vAlign w:val="center"/>
          </w:tcPr>
          <w:p>
            <w:pPr>
              <w:spacing w:after="0"/>
            </w:pPr>
            <w:r>
              <w:rPr>
                <w:sz w:val="19"/>
              </w:rPr>
              <w:t>Modificar fórmulas académicas actuales de cálculo.</w:t>
            </w:r>
          </w:p>
        </w:tc>
      </w:tr>
      <w:tr>
        <w:trPr>
          <w:cantSplit/>
        </w:trPr>
        <w:tc>
          <w:tcPr>
            <w:tcW w:type="dxa" w:w="4680"/>
            <w:tcMar>
              <w:top w:w="80" w:type="dxa"/>
              <w:start w:w="120" w:type="dxa"/>
              <w:bottom w:w="80" w:type="dxa"/>
              <w:end w:w="120" w:type="dxa"/>
            </w:tcMar>
            <w:vAlign w:val="center"/>
          </w:tcPr>
          <w:p>
            <w:pPr>
              <w:spacing w:after="0"/>
            </w:pPr>
            <w:r>
              <w:rPr>
                <w:sz w:val="19"/>
              </w:rPr>
              <w:t>Pago registrado con fecha y usuario.</w:t>
            </w:r>
          </w:p>
        </w:tc>
        <w:tc>
          <w:tcPr>
            <w:tcW w:type="dxa" w:w="4680"/>
            <w:tcMar>
              <w:top w:w="80" w:type="dxa"/>
              <w:start w:w="120" w:type="dxa"/>
              <w:bottom w:w="80" w:type="dxa"/>
              <w:end w:w="120" w:type="dxa"/>
            </w:tcMar>
            <w:vAlign w:val="center"/>
          </w:tcPr>
          <w:p>
            <w:pPr>
              <w:spacing w:after="0"/>
            </w:pPr>
            <w:r>
              <w:rPr>
                <w:sz w:val="19"/>
              </w:rPr>
              <w:t>Migración a SQL Server o arquitectura web.</w:t>
            </w:r>
          </w:p>
        </w:tc>
      </w:tr>
      <w:tr>
        <w:trPr>
          <w:cantSplit/>
        </w:trPr>
        <w:tc>
          <w:tcPr>
            <w:tcW w:type="dxa" w:w="4680"/>
            <w:tcMar>
              <w:top w:w="80" w:type="dxa"/>
              <w:start w:w="120" w:type="dxa"/>
              <w:bottom w:w="80" w:type="dxa"/>
              <w:end w:w="120" w:type="dxa"/>
            </w:tcMar>
            <w:vAlign w:val="center"/>
          </w:tcPr>
          <w:p>
            <w:pPr>
              <w:spacing w:after="0"/>
            </w:pPr>
            <w:r>
              <w:rPr>
                <w:sz w:val="19"/>
              </w:rPr>
              <w:t>Anulación con motivo, auditoría y enlace de versión.</w:t>
            </w:r>
          </w:p>
        </w:tc>
        <w:tc>
          <w:tcPr>
            <w:tcW w:type="dxa" w:w="4680"/>
            <w:tcMar>
              <w:top w:w="80" w:type="dxa"/>
              <w:start w:w="120" w:type="dxa"/>
              <w:bottom w:w="80" w:type="dxa"/>
              <w:end w:w="120" w:type="dxa"/>
            </w:tcMar>
            <w:vAlign w:val="center"/>
          </w:tcPr>
          <w:p>
            <w:pPr>
              <w:spacing w:after="0"/>
            </w:pPr>
            <w:r>
              <w:rPr>
                <w:sz w:val="19"/>
              </w:rPr>
              <w:t>Rehacer el diseño visual completo.</w:t>
            </w:r>
          </w:p>
        </w:tc>
      </w:tr>
      <w:tr>
        <w:trPr>
          <w:cantSplit/>
        </w:trPr>
        <w:tc>
          <w:tcPr>
            <w:tcW w:type="dxa" w:w="4680"/>
            <w:tcMar>
              <w:top w:w="80" w:type="dxa"/>
              <w:start w:w="120" w:type="dxa"/>
              <w:bottom w:w="80" w:type="dxa"/>
              <w:end w:w="120" w:type="dxa"/>
            </w:tcMar>
            <w:vAlign w:val="center"/>
          </w:tcPr>
          <w:p>
            <w:pPr>
              <w:spacing w:after="0"/>
            </w:pPr>
            <w:r>
              <w:rPr>
                <w:sz w:val="19"/>
              </w:rPr>
              <w:t>Recálculo solo después de anular/reabrir de forma controlada.</w:t>
            </w:r>
          </w:p>
        </w:tc>
        <w:tc>
          <w:tcPr>
            <w:tcW w:type="dxa" w:w="4680"/>
            <w:tcMar>
              <w:top w:w="80" w:type="dxa"/>
              <w:start w:w="120" w:type="dxa"/>
              <w:bottom w:w="80" w:type="dxa"/>
              <w:end w:w="120" w:type="dxa"/>
            </w:tcMar>
            <w:vAlign w:val="center"/>
          </w:tcPr>
          <w:p>
            <w:pPr>
              <w:spacing w:after="0"/>
            </w:pPr>
            <w:r>
              <w:rPr>
                <w:sz w:val="19"/>
              </w:rPr>
              <w:t>Eliminar datos financieros históricos.</w:t>
            </w:r>
          </w:p>
        </w:tc>
      </w:tr>
    </w:tbl>
    <w:p>
      <w:pPr>
        <w:spacing w:after="0"/>
      </w:pPr>
    </w:p>
    <w:p>
      <w:pPr>
        <w:pStyle w:val="Heading1"/>
      </w:pPr>
      <w:r>
        <w:t>3. Arquitectura y conexión entre piezas</w:t>
      </w:r>
    </w:p>
    <w:p>
      <w:r>
        <w:drawing>
          <wp:inline xmlns:a="http://schemas.openxmlformats.org/drawingml/2006/main" xmlns:pic="http://schemas.openxmlformats.org/drawingml/2006/picture">
            <wp:extent cx="5897880" cy="2588514"/>
            <wp:docPr id="1" name="Picture 1"/>
            <wp:cNvGraphicFramePr>
              <a:graphicFrameLocks noChangeAspect="1"/>
            </wp:cNvGraphicFramePr>
            <a:graphic>
              <a:graphicData uri="http://schemas.openxmlformats.org/drawingml/2006/picture">
                <pic:pic>
                  <pic:nvPicPr>
                    <pic:cNvPr id="0" name="fase3_conexion_componentes.png"/>
                    <pic:cNvPicPr/>
                  </pic:nvPicPr>
                  <pic:blipFill>
                    <a:blip r:embed="rId11"/>
                    <a:stretch>
                      <a:fillRect/>
                    </a:stretch>
                  </pic:blipFill>
                  <pic:spPr>
                    <a:xfrm>
                      <a:off x="0" y="0"/>
                      <a:ext cx="5897880" cy="2588514"/>
                    </a:xfrm>
                    <a:prstGeom prst="rect"/>
                  </pic:spPr>
                </pic:pic>
              </a:graphicData>
            </a:graphic>
          </wp:inline>
        </w:drawing>
      </w:r>
    </w:p>
    <w:p>
      <w:pPr>
        <w:jc w:val="center"/>
      </w:pPr>
      <w:r>
        <w:rPr>
          <w:i/>
          <w:sz w:val="18"/>
        </w:rPr>
        <w:t>Figura 1. La UI solicita acciones; las reglas viven en servicios; la persistencia y la auditoría se ejecutan coordinadamente.</w:t>
      </w:r>
    </w:p>
    <w:p>
      <w:pPr>
        <w:pStyle w:val="Heading2"/>
      </w:pPr>
      <w:r>
        <w:t>Responsabilidades concretas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088"/>
            <w:shd w:fill="E8EEF5"/>
            <w:tcMar>
              <w:top w:w="80" w:type="dxa"/>
              <w:start w:w="120" w:type="dxa"/>
              <w:bottom w:w="80" w:type="dxa"/>
              <w:end w:w="120" w:type="dxa"/>
            </w:tcMar>
            <w:vAlign w:val="center"/>
          </w:tcPr>
          <w:p>
            <w:r>
              <w:rPr>
                <w:b/>
              </w:rPr>
              <w:t>Capa</w:t>
            </w:r>
          </w:p>
        </w:tc>
        <w:tc>
          <w:tcPr>
            <w:tcW w:type="dxa" w:w="4464"/>
            <w:shd w:fill="E8EEF5"/>
            <w:tcMar>
              <w:top w:w="80" w:type="dxa"/>
              <w:start w:w="120" w:type="dxa"/>
              <w:bottom w:w="80" w:type="dxa"/>
              <w:end w:w="120" w:type="dxa"/>
            </w:tcMar>
            <w:vAlign w:val="center"/>
          </w:tcPr>
          <w:p>
            <w:r>
              <w:rPr>
                <w:b/>
              </w:rPr>
              <w:t>Qué debe hacer</w:t>
            </w:r>
          </w:p>
        </w:tc>
        <w:tc>
          <w:tcPr>
            <w:tcW w:type="dxa" w:w="2808"/>
            <w:shd w:fill="E8EEF5"/>
            <w:tcMar>
              <w:top w:w="80" w:type="dxa"/>
              <w:start w:w="120" w:type="dxa"/>
              <w:bottom w:w="80" w:type="dxa"/>
              <w:end w:w="120" w:type="dxa"/>
            </w:tcMar>
            <w:vAlign w:val="center"/>
          </w:tcPr>
          <w:p>
            <w:r>
              <w:rPr>
                <w:b/>
              </w:rPr>
              <w:t>Qué no debe hacer</w:t>
            </w:r>
          </w:p>
        </w:tc>
      </w:tr>
      <w:tr>
        <w:trPr>
          <w:cantSplit/>
        </w:trPr>
        <w:tc>
          <w:tcPr>
            <w:tcW w:type="dxa" w:w="3120"/>
            <w:tcMar>
              <w:top w:w="80" w:type="dxa"/>
              <w:start w:w="120" w:type="dxa"/>
              <w:bottom w:w="80" w:type="dxa"/>
              <w:end w:w="120" w:type="dxa"/>
            </w:tcMar>
            <w:vAlign w:val="center"/>
          </w:tcPr>
          <w:p>
            <w:pPr>
              <w:spacing w:after="0"/>
            </w:pPr>
            <w:r>
              <w:rPr>
                <w:sz w:val="19"/>
              </w:rPr>
              <w:t>FrmNomina / historial</w:t>
            </w:r>
          </w:p>
        </w:tc>
        <w:tc>
          <w:tcPr>
            <w:tcW w:type="dxa" w:w="3120"/>
            <w:tcMar>
              <w:top w:w="80" w:type="dxa"/>
              <w:start w:w="120" w:type="dxa"/>
              <w:bottom w:w="80" w:type="dxa"/>
              <w:end w:w="120" w:type="dxa"/>
            </w:tcMar>
            <w:vAlign w:val="center"/>
          </w:tcPr>
          <w:p>
            <w:pPr>
              <w:spacing w:after="0"/>
            </w:pPr>
            <w:r>
              <w:rPr>
                <w:sz w:val="19"/>
              </w:rPr>
              <w:t>Mostrar estado, pedir confirmación y mostrar mensajes.</w:t>
            </w:r>
          </w:p>
        </w:tc>
        <w:tc>
          <w:tcPr>
            <w:tcW w:type="dxa" w:w="3120"/>
            <w:tcMar>
              <w:top w:w="80" w:type="dxa"/>
              <w:start w:w="120" w:type="dxa"/>
              <w:bottom w:w="80" w:type="dxa"/>
              <w:end w:w="120" w:type="dxa"/>
            </w:tcMar>
            <w:vAlign w:val="center"/>
          </w:tcPr>
          <w:p>
            <w:pPr>
              <w:spacing w:after="0"/>
            </w:pPr>
            <w:r>
              <w:rPr>
                <w:sz w:val="19"/>
              </w:rPr>
              <w:t>Cambiar estados o escribir SQL directamente.</w:t>
            </w:r>
          </w:p>
        </w:tc>
      </w:tr>
      <w:tr>
        <w:trPr>
          <w:cantSplit/>
        </w:trPr>
        <w:tc>
          <w:tcPr>
            <w:tcW w:type="dxa" w:w="3120"/>
            <w:tcMar>
              <w:top w:w="80" w:type="dxa"/>
              <w:start w:w="120" w:type="dxa"/>
              <w:bottom w:w="80" w:type="dxa"/>
              <w:end w:w="120" w:type="dxa"/>
            </w:tcMar>
            <w:vAlign w:val="center"/>
          </w:tcPr>
          <w:p>
            <w:pPr>
              <w:spacing w:after="0"/>
            </w:pPr>
            <w:r>
              <w:rPr>
                <w:sz w:val="19"/>
              </w:rPr>
              <w:t>PayrollLifecycleService (nuevo o separado de NominaService)</w:t>
            </w:r>
          </w:p>
        </w:tc>
        <w:tc>
          <w:tcPr>
            <w:tcW w:type="dxa" w:w="3120"/>
            <w:tcMar>
              <w:top w:w="80" w:type="dxa"/>
              <w:start w:w="120" w:type="dxa"/>
              <w:bottom w:w="80" w:type="dxa"/>
              <w:end w:w="120" w:type="dxa"/>
            </w:tcMar>
            <w:vAlign w:val="center"/>
          </w:tcPr>
          <w:p>
            <w:pPr>
              <w:spacing w:after="0"/>
            </w:pPr>
            <w:r>
              <w:rPr>
                <w:sz w:val="19"/>
              </w:rPr>
              <w:t>Validar transición, permiso, motivo y datos; coordinar transacción.</w:t>
            </w:r>
          </w:p>
        </w:tc>
        <w:tc>
          <w:tcPr>
            <w:tcW w:type="dxa" w:w="3120"/>
            <w:tcMar>
              <w:top w:w="80" w:type="dxa"/>
              <w:start w:w="120" w:type="dxa"/>
              <w:bottom w:w="80" w:type="dxa"/>
              <w:end w:w="120" w:type="dxa"/>
            </w:tcMar>
            <w:vAlign w:val="center"/>
          </w:tcPr>
          <w:p>
            <w:pPr>
              <w:spacing w:after="0"/>
            </w:pPr>
            <w:r>
              <w:rPr>
                <w:sz w:val="19"/>
              </w:rPr>
              <w:t>Depender de controles WinForms.</w:t>
            </w:r>
          </w:p>
        </w:tc>
      </w:tr>
      <w:tr>
        <w:trPr>
          <w:cantSplit/>
        </w:trPr>
        <w:tc>
          <w:tcPr>
            <w:tcW w:type="dxa" w:w="3120"/>
            <w:tcMar>
              <w:top w:w="80" w:type="dxa"/>
              <w:start w:w="120" w:type="dxa"/>
              <w:bottom w:w="80" w:type="dxa"/>
              <w:end w:w="120" w:type="dxa"/>
            </w:tcMar>
            <w:vAlign w:val="center"/>
          </w:tcPr>
          <w:p>
            <w:pPr>
              <w:spacing w:after="0"/>
            </w:pPr>
            <w:r>
              <w:rPr>
                <w:sz w:val="19"/>
              </w:rPr>
              <w:t>PayrollPeriodPolicyService</w:t>
            </w:r>
          </w:p>
        </w:tc>
        <w:tc>
          <w:tcPr>
            <w:tcW w:type="dxa" w:w="3120"/>
            <w:tcMar>
              <w:top w:w="80" w:type="dxa"/>
              <w:start w:w="120" w:type="dxa"/>
              <w:bottom w:w="80" w:type="dxa"/>
              <w:end w:w="120" w:type="dxa"/>
            </w:tcMar>
            <w:vAlign w:val="center"/>
          </w:tcPr>
          <w:p>
            <w:pPr>
              <w:spacing w:after="0"/>
            </w:pPr>
            <w:r>
              <w:rPr>
                <w:sz w:val="19"/>
              </w:rPr>
              <w:t>Determinar si el rango está abierto/cerrado y aplicar bloqueo.</w:t>
            </w:r>
          </w:p>
        </w:tc>
        <w:tc>
          <w:tcPr>
            <w:tcW w:type="dxa" w:w="3120"/>
            <w:tcMar>
              <w:top w:w="80" w:type="dxa"/>
              <w:start w:w="120" w:type="dxa"/>
              <w:bottom w:w="80" w:type="dxa"/>
              <w:end w:w="120" w:type="dxa"/>
            </w:tcMar>
            <w:vAlign w:val="center"/>
          </w:tcPr>
          <w:p>
            <w:pPr>
              <w:spacing w:after="0"/>
            </w:pPr>
            <w:r>
              <w:rPr>
                <w:sz w:val="19"/>
              </w:rPr>
              <w:t>Calcular valores monetarios.</w:t>
            </w:r>
          </w:p>
        </w:tc>
      </w:tr>
      <w:tr>
        <w:trPr>
          <w:cantSplit/>
        </w:trPr>
        <w:tc>
          <w:tcPr>
            <w:tcW w:type="dxa" w:w="3120"/>
            <w:tcMar>
              <w:top w:w="80" w:type="dxa"/>
              <w:start w:w="120" w:type="dxa"/>
              <w:bottom w:w="80" w:type="dxa"/>
              <w:end w:w="120" w:type="dxa"/>
            </w:tcMar>
            <w:vAlign w:val="center"/>
          </w:tcPr>
          <w:p>
            <w:pPr>
              <w:spacing w:after="0"/>
            </w:pPr>
            <w:r>
              <w:rPr>
                <w:sz w:val="19"/>
              </w:rPr>
              <w:t>NominaRepository / repositorios</w:t>
            </w:r>
          </w:p>
        </w:tc>
        <w:tc>
          <w:tcPr>
            <w:tcW w:type="dxa" w:w="3120"/>
            <w:tcMar>
              <w:top w:w="80" w:type="dxa"/>
              <w:start w:w="120" w:type="dxa"/>
              <w:bottom w:w="80" w:type="dxa"/>
              <w:end w:w="120" w:type="dxa"/>
            </w:tcMar>
            <w:vAlign w:val="center"/>
          </w:tcPr>
          <w:p>
            <w:pPr>
              <w:spacing w:after="0"/>
            </w:pPr>
            <w:r>
              <w:rPr>
                <w:sz w:val="19"/>
              </w:rPr>
              <w:t>Persistir entidades dentro de una transacción SQLite.</w:t>
            </w:r>
          </w:p>
        </w:tc>
        <w:tc>
          <w:tcPr>
            <w:tcW w:type="dxa" w:w="3120"/>
            <w:tcMar>
              <w:top w:w="80" w:type="dxa"/>
              <w:start w:w="120" w:type="dxa"/>
              <w:bottom w:w="80" w:type="dxa"/>
              <w:end w:w="120" w:type="dxa"/>
            </w:tcMar>
            <w:vAlign w:val="center"/>
          </w:tcPr>
          <w:p>
            <w:pPr>
              <w:spacing w:after="0"/>
            </w:pPr>
            <w:r>
              <w:rPr>
                <w:sz w:val="19"/>
              </w:rPr>
              <w:t>Decidir reglas del negocio.</w:t>
            </w:r>
          </w:p>
        </w:tc>
      </w:tr>
      <w:tr>
        <w:trPr>
          <w:cantSplit/>
        </w:trPr>
        <w:tc>
          <w:tcPr>
            <w:tcW w:type="dxa" w:w="3120"/>
            <w:tcMar>
              <w:top w:w="80" w:type="dxa"/>
              <w:start w:w="120" w:type="dxa"/>
              <w:bottom w:w="80" w:type="dxa"/>
              <w:end w:w="120" w:type="dxa"/>
            </w:tcMar>
            <w:vAlign w:val="center"/>
          </w:tcPr>
          <w:p>
            <w:pPr>
              <w:spacing w:after="0"/>
            </w:pPr>
            <w:r>
              <w:rPr>
                <w:sz w:val="19"/>
              </w:rPr>
              <w:t>AuditTrailService</w:t>
            </w:r>
          </w:p>
        </w:tc>
        <w:tc>
          <w:tcPr>
            <w:tcW w:type="dxa" w:w="3120"/>
            <w:tcMar>
              <w:top w:w="80" w:type="dxa"/>
              <w:start w:w="120" w:type="dxa"/>
              <w:bottom w:w="80" w:type="dxa"/>
              <w:end w:w="120" w:type="dxa"/>
            </w:tcMar>
            <w:vAlign w:val="center"/>
          </w:tcPr>
          <w:p>
            <w:pPr>
              <w:spacing w:after="0"/>
            </w:pPr>
            <w:r>
              <w:rPr>
                <w:sz w:val="19"/>
              </w:rPr>
              <w:t>Registrar actor, acción y detalle sin datos sensibles.</w:t>
            </w:r>
          </w:p>
        </w:tc>
        <w:tc>
          <w:tcPr>
            <w:tcW w:type="dxa" w:w="3120"/>
            <w:tcMar>
              <w:top w:w="80" w:type="dxa"/>
              <w:start w:w="120" w:type="dxa"/>
              <w:bottom w:w="80" w:type="dxa"/>
              <w:end w:w="120" w:type="dxa"/>
            </w:tcMar>
            <w:vAlign w:val="center"/>
          </w:tcPr>
          <w:p>
            <w:pPr>
              <w:spacing w:after="0"/>
            </w:pPr>
            <w:r>
              <w:rPr>
                <w:sz w:val="19"/>
              </w:rPr>
              <w:t>Sustituir el historial de nómina.</w:t>
            </w:r>
          </w:p>
        </w:tc>
      </w:tr>
      <w:tr>
        <w:trPr>
          <w:cantSplit/>
        </w:trPr>
        <w:tc>
          <w:tcPr>
            <w:tcW w:type="dxa" w:w="3120"/>
            <w:tcMar>
              <w:top w:w="80" w:type="dxa"/>
              <w:start w:w="120" w:type="dxa"/>
              <w:bottom w:w="80" w:type="dxa"/>
              <w:end w:w="120" w:type="dxa"/>
            </w:tcMar>
            <w:vAlign w:val="center"/>
          </w:tcPr>
          <w:p>
            <w:pPr>
              <w:spacing w:after="0"/>
            </w:pPr>
            <w:r>
              <w:rPr>
                <w:sz w:val="19"/>
              </w:rPr>
              <w:t>Migración v4</w:t>
            </w:r>
          </w:p>
        </w:tc>
        <w:tc>
          <w:tcPr>
            <w:tcW w:type="dxa" w:w="3120"/>
            <w:tcMar>
              <w:top w:w="80" w:type="dxa"/>
              <w:start w:w="120" w:type="dxa"/>
              <w:bottom w:w="80" w:type="dxa"/>
              <w:end w:w="120" w:type="dxa"/>
            </w:tcMar>
            <w:vAlign w:val="center"/>
          </w:tcPr>
          <w:p>
            <w:pPr>
              <w:spacing w:after="0"/>
            </w:pPr>
            <w:r>
              <w:rPr>
                <w:sz w:val="19"/>
              </w:rPr>
              <w:t>Ampliar esquema y crear índices/triggers.</w:t>
            </w:r>
          </w:p>
        </w:tc>
        <w:tc>
          <w:tcPr>
            <w:tcW w:type="dxa" w:w="3120"/>
            <w:tcMar>
              <w:top w:w="80" w:type="dxa"/>
              <w:start w:w="120" w:type="dxa"/>
              <w:bottom w:w="80" w:type="dxa"/>
              <w:end w:w="120" w:type="dxa"/>
            </w:tcMar>
            <w:vAlign w:val="center"/>
          </w:tcPr>
          <w:p>
            <w:pPr>
              <w:spacing w:after="0"/>
            </w:pPr>
            <w:r>
              <w:rPr>
                <w:sz w:val="19"/>
              </w:rPr>
              <w:t>Cambiar datos históricos sin una decisión explícita.</w:t>
            </w:r>
          </w:p>
        </w:tc>
      </w:tr>
    </w:tbl>
    <w:p>
      <w:pPr>
        <w:spacing w:after="0"/>
      </w:pPr>
    </w:p>
    <w:p>
      <w:pPr>
        <w:pStyle w:val="Heading1"/>
      </w:pPr>
      <w:r>
        <w:t>4. Estados y transiciones permitidas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1512"/>
            <w:shd w:fill="E8EEF5"/>
            <w:tcMar>
              <w:top w:w="80" w:type="dxa"/>
              <w:start w:w="120" w:type="dxa"/>
              <w:bottom w:w="80" w:type="dxa"/>
              <w:end w:w="120" w:type="dxa"/>
            </w:tcMar>
            <w:vAlign w:val="center"/>
          </w:tcPr>
          <w:p>
            <w:r>
              <w:rPr>
                <w:b/>
              </w:rPr>
              <w:t>Estado</w:t>
            </w:r>
          </w:p>
        </w:tc>
        <w:tc>
          <w:tcPr>
            <w:tcW w:type="dxa" w:w="2592"/>
            <w:shd w:fill="E8EEF5"/>
            <w:tcMar>
              <w:top w:w="80" w:type="dxa"/>
              <w:start w:w="120" w:type="dxa"/>
              <w:bottom w:w="80" w:type="dxa"/>
              <w:end w:w="120" w:type="dxa"/>
            </w:tcMar>
            <w:vAlign w:val="center"/>
          </w:tcPr>
          <w:p>
            <w:r>
              <w:rPr>
                <w:b/>
              </w:rPr>
              <w:t>Significado</w:t>
            </w:r>
          </w:p>
        </w:tc>
        <w:tc>
          <w:tcPr>
            <w:tcW w:type="dxa" w:w="2952"/>
            <w:shd w:fill="E8EEF5"/>
            <w:tcMar>
              <w:top w:w="80" w:type="dxa"/>
              <w:start w:w="120" w:type="dxa"/>
              <w:bottom w:w="80" w:type="dxa"/>
              <w:end w:w="120" w:type="dxa"/>
            </w:tcMar>
            <w:vAlign w:val="center"/>
          </w:tcPr>
          <w:p>
            <w:r>
              <w:rPr>
                <w:b/>
              </w:rPr>
              <w:t>Siguiente transición válida</w:t>
            </w:r>
          </w:p>
        </w:tc>
        <w:tc>
          <w:tcPr>
            <w:tcW w:type="dxa" w:w="2304"/>
            <w:shd w:fill="E8EEF5"/>
            <w:tcMar>
              <w:top w:w="80" w:type="dxa"/>
              <w:start w:w="120" w:type="dxa"/>
              <w:bottom w:w="80" w:type="dxa"/>
              <w:end w:w="120" w:type="dxa"/>
            </w:tcMar>
            <w:vAlign w:val="center"/>
          </w:tcPr>
          <w:p>
            <w:r>
              <w:rPr>
                <w:b/>
              </w:rPr>
              <w:t>Efecto sobre el período</w:t>
            </w:r>
          </w:p>
        </w:tc>
      </w:tr>
      <w:tr>
        <w:trPr>
          <w:cantSplit/>
        </w:trPr>
        <w:tc>
          <w:tcPr>
            <w:tcW w:type="dxa" w:w="2340"/>
            <w:tcMar>
              <w:top w:w="80" w:type="dxa"/>
              <w:start w:w="120" w:type="dxa"/>
              <w:bottom w:w="80" w:type="dxa"/>
              <w:end w:w="120" w:type="dxa"/>
            </w:tcMar>
            <w:vAlign w:val="center"/>
          </w:tcPr>
          <w:p>
            <w:pPr>
              <w:spacing w:after="0"/>
            </w:pPr>
            <w:r>
              <w:rPr>
                <w:sz w:val="19"/>
              </w:rPr>
              <w:t>Borrador</w:t>
            </w:r>
          </w:p>
        </w:tc>
        <w:tc>
          <w:tcPr>
            <w:tcW w:type="dxa" w:w="2340"/>
            <w:tcMar>
              <w:top w:w="80" w:type="dxa"/>
              <w:start w:w="120" w:type="dxa"/>
              <w:bottom w:w="80" w:type="dxa"/>
              <w:end w:w="120" w:type="dxa"/>
            </w:tcMar>
            <w:vAlign w:val="center"/>
          </w:tcPr>
          <w:p>
            <w:pPr>
              <w:spacing w:after="0"/>
            </w:pPr>
            <w:r>
              <w:rPr>
                <w:sz w:val="19"/>
              </w:rPr>
              <w:t>Preparación editable si se decide persistirla.</w:t>
            </w:r>
          </w:p>
        </w:tc>
        <w:tc>
          <w:tcPr>
            <w:tcW w:type="dxa" w:w="2340"/>
            <w:tcMar>
              <w:top w:w="80" w:type="dxa"/>
              <w:start w:w="120" w:type="dxa"/>
              <w:bottom w:w="80" w:type="dxa"/>
              <w:end w:w="120" w:type="dxa"/>
            </w:tcMar>
            <w:vAlign w:val="center"/>
          </w:tcPr>
          <w:p>
            <w:pPr>
              <w:spacing w:after="0"/>
            </w:pPr>
            <w:r>
              <w:rPr>
                <w:sz w:val="19"/>
              </w:rPr>
              <w:t>Calculada o descartada.</w:t>
            </w:r>
          </w:p>
        </w:tc>
        <w:tc>
          <w:tcPr>
            <w:tcW w:type="dxa" w:w="2340"/>
            <w:tcMar>
              <w:top w:w="80" w:type="dxa"/>
              <w:start w:w="120" w:type="dxa"/>
              <w:bottom w:w="80" w:type="dxa"/>
              <w:end w:w="120" w:type="dxa"/>
            </w:tcMar>
            <w:vAlign w:val="center"/>
          </w:tcPr>
          <w:p>
            <w:pPr>
              <w:spacing w:after="0"/>
            </w:pPr>
            <w:r>
              <w:rPr>
                <w:sz w:val="19"/>
              </w:rPr>
              <w:t>Abierto.</w:t>
            </w:r>
          </w:p>
        </w:tc>
      </w:tr>
      <w:tr>
        <w:trPr>
          <w:cantSplit/>
        </w:trPr>
        <w:tc>
          <w:tcPr>
            <w:tcW w:type="dxa" w:w="2340"/>
            <w:tcMar>
              <w:top w:w="80" w:type="dxa"/>
              <w:start w:w="120" w:type="dxa"/>
              <w:bottom w:w="80" w:type="dxa"/>
              <w:end w:w="120" w:type="dxa"/>
            </w:tcMar>
            <w:vAlign w:val="center"/>
          </w:tcPr>
          <w:p>
            <w:pPr>
              <w:spacing w:after="0"/>
            </w:pPr>
            <w:r>
              <w:rPr>
                <w:sz w:val="19"/>
              </w:rPr>
              <w:t>Calculada</w:t>
            </w:r>
          </w:p>
        </w:tc>
        <w:tc>
          <w:tcPr>
            <w:tcW w:type="dxa" w:w="2340"/>
            <w:tcMar>
              <w:top w:w="80" w:type="dxa"/>
              <w:start w:w="120" w:type="dxa"/>
              <w:bottom w:w="80" w:type="dxa"/>
              <w:end w:w="120" w:type="dxa"/>
            </w:tcMar>
            <w:vAlign w:val="center"/>
          </w:tcPr>
          <w:p>
            <w:pPr>
              <w:spacing w:after="0"/>
            </w:pPr>
            <w:r>
              <w:rPr>
                <w:sz w:val="19"/>
              </w:rPr>
              <w:t>Totales revisables; todavía no es pago.</w:t>
            </w:r>
          </w:p>
        </w:tc>
        <w:tc>
          <w:tcPr>
            <w:tcW w:type="dxa" w:w="2340"/>
            <w:tcMar>
              <w:top w:w="80" w:type="dxa"/>
              <w:start w:w="120" w:type="dxa"/>
              <w:bottom w:w="80" w:type="dxa"/>
              <w:end w:w="120" w:type="dxa"/>
            </w:tcMar>
            <w:vAlign w:val="center"/>
          </w:tcPr>
          <w:p>
            <w:pPr>
              <w:spacing w:after="0"/>
            </w:pPr>
            <w:r>
              <w:rPr>
                <w:sz w:val="19"/>
              </w:rPr>
              <w:t>Confirmada o descartada.</w:t>
            </w:r>
          </w:p>
        </w:tc>
        <w:tc>
          <w:tcPr>
            <w:tcW w:type="dxa" w:w="2340"/>
            <w:tcMar>
              <w:top w:w="80" w:type="dxa"/>
              <w:start w:w="120" w:type="dxa"/>
              <w:bottom w:w="80" w:type="dxa"/>
              <w:end w:w="120" w:type="dxa"/>
            </w:tcMar>
            <w:vAlign w:val="center"/>
          </w:tcPr>
          <w:p>
            <w:pPr>
              <w:spacing w:after="0"/>
            </w:pPr>
            <w:r>
              <w:rPr>
                <w:sz w:val="19"/>
              </w:rPr>
              <w:t>Abierto.</w:t>
            </w:r>
          </w:p>
        </w:tc>
      </w:tr>
      <w:tr>
        <w:trPr>
          <w:cantSplit/>
        </w:trPr>
        <w:tc>
          <w:tcPr>
            <w:tcW w:type="dxa" w:w="2340"/>
            <w:tcMar>
              <w:top w:w="80" w:type="dxa"/>
              <w:start w:w="120" w:type="dxa"/>
              <w:bottom w:w="80" w:type="dxa"/>
              <w:end w:w="120" w:type="dxa"/>
            </w:tcMar>
            <w:vAlign w:val="center"/>
          </w:tcPr>
          <w:p>
            <w:pPr>
              <w:spacing w:after="0"/>
            </w:pPr>
            <w:r>
              <w:rPr>
                <w:sz w:val="19"/>
              </w:rPr>
              <w:t>Confirmada</w:t>
            </w:r>
          </w:p>
        </w:tc>
        <w:tc>
          <w:tcPr>
            <w:tcW w:type="dxa" w:w="2340"/>
            <w:tcMar>
              <w:top w:w="80" w:type="dxa"/>
              <w:start w:w="120" w:type="dxa"/>
              <w:bottom w:w="80" w:type="dxa"/>
              <w:end w:w="120" w:type="dxa"/>
            </w:tcMar>
            <w:vAlign w:val="center"/>
          </w:tcPr>
          <w:p>
            <w:pPr>
              <w:spacing w:after="0"/>
            </w:pPr>
            <w:r>
              <w:rPr>
                <w:sz w:val="19"/>
              </w:rPr>
              <w:t>Aprobada, detalles congelados y comprobantes generados.</w:t>
            </w:r>
          </w:p>
        </w:tc>
        <w:tc>
          <w:tcPr>
            <w:tcW w:type="dxa" w:w="2340"/>
            <w:tcMar>
              <w:top w:w="80" w:type="dxa"/>
              <w:start w:w="120" w:type="dxa"/>
              <w:bottom w:w="80" w:type="dxa"/>
              <w:end w:w="120" w:type="dxa"/>
            </w:tcMar>
            <w:vAlign w:val="center"/>
          </w:tcPr>
          <w:p>
            <w:pPr>
              <w:spacing w:after="0"/>
            </w:pPr>
            <w:r>
              <w:rPr>
                <w:sz w:val="19"/>
              </w:rPr>
              <w:t>Pagada o Anulada.</w:t>
            </w:r>
          </w:p>
        </w:tc>
        <w:tc>
          <w:tcPr>
            <w:tcW w:type="dxa" w:w="2340"/>
            <w:tcMar>
              <w:top w:w="80" w:type="dxa"/>
              <w:start w:w="120" w:type="dxa"/>
              <w:bottom w:w="80" w:type="dxa"/>
              <w:end w:w="120" w:type="dxa"/>
            </w:tcMar>
            <w:vAlign w:val="center"/>
          </w:tcPr>
          <w:p>
            <w:pPr>
              <w:spacing w:after="0"/>
            </w:pPr>
            <w:r>
              <w:rPr>
                <w:sz w:val="19"/>
              </w:rPr>
              <w:t>Cerrado.</w:t>
            </w:r>
          </w:p>
        </w:tc>
      </w:tr>
      <w:tr>
        <w:trPr>
          <w:cantSplit/>
        </w:trPr>
        <w:tc>
          <w:tcPr>
            <w:tcW w:type="dxa" w:w="2340"/>
            <w:tcMar>
              <w:top w:w="80" w:type="dxa"/>
              <w:start w:w="120" w:type="dxa"/>
              <w:bottom w:w="80" w:type="dxa"/>
              <w:end w:w="120" w:type="dxa"/>
            </w:tcMar>
            <w:vAlign w:val="center"/>
          </w:tcPr>
          <w:p>
            <w:pPr>
              <w:spacing w:after="0"/>
            </w:pPr>
            <w:r>
              <w:rPr>
                <w:sz w:val="19"/>
              </w:rPr>
              <w:t>Pagada</w:t>
            </w:r>
          </w:p>
        </w:tc>
        <w:tc>
          <w:tcPr>
            <w:tcW w:type="dxa" w:w="2340"/>
            <w:tcMar>
              <w:top w:w="80" w:type="dxa"/>
              <w:start w:w="120" w:type="dxa"/>
              <w:bottom w:w="80" w:type="dxa"/>
              <w:end w:w="120" w:type="dxa"/>
            </w:tcMar>
            <w:vAlign w:val="center"/>
          </w:tcPr>
          <w:p>
            <w:pPr>
              <w:spacing w:after="0"/>
            </w:pPr>
            <w:r>
              <w:rPr>
                <w:sz w:val="19"/>
              </w:rPr>
              <w:t>Pago registrado con fecha y usuario.</w:t>
            </w:r>
          </w:p>
        </w:tc>
        <w:tc>
          <w:tcPr>
            <w:tcW w:type="dxa" w:w="2340"/>
            <w:tcMar>
              <w:top w:w="80" w:type="dxa"/>
              <w:start w:w="120" w:type="dxa"/>
              <w:bottom w:w="80" w:type="dxa"/>
              <w:end w:w="120" w:type="dxa"/>
            </w:tcMar>
            <w:vAlign w:val="center"/>
          </w:tcPr>
          <w:p>
            <w:pPr>
              <w:spacing w:after="0"/>
            </w:pPr>
            <w:r>
              <w:rPr>
                <w:sz w:val="19"/>
              </w:rPr>
              <w:t>Anulada con motivo.</w:t>
            </w:r>
          </w:p>
        </w:tc>
        <w:tc>
          <w:tcPr>
            <w:tcW w:type="dxa" w:w="2340"/>
            <w:tcMar>
              <w:top w:w="80" w:type="dxa"/>
              <w:start w:w="120" w:type="dxa"/>
              <w:bottom w:w="80" w:type="dxa"/>
              <w:end w:w="120" w:type="dxa"/>
            </w:tcMar>
            <w:vAlign w:val="center"/>
          </w:tcPr>
          <w:p>
            <w:pPr>
              <w:spacing w:after="0"/>
            </w:pPr>
            <w:r>
              <w:rPr>
                <w:sz w:val="19"/>
              </w:rPr>
              <w:t>Cerrado.</w:t>
            </w:r>
          </w:p>
        </w:tc>
      </w:tr>
      <w:tr>
        <w:trPr>
          <w:cantSplit/>
        </w:trPr>
        <w:tc>
          <w:tcPr>
            <w:tcW w:type="dxa" w:w="2340"/>
            <w:tcMar>
              <w:top w:w="80" w:type="dxa"/>
              <w:start w:w="120" w:type="dxa"/>
              <w:bottom w:w="80" w:type="dxa"/>
              <w:end w:w="120" w:type="dxa"/>
            </w:tcMar>
            <w:vAlign w:val="center"/>
          </w:tcPr>
          <w:p>
            <w:pPr>
              <w:spacing w:after="0"/>
            </w:pPr>
            <w:r>
              <w:rPr>
                <w:sz w:val="19"/>
              </w:rPr>
              <w:t>Anulada</w:t>
            </w:r>
          </w:p>
        </w:tc>
        <w:tc>
          <w:tcPr>
            <w:tcW w:type="dxa" w:w="2340"/>
            <w:tcMar>
              <w:top w:w="80" w:type="dxa"/>
              <w:start w:w="120" w:type="dxa"/>
              <w:bottom w:w="80" w:type="dxa"/>
              <w:end w:w="120" w:type="dxa"/>
            </w:tcMar>
            <w:vAlign w:val="center"/>
          </w:tcPr>
          <w:p>
            <w:pPr>
              <w:spacing w:after="0"/>
            </w:pPr>
            <w:r>
              <w:rPr>
                <w:sz w:val="19"/>
              </w:rPr>
              <w:t>Registro histórico inválido; no se borra.</w:t>
            </w:r>
          </w:p>
        </w:tc>
        <w:tc>
          <w:tcPr>
            <w:tcW w:type="dxa" w:w="2340"/>
            <w:tcMar>
              <w:top w:w="80" w:type="dxa"/>
              <w:start w:w="120" w:type="dxa"/>
              <w:bottom w:w="80" w:type="dxa"/>
              <w:end w:w="120" w:type="dxa"/>
            </w:tcMar>
            <w:vAlign w:val="center"/>
          </w:tcPr>
          <w:p>
            <w:pPr>
              <w:spacing w:after="0"/>
            </w:pPr>
            <w:r>
              <w:rPr>
                <w:sz w:val="19"/>
              </w:rPr>
              <w:t>Nueva versión calculada.</w:t>
            </w:r>
          </w:p>
        </w:tc>
        <w:tc>
          <w:tcPr>
            <w:tcW w:type="dxa" w:w="2340"/>
            <w:tcMar>
              <w:top w:w="80" w:type="dxa"/>
              <w:start w:w="120" w:type="dxa"/>
              <w:bottom w:w="80" w:type="dxa"/>
              <w:end w:w="120" w:type="dxa"/>
            </w:tcMar>
            <w:vAlign w:val="center"/>
          </w:tcPr>
          <w:p>
            <w:pPr>
              <w:spacing w:after="0"/>
            </w:pPr>
            <w:r>
              <w:rPr>
                <w:sz w:val="19"/>
              </w:rPr>
              <w:t>Reabrible únicamente por proceso controlado.</w:t>
            </w:r>
          </w:p>
        </w:tc>
      </w:tr>
    </w:tbl>
    <w:p>
      <w:pPr>
        <w:spacing w:after="0"/>
      </w:pPr>
    </w:p>
    <w:p>
      <w:r>
        <w:t>Regla crítica: no se permite saltar de Calculada a Pagada ni volver una nómina Pagada a Calculada. El servicio debe rechazar transiciones no listadas, aunque alguien intente invocar el método sin usar la UI.</w:t>
      </w:r>
    </w:p>
    <w:p>
      <w:pPr>
        <w:pStyle w:val="Heading1"/>
      </w:pPr>
      <w:r>
        <w:t>5. Diseño de datos y migración v4</w:t>
      </w:r>
    </w:p>
    <w:p>
      <w:r>
        <w:t>La base actual usa migraciones por PRAGMA user_version y llega a la versión 3. La Fase 3 debe agregarse como migración 4 dentro de DatabaseMigrationRunner; no se debe editar una base existente manualmente ni saltarse Backups/Migrations y MigracionesLog.</w:t>
      </w:r>
    </w:p>
    <w:p>
      <w:pPr>
        <w:pStyle w:val="Heading2"/>
      </w:pPr>
      <w:r>
        <w:t>Cambios mínimos recomendados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016"/>
            <w:shd w:fill="E8EEF5"/>
            <w:tcMar>
              <w:top w:w="80" w:type="dxa"/>
              <w:start w:w="120" w:type="dxa"/>
              <w:bottom w:w="80" w:type="dxa"/>
              <w:end w:w="120" w:type="dxa"/>
            </w:tcMar>
            <w:vAlign w:val="center"/>
          </w:tcPr>
          <w:p>
            <w:r>
              <w:rPr>
                <w:b/>
              </w:rPr>
              <w:t>Entidad</w:t>
            </w:r>
          </w:p>
        </w:tc>
        <w:tc>
          <w:tcPr>
            <w:tcW w:type="dxa" w:w="5112"/>
            <w:shd w:fill="E8EEF5"/>
            <w:tcMar>
              <w:top w:w="80" w:type="dxa"/>
              <w:start w:w="120" w:type="dxa"/>
              <w:bottom w:w="80" w:type="dxa"/>
              <w:end w:w="120" w:type="dxa"/>
            </w:tcMar>
            <w:vAlign w:val="center"/>
          </w:tcPr>
          <w:p>
            <w:r>
              <w:rPr>
                <w:b/>
              </w:rPr>
              <w:t>Cambios</w:t>
            </w:r>
          </w:p>
        </w:tc>
        <w:tc>
          <w:tcPr>
            <w:tcW w:type="dxa" w:w="2232"/>
            <w:shd w:fill="E8EEF5"/>
            <w:tcMar>
              <w:top w:w="80" w:type="dxa"/>
              <w:start w:w="120" w:type="dxa"/>
              <w:bottom w:w="80" w:type="dxa"/>
              <w:end w:w="120" w:type="dxa"/>
            </w:tcMar>
            <w:vAlign w:val="center"/>
          </w:tcPr>
          <w:p>
            <w:r>
              <w:rPr>
                <w:b/>
              </w:rPr>
              <w:t>Razón</w:t>
            </w:r>
          </w:p>
        </w:tc>
      </w:tr>
      <w:tr>
        <w:trPr>
          <w:cantSplit/>
        </w:trPr>
        <w:tc>
          <w:tcPr>
            <w:tcW w:type="dxa" w:w="3120"/>
            <w:tcMar>
              <w:top w:w="80" w:type="dxa"/>
              <w:start w:w="120" w:type="dxa"/>
              <w:bottom w:w="80" w:type="dxa"/>
              <w:end w:w="120" w:type="dxa"/>
            </w:tcMar>
            <w:vAlign w:val="center"/>
          </w:tcPr>
          <w:p>
            <w:pPr>
              <w:spacing w:after="0"/>
            </w:pPr>
            <w:r>
              <w:rPr>
                <w:sz w:val="19"/>
              </w:rPr>
              <w:t>PeriodosNomina</w:t>
            </w:r>
          </w:p>
        </w:tc>
        <w:tc>
          <w:tcPr>
            <w:tcW w:type="dxa" w:w="3120"/>
            <w:tcMar>
              <w:top w:w="80" w:type="dxa"/>
              <w:start w:w="120" w:type="dxa"/>
              <w:bottom w:w="80" w:type="dxa"/>
              <w:end w:w="120" w:type="dxa"/>
            </w:tcMar>
            <w:vAlign w:val="center"/>
          </w:tcPr>
          <w:p>
            <w:pPr>
              <w:spacing w:after="0"/>
            </w:pPr>
            <w:r>
              <w:rPr>
                <w:sz w:val="19"/>
              </w:rPr>
              <w:t>Cerrado INTEGER NOT NULL DEFAULT 0; FechaCierre TEXT NULL; CerradoPor TEXT NULL.</w:t>
            </w:r>
          </w:p>
        </w:tc>
        <w:tc>
          <w:tcPr>
            <w:tcW w:type="dxa" w:w="3120"/>
            <w:tcMar>
              <w:top w:w="80" w:type="dxa"/>
              <w:start w:w="120" w:type="dxa"/>
              <w:bottom w:w="80" w:type="dxa"/>
              <w:end w:w="120" w:type="dxa"/>
            </w:tcMar>
            <w:vAlign w:val="center"/>
          </w:tcPr>
          <w:p>
            <w:pPr>
              <w:spacing w:after="0"/>
            </w:pPr>
            <w:r>
              <w:rPr>
                <w:sz w:val="19"/>
              </w:rPr>
              <w:t>Conservar la frontera de fechas que no se puede modificar.</w:t>
            </w:r>
          </w:p>
        </w:tc>
      </w:tr>
      <w:tr>
        <w:trPr>
          <w:cantSplit/>
        </w:trPr>
        <w:tc>
          <w:tcPr>
            <w:tcW w:type="dxa" w:w="3120"/>
            <w:tcMar>
              <w:top w:w="80" w:type="dxa"/>
              <w:start w:w="120" w:type="dxa"/>
              <w:bottom w:w="80" w:type="dxa"/>
              <w:end w:w="120" w:type="dxa"/>
            </w:tcMar>
            <w:vAlign w:val="center"/>
          </w:tcPr>
          <w:p>
            <w:pPr>
              <w:spacing w:after="0"/>
            </w:pPr>
            <w:r>
              <w:rPr>
                <w:sz w:val="19"/>
              </w:rPr>
              <w:t>Nominas</w:t>
            </w:r>
          </w:p>
        </w:tc>
        <w:tc>
          <w:tcPr>
            <w:tcW w:type="dxa" w:w="3120"/>
            <w:tcMar>
              <w:top w:w="80" w:type="dxa"/>
              <w:start w:w="120" w:type="dxa"/>
              <w:bottom w:w="80" w:type="dxa"/>
              <w:end w:w="120" w:type="dxa"/>
            </w:tcMar>
            <w:vAlign w:val="center"/>
          </w:tcPr>
          <w:p>
            <w:pPr>
              <w:spacing w:after="0"/>
            </w:pPr>
            <w:r>
              <w:rPr>
                <w:sz w:val="19"/>
              </w:rPr>
              <w:t>FechaConfirmacion, ConfirmadaPor, FechaPago, PagadaPor, FechaAnulacion, AnuladaPor, MotivoAnulacion.</w:t>
            </w:r>
          </w:p>
        </w:tc>
        <w:tc>
          <w:tcPr>
            <w:tcW w:type="dxa" w:w="3120"/>
            <w:tcMar>
              <w:top w:w="80" w:type="dxa"/>
              <w:start w:w="120" w:type="dxa"/>
              <w:bottom w:w="80" w:type="dxa"/>
              <w:end w:w="120" w:type="dxa"/>
            </w:tcMar>
            <w:vAlign w:val="center"/>
          </w:tcPr>
          <w:p>
            <w:pPr>
              <w:spacing w:after="0"/>
            </w:pPr>
            <w:r>
              <w:rPr>
                <w:sz w:val="19"/>
              </w:rPr>
              <w:t>Explicar quién ejecutó cada punto crítico.</w:t>
            </w:r>
          </w:p>
        </w:tc>
      </w:tr>
      <w:tr>
        <w:trPr>
          <w:cantSplit/>
        </w:trPr>
        <w:tc>
          <w:tcPr>
            <w:tcW w:type="dxa" w:w="3120"/>
            <w:tcMar>
              <w:top w:w="80" w:type="dxa"/>
              <w:start w:w="120" w:type="dxa"/>
              <w:bottom w:w="80" w:type="dxa"/>
              <w:end w:w="120" w:type="dxa"/>
            </w:tcMar>
            <w:vAlign w:val="center"/>
          </w:tcPr>
          <w:p>
            <w:pPr>
              <w:spacing w:after="0"/>
            </w:pPr>
            <w:r>
              <w:rPr>
                <w:sz w:val="19"/>
              </w:rPr>
              <w:t>NominaVersiones</w:t>
            </w:r>
          </w:p>
        </w:tc>
        <w:tc>
          <w:tcPr>
            <w:tcW w:type="dxa" w:w="3120"/>
            <w:tcMar>
              <w:top w:w="80" w:type="dxa"/>
              <w:start w:w="120" w:type="dxa"/>
              <w:bottom w:w="80" w:type="dxa"/>
              <w:end w:w="120" w:type="dxa"/>
            </w:tcMar>
            <w:vAlign w:val="center"/>
          </w:tcPr>
          <w:p>
            <w:pPr>
              <w:spacing w:after="0"/>
            </w:pPr>
            <w:r>
              <w:rPr>
                <w:sz w:val="19"/>
              </w:rPr>
              <w:t>IdVersion, IdNominaOriginal, IdNominaNueva NULL, MotivoCambio, UsuarioResponsable, FechaCambio.</w:t>
            </w:r>
          </w:p>
        </w:tc>
        <w:tc>
          <w:tcPr>
            <w:tcW w:type="dxa" w:w="3120"/>
            <w:tcMar>
              <w:top w:w="80" w:type="dxa"/>
              <w:start w:w="120" w:type="dxa"/>
              <w:bottom w:w="80" w:type="dxa"/>
              <w:end w:w="120" w:type="dxa"/>
            </w:tcMar>
            <w:vAlign w:val="center"/>
          </w:tcPr>
          <w:p>
            <w:pPr>
              <w:spacing w:after="0"/>
            </w:pPr>
            <w:r>
              <w:rPr>
                <w:sz w:val="19"/>
              </w:rPr>
              <w:t>Conservar enlace entre anulación y reemplazo.</w:t>
            </w:r>
          </w:p>
        </w:tc>
      </w:tr>
    </w:tbl>
    <w:p>
      <w:pPr>
        <w:spacing w:after="0"/>
      </w:pPr>
    </w:p>
    <w:p>
      <w:r>
        <w:t>Crear además índices por Nominas(IdPeriodo, Estado), NominaVersiones(IdNominaOriginal) y Asistencias(IdEmpleado, Fecha) para mantener ágiles las validaciones y consultas de historial.</w:t>
      </w:r>
    </w:p>
    <w:p>
      <w:pPr>
        <w:pStyle w:val="Heading2"/>
      </w:pPr>
      <w:r>
        <w:t>Bloqueo de asistencia</w:t>
      </w:r>
    </w:p>
    <w:p>
      <w:r>
        <w:t>Agregar un trigger para impedir INSERT de asistencia cuando Fecha esté dentro de un PeriodoNomina con Cerrado=1. Si posteriormente se implementa edición de asistencia, debe existir un trigger equivalente para UPDATE. La validación en AsistenciaService es necesaria para un buen mensaje al usuario, pero el trigger es la última barrera de integridad.</w:t>
      </w:r>
    </w:p>
    <w:p>
      <w:r>
        <w:t>No se debe prohibir para siempre modificar SalarioBase de un empleado porque ya tenga una nómina histórica. NominaDetalle ya conserva el valor usado en el pago; un bloqueo global impediría aumentos futuros. El historial salarial con fecha efectiva es tema de la Fase 4, no de esta fase.</w:t>
      </w:r>
    </w:p>
    <w:p>
      <w:pPr>
        <w:pStyle w:val="Heading1"/>
      </w:pPr>
      <w:r>
        <w:t>6. Flujo funcional propuesto</w:t>
      </w:r>
    </w:p>
    <w:p>
      <w:pPr>
        <w:pStyle w:val="Heading2"/>
      </w:pPr>
      <w:r>
        <w:t>Calcular y confirmar</w:t>
      </w:r>
    </w:p>
    <w:p>
      <w:pPr>
        <w:pStyle w:val="ListNumber"/>
        <w:spacing w:after="80"/>
      </w:pPr>
      <w:r>
        <w:t>FrmNomina solicita Calcular; NominaService usa empleados activos, asistencias y ConfiguracionNomina para producir detalles en estado Calculada.</w:t>
      </w:r>
    </w:p>
    <w:p>
      <w:pPr>
        <w:pStyle w:val="ListNumber"/>
        <w:spacing w:after="80"/>
      </w:pPr>
      <w:r>
        <w:t>El usuario revisa los detalles. Al confirmar, PayrollLifecycleService valida permiso nomina.confirmar, que existan detalles y que el período no esté cerrado.</w:t>
      </w:r>
    </w:p>
    <w:p>
      <w:pPr>
        <w:pStyle w:val="ListNumber"/>
        <w:spacing w:after="80"/>
      </w:pPr>
      <w:r>
        <w:t>En una sola transacción se crea/actualiza el período, se guarda la nómina y detalles, se generan comprobantes, se cierra el período y se registra auditoría.</w:t>
      </w:r>
    </w:p>
    <w:p>
      <w:pPr>
        <w:pStyle w:val="ListNumber"/>
        <w:spacing w:after="80"/>
      </w:pPr>
      <w:r>
        <w:t>El estado final es Confirmada. Desde ese instante no se agregan ni modifican asistencias en las fechas cubiertas.</w:t>
      </w:r>
    </w:p>
    <w:p>
      <w:pPr>
        <w:pStyle w:val="Heading2"/>
      </w:pPr>
      <w:r>
        <w:t>Pagar</w:t>
      </w:r>
    </w:p>
    <w:p>
      <w:pPr>
        <w:pStyle w:val="ListNumber"/>
        <w:spacing w:after="80"/>
      </w:pPr>
      <w:r>
        <w:t>La UI pide confirmación explícita de pago.</w:t>
      </w:r>
    </w:p>
    <w:p>
      <w:pPr>
        <w:pStyle w:val="ListNumber"/>
        <w:spacing w:after="80"/>
      </w:pPr>
      <w:r>
        <w:t>El servicio exige nomina.pagar y solo acepta una nómina Confirmada.</w:t>
      </w:r>
    </w:p>
    <w:p>
      <w:pPr>
        <w:pStyle w:val="ListNumber"/>
        <w:spacing w:after="80"/>
      </w:pPr>
      <w:r>
        <w:t>En transacción, actualiza a Pagada, guarda FechaPago y PagadaPor, y registra auditoría.</w:t>
      </w:r>
    </w:p>
    <w:p>
      <w:pPr>
        <w:pStyle w:val="ListNumber"/>
        <w:spacing w:after="80"/>
      </w:pPr>
      <w:r>
        <w:t>No recalcula montos ni regenera detalles al pagar.</w:t>
      </w:r>
    </w:p>
    <w:p>
      <w:pPr>
        <w:pStyle w:val="Heading2"/>
      </w:pPr>
      <w:r>
        <w:t>Anular y recalcular</w:t>
      </w:r>
    </w:p>
    <w:p>
      <w:pPr>
        <w:pStyle w:val="ListNumber"/>
        <w:spacing w:after="80"/>
      </w:pPr>
      <w:r>
        <w:t>La UI solicita un motivo obligatorio y muestra advertencia de que la nómina anterior seguirá existiendo.</w:t>
      </w:r>
    </w:p>
    <w:p>
      <w:pPr>
        <w:pStyle w:val="ListNumber"/>
        <w:spacing w:after="80"/>
      </w:pPr>
      <w:r>
        <w:t>El servicio exige nomina.anular; solo permite anular Confirmada o Pagada.</w:t>
      </w:r>
    </w:p>
    <w:p>
      <w:pPr>
        <w:pStyle w:val="ListNumber"/>
        <w:spacing w:after="80"/>
      </w:pPr>
      <w:r>
        <w:t>En una transacción marca la nómina Anulada, guarda usuario/fecha/motivo, crea NominaVersiones y escribe auditoría.</w:t>
      </w:r>
    </w:p>
    <w:p>
      <w:pPr>
        <w:pStyle w:val="ListNumber"/>
        <w:spacing w:after="80"/>
      </w:pPr>
      <w:r>
        <w:t>Si se necesita corregir las asistencias del rango, se reabre el período únicamente dentro de esta operación controlada; nunca con una edición SQL manual.</w:t>
      </w:r>
    </w:p>
    <w:p>
      <w:pPr>
        <w:pStyle w:val="ListNumber"/>
        <w:spacing w:after="80"/>
      </w:pPr>
      <w:r>
        <w:t>Se corrigen los datos operativos, se calcula una nueva nómina y NominaVersiones recibe IdNominaNueva cuando la nueva versión queda confirmada.</w:t>
      </w:r>
    </w:p>
    <w:p>
      <w:pPr>
        <w:pStyle w:val="Heading1"/>
      </w:pPr>
      <w:r>
        <w:t>7. Permisos y cambios de interfaz</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520"/>
            <w:shd w:fill="E8EEF5"/>
            <w:tcMar>
              <w:top w:w="80" w:type="dxa"/>
              <w:start w:w="120" w:type="dxa"/>
              <w:bottom w:w="80" w:type="dxa"/>
              <w:end w:w="120" w:type="dxa"/>
            </w:tcMar>
            <w:vAlign w:val="center"/>
          </w:tcPr>
          <w:p>
            <w:r>
              <w:rPr>
                <w:b/>
              </w:rPr>
              <w:t>Nuevo permiso</w:t>
            </w:r>
          </w:p>
        </w:tc>
        <w:tc>
          <w:tcPr>
            <w:tcW w:type="dxa" w:w="3672"/>
            <w:shd w:fill="E8EEF5"/>
            <w:tcMar>
              <w:top w:w="80" w:type="dxa"/>
              <w:start w:w="120" w:type="dxa"/>
              <w:bottom w:w="80" w:type="dxa"/>
              <w:end w:w="120" w:type="dxa"/>
            </w:tcMar>
            <w:vAlign w:val="center"/>
          </w:tcPr>
          <w:p>
            <w:r>
              <w:rPr>
                <w:b/>
              </w:rPr>
              <w:t>Roles iniciales sugeridos</w:t>
            </w:r>
          </w:p>
        </w:tc>
        <w:tc>
          <w:tcPr>
            <w:tcW w:type="dxa" w:w="3168"/>
            <w:shd w:fill="E8EEF5"/>
            <w:tcMar>
              <w:top w:w="80" w:type="dxa"/>
              <w:start w:w="120" w:type="dxa"/>
              <w:bottom w:w="80" w:type="dxa"/>
              <w:end w:w="120" w:type="dxa"/>
            </w:tcMar>
            <w:vAlign w:val="center"/>
          </w:tcPr>
          <w:p>
            <w:r>
              <w:rPr>
                <w:b/>
              </w:rPr>
              <w:t>Uso</w:t>
            </w:r>
          </w:p>
        </w:tc>
      </w:tr>
      <w:tr>
        <w:trPr>
          <w:cantSplit/>
        </w:trPr>
        <w:tc>
          <w:tcPr>
            <w:tcW w:type="dxa" w:w="3120"/>
            <w:tcMar>
              <w:top w:w="80" w:type="dxa"/>
              <w:start w:w="120" w:type="dxa"/>
              <w:bottom w:w="80" w:type="dxa"/>
              <w:end w:w="120" w:type="dxa"/>
            </w:tcMar>
            <w:vAlign w:val="center"/>
          </w:tcPr>
          <w:p>
            <w:pPr>
              <w:spacing w:after="0"/>
            </w:pPr>
            <w:r>
              <w:rPr>
                <w:sz w:val="19"/>
              </w:rPr>
              <w:t>nomina.pagar</w:t>
            </w:r>
          </w:p>
        </w:tc>
        <w:tc>
          <w:tcPr>
            <w:tcW w:type="dxa" w:w="3120"/>
            <w:tcMar>
              <w:top w:w="80" w:type="dxa"/>
              <w:start w:w="120" w:type="dxa"/>
              <w:bottom w:w="80" w:type="dxa"/>
              <w:end w:w="120" w:type="dxa"/>
            </w:tcMar>
            <w:vAlign w:val="center"/>
          </w:tcPr>
          <w:p>
            <w:pPr>
              <w:spacing w:after="0"/>
            </w:pPr>
            <w:r>
              <w:rPr>
                <w:sz w:val="19"/>
              </w:rPr>
              <w:t>Admin, Contabilidad.</w:t>
            </w:r>
          </w:p>
        </w:tc>
        <w:tc>
          <w:tcPr>
            <w:tcW w:type="dxa" w:w="3120"/>
            <w:tcMar>
              <w:top w:w="80" w:type="dxa"/>
              <w:start w:w="120" w:type="dxa"/>
              <w:bottom w:w="80" w:type="dxa"/>
              <w:end w:w="120" w:type="dxa"/>
            </w:tcMar>
            <w:vAlign w:val="center"/>
          </w:tcPr>
          <w:p>
            <w:pPr>
              <w:spacing w:after="0"/>
            </w:pPr>
            <w:r>
              <w:rPr>
                <w:sz w:val="19"/>
              </w:rPr>
              <w:t>Habilita Registrar pago.</w:t>
            </w:r>
          </w:p>
        </w:tc>
      </w:tr>
      <w:tr>
        <w:trPr>
          <w:cantSplit/>
        </w:trPr>
        <w:tc>
          <w:tcPr>
            <w:tcW w:type="dxa" w:w="3120"/>
            <w:tcMar>
              <w:top w:w="80" w:type="dxa"/>
              <w:start w:w="120" w:type="dxa"/>
              <w:bottom w:w="80" w:type="dxa"/>
              <w:end w:w="120" w:type="dxa"/>
            </w:tcMar>
            <w:vAlign w:val="center"/>
          </w:tcPr>
          <w:p>
            <w:pPr>
              <w:spacing w:after="0"/>
            </w:pPr>
            <w:r>
              <w:rPr>
                <w:sz w:val="19"/>
              </w:rPr>
              <w:t>nomina.anular</w:t>
            </w:r>
          </w:p>
        </w:tc>
        <w:tc>
          <w:tcPr>
            <w:tcW w:type="dxa" w:w="3120"/>
            <w:tcMar>
              <w:top w:w="80" w:type="dxa"/>
              <w:start w:w="120" w:type="dxa"/>
              <w:bottom w:w="80" w:type="dxa"/>
              <w:end w:w="120" w:type="dxa"/>
            </w:tcMar>
            <w:vAlign w:val="center"/>
          </w:tcPr>
          <w:p>
            <w:pPr>
              <w:spacing w:after="0"/>
            </w:pPr>
            <w:r>
              <w:rPr>
                <w:sz w:val="19"/>
              </w:rPr>
              <w:t>Admin; Contabilidad si el equipo lo aprueba.</w:t>
            </w:r>
          </w:p>
        </w:tc>
        <w:tc>
          <w:tcPr>
            <w:tcW w:type="dxa" w:w="3120"/>
            <w:tcMar>
              <w:top w:w="80" w:type="dxa"/>
              <w:start w:w="120" w:type="dxa"/>
              <w:bottom w:w="80" w:type="dxa"/>
              <w:end w:w="120" w:type="dxa"/>
            </w:tcMar>
            <w:vAlign w:val="center"/>
          </w:tcPr>
          <w:p>
            <w:pPr>
              <w:spacing w:after="0"/>
            </w:pPr>
            <w:r>
              <w:rPr>
                <w:sz w:val="19"/>
              </w:rPr>
              <w:t>Habilita Anular y exige motivo.</w:t>
            </w:r>
          </w:p>
        </w:tc>
      </w:tr>
      <w:tr>
        <w:trPr>
          <w:cantSplit/>
        </w:trPr>
        <w:tc>
          <w:tcPr>
            <w:tcW w:type="dxa" w:w="3120"/>
            <w:tcMar>
              <w:top w:w="80" w:type="dxa"/>
              <w:start w:w="120" w:type="dxa"/>
              <w:bottom w:w="80" w:type="dxa"/>
              <w:end w:w="120" w:type="dxa"/>
            </w:tcMar>
            <w:vAlign w:val="center"/>
          </w:tcPr>
          <w:p>
            <w:pPr>
              <w:spacing w:after="0"/>
            </w:pPr>
            <w:r>
              <w:rPr>
                <w:sz w:val="19"/>
              </w:rPr>
              <w:t>nomina.recalcular</w:t>
            </w:r>
          </w:p>
        </w:tc>
        <w:tc>
          <w:tcPr>
            <w:tcW w:type="dxa" w:w="3120"/>
            <w:tcMar>
              <w:top w:w="80" w:type="dxa"/>
              <w:start w:w="120" w:type="dxa"/>
              <w:bottom w:w="80" w:type="dxa"/>
              <w:end w:w="120" w:type="dxa"/>
            </w:tcMar>
            <w:vAlign w:val="center"/>
          </w:tcPr>
          <w:p>
            <w:pPr>
              <w:spacing w:after="0"/>
            </w:pPr>
            <w:r>
              <w:rPr>
                <w:sz w:val="19"/>
              </w:rPr>
              <w:t>Admin, Contabilidad.</w:t>
            </w:r>
          </w:p>
        </w:tc>
        <w:tc>
          <w:tcPr>
            <w:tcW w:type="dxa" w:w="3120"/>
            <w:tcMar>
              <w:top w:w="80" w:type="dxa"/>
              <w:start w:w="120" w:type="dxa"/>
              <w:bottom w:w="80" w:type="dxa"/>
              <w:end w:w="120" w:type="dxa"/>
            </w:tcMar>
            <w:vAlign w:val="center"/>
          </w:tcPr>
          <w:p>
            <w:pPr>
              <w:spacing w:after="0"/>
            </w:pPr>
            <w:r>
              <w:rPr>
                <w:sz w:val="19"/>
              </w:rPr>
              <w:t>Habilita crear versión tras anulación.</w:t>
            </w:r>
          </w:p>
        </w:tc>
      </w:tr>
      <w:tr>
        <w:trPr>
          <w:cantSplit/>
        </w:trPr>
        <w:tc>
          <w:tcPr>
            <w:tcW w:type="dxa" w:w="3120"/>
            <w:tcMar>
              <w:top w:w="80" w:type="dxa"/>
              <w:start w:w="120" w:type="dxa"/>
              <w:bottom w:w="80" w:type="dxa"/>
              <w:end w:w="120" w:type="dxa"/>
            </w:tcMar>
            <w:vAlign w:val="center"/>
          </w:tcPr>
          <w:p>
            <w:pPr>
              <w:spacing w:after="0"/>
            </w:pPr>
            <w:r>
              <w:rPr>
                <w:sz w:val="19"/>
              </w:rPr>
              <w:t>nomina.historial.ver</w:t>
            </w:r>
          </w:p>
        </w:tc>
        <w:tc>
          <w:tcPr>
            <w:tcW w:type="dxa" w:w="3120"/>
            <w:tcMar>
              <w:top w:w="80" w:type="dxa"/>
              <w:start w:w="120" w:type="dxa"/>
              <w:bottom w:w="80" w:type="dxa"/>
              <w:end w:w="120" w:type="dxa"/>
            </w:tcMar>
            <w:vAlign w:val="center"/>
          </w:tcPr>
          <w:p>
            <w:pPr>
              <w:spacing w:after="0"/>
            </w:pPr>
            <w:r>
              <w:rPr>
                <w:sz w:val="19"/>
              </w:rPr>
              <w:t>Admin, Contabilidad, RRHH solo lectura si se desea.</w:t>
            </w:r>
          </w:p>
        </w:tc>
        <w:tc>
          <w:tcPr>
            <w:tcW w:type="dxa" w:w="3120"/>
            <w:tcMar>
              <w:top w:w="80" w:type="dxa"/>
              <w:start w:w="120" w:type="dxa"/>
              <w:bottom w:w="80" w:type="dxa"/>
              <w:end w:w="120" w:type="dxa"/>
            </w:tcMar>
            <w:vAlign w:val="center"/>
          </w:tcPr>
          <w:p>
            <w:pPr>
              <w:spacing w:after="0"/>
            </w:pPr>
            <w:r>
              <w:rPr>
                <w:sz w:val="19"/>
              </w:rPr>
              <w:t>Consulta estados, versión y motivo.</w:t>
            </w:r>
          </w:p>
        </w:tc>
      </w:tr>
    </w:tbl>
    <w:p>
      <w:pPr>
        <w:spacing w:after="0"/>
      </w:pPr>
    </w:p>
    <w:p>
      <w:pPr>
        <w:pStyle w:val="ListBullet"/>
        <w:spacing w:after="80"/>
      </w:pPr>
      <w:r>
        <w:t>Agregar a Permissions las constantes nuevas y a RolePermissionService su matriz. No usar literales dispersos.</w:t>
      </w:r>
    </w:p>
    <w:p>
      <w:pPr>
        <w:pStyle w:val="ListBullet"/>
        <w:spacing w:after="80"/>
      </w:pPr>
      <w:r>
        <w:t>En FrmNomina, mostrar una etiqueta de estado y botones separados: Calcular, Confirmar, Registrar pago, Anular y Recalcular.</w:t>
      </w:r>
    </w:p>
    <w:p>
      <w:pPr>
        <w:pStyle w:val="ListBullet"/>
        <w:spacing w:after="80"/>
      </w:pPr>
      <w:r>
        <w:t>Deshabilitar acciones según estado para orientar al usuario, pero mantener siempre la validación real en el servicio.</w:t>
      </w:r>
    </w:p>
    <w:p>
      <w:pPr>
        <w:pStyle w:val="ListBullet"/>
        <w:spacing w:after="80"/>
      </w:pPr>
      <w:r>
        <w:t>Crear un cuadro de diálogo de anulación con Motivo obligatorio y resumen de la nómina.</w:t>
      </w:r>
    </w:p>
    <w:p>
      <w:pPr>
        <w:pStyle w:val="ListBullet"/>
        <w:spacing w:after="80"/>
      </w:pPr>
      <w:r>
        <w:t>Agregar una vista de historial o panel de detalle que muestre estado, fechas, usuario y relación con versión anterior/nueva.</w:t>
      </w:r>
    </w:p>
    <w:p>
      <w:pPr>
        <w:pStyle w:val="Heading1"/>
      </w:pPr>
      <w:r>
        <w:t>8. Ajuste necesario en el código existente</w:t>
      </w:r>
    </w:p>
    <w:p>
      <w:r>
        <w:t>Actualmente ConfirmarPago crea PeriodoNomina y Nomina usando llamadas separadas y luego genera comprobantes. Para Fase 3 debe reemplazarse por una operación coordinada dentro de una única transacción SQLite: si falla cualquier paso, no puede quedar un período cerrado sin nómina, una nómina sin comprobantes o auditoría incoherente.</w:t>
      </w:r>
    </w:p>
    <w:p>
      <w:r>
        <w:t>La forma más limpia es separar NominaService: conservar CalcularNomina para la fórmula y crear PayrollLifecycleService para Confirmar, Pagar, Anular y Recalcular. Así se evita convertir BusinessServices.cs en una clase todavía más grande.</w:t>
      </w:r>
    </w:p>
    <w:p>
      <w:r>
        <w:br w:type="page"/>
      </w:r>
    </w:p>
    <w:p>
      <w:pPr>
        <w:pStyle w:val="Heading1"/>
      </w:pPr>
      <w:r>
        <w:t>9. Reparto seguro para el equipo</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shd w:fill="E8EEF5"/>
            <w:tcMar>
              <w:top w:w="80" w:type="dxa"/>
              <w:start w:w="120" w:type="dxa"/>
              <w:bottom w:w="80" w:type="dxa"/>
              <w:end w:w="120" w:type="dxa"/>
            </w:tcMar>
            <w:vAlign w:val="center"/>
          </w:tcPr>
          <w:p>
            <w:r>
              <w:rPr>
                <w:b/>
              </w:rPr>
              <w:t>Responsable</w:t>
            </w:r>
          </w:p>
        </w:tc>
        <w:tc>
          <w:tcPr>
            <w:tcW w:type="dxa" w:w="3960"/>
            <w:shd w:fill="E8EEF5"/>
            <w:tcMar>
              <w:top w:w="80" w:type="dxa"/>
              <w:start w:w="120" w:type="dxa"/>
              <w:bottom w:w="80" w:type="dxa"/>
              <w:end w:w="120" w:type="dxa"/>
            </w:tcMar>
            <w:vAlign w:val="center"/>
          </w:tcPr>
          <w:p>
            <w:r>
              <w:rPr>
                <w:b/>
              </w:rPr>
              <w:t>Archivos/área</w:t>
            </w:r>
          </w:p>
        </w:tc>
        <w:tc>
          <w:tcPr>
            <w:tcW w:type="dxa" w:w="3456"/>
            <w:shd w:fill="E8EEF5"/>
            <w:tcMar>
              <w:top w:w="80" w:type="dxa"/>
              <w:start w:w="120" w:type="dxa"/>
              <w:bottom w:w="80" w:type="dxa"/>
              <w:end w:w="120" w:type="dxa"/>
            </w:tcMar>
            <w:vAlign w:val="center"/>
          </w:tcPr>
          <w:p>
            <w:r>
              <w:rPr>
                <w:b/>
              </w:rPr>
              <w:t>Entrega verificable</w:t>
            </w:r>
          </w:p>
        </w:tc>
      </w:tr>
      <w:tr>
        <w:trPr>
          <w:cantSplit/>
        </w:trPr>
        <w:tc>
          <w:tcPr>
            <w:tcW w:type="dxa" w:w="3120"/>
            <w:tcMar>
              <w:top w:w="80" w:type="dxa"/>
              <w:start w:w="120" w:type="dxa"/>
              <w:bottom w:w="80" w:type="dxa"/>
              <w:end w:w="120" w:type="dxa"/>
            </w:tcMar>
            <w:vAlign w:val="center"/>
          </w:tcPr>
          <w:p>
            <w:pPr>
              <w:spacing w:after="0"/>
            </w:pPr>
            <w:r>
              <w:rPr>
                <w:sz w:val="19"/>
              </w:rPr>
              <w:t>Persona A — Datos</w:t>
            </w:r>
          </w:p>
        </w:tc>
        <w:tc>
          <w:tcPr>
            <w:tcW w:type="dxa" w:w="3120"/>
            <w:tcMar>
              <w:top w:w="80" w:type="dxa"/>
              <w:start w:w="120" w:type="dxa"/>
              <w:bottom w:w="80" w:type="dxa"/>
              <w:end w:w="120" w:type="dxa"/>
            </w:tcMar>
            <w:vAlign w:val="center"/>
          </w:tcPr>
          <w:p>
            <w:pPr>
              <w:spacing w:after="0"/>
            </w:pPr>
            <w:r>
              <w:rPr>
                <w:sz w:val="19"/>
              </w:rPr>
              <w:t>DatabaseMigrationRunner, entidades, repositorios.</w:t>
            </w:r>
          </w:p>
        </w:tc>
        <w:tc>
          <w:tcPr>
            <w:tcW w:type="dxa" w:w="3120"/>
            <w:tcMar>
              <w:top w:w="80" w:type="dxa"/>
              <w:start w:w="120" w:type="dxa"/>
              <w:bottom w:w="80" w:type="dxa"/>
              <w:end w:w="120" w:type="dxa"/>
            </w:tcMar>
            <w:vAlign w:val="center"/>
          </w:tcPr>
          <w:p>
            <w:pPr>
              <w:spacing w:after="0"/>
            </w:pPr>
            <w:r>
              <w:rPr>
                <w:sz w:val="19"/>
              </w:rPr>
              <w:t>Migración v4 idempotente, tablas/campos, índices y trigger; prueba de base temporal.</w:t>
            </w:r>
          </w:p>
        </w:tc>
      </w:tr>
      <w:tr>
        <w:trPr>
          <w:cantSplit/>
        </w:trPr>
        <w:tc>
          <w:tcPr>
            <w:tcW w:type="dxa" w:w="3120"/>
            <w:tcMar>
              <w:top w:w="80" w:type="dxa"/>
              <w:start w:w="120" w:type="dxa"/>
              <w:bottom w:w="80" w:type="dxa"/>
              <w:end w:w="120" w:type="dxa"/>
            </w:tcMar>
            <w:vAlign w:val="center"/>
          </w:tcPr>
          <w:p>
            <w:pPr>
              <w:spacing w:after="0"/>
            </w:pPr>
            <w:r>
              <w:rPr>
                <w:sz w:val="19"/>
              </w:rPr>
              <w:t>Persona B — Reglas</w:t>
            </w:r>
          </w:p>
        </w:tc>
        <w:tc>
          <w:tcPr>
            <w:tcW w:type="dxa" w:w="3120"/>
            <w:tcMar>
              <w:top w:w="80" w:type="dxa"/>
              <w:start w:w="120" w:type="dxa"/>
              <w:bottom w:w="80" w:type="dxa"/>
              <w:end w:w="120" w:type="dxa"/>
            </w:tcMar>
            <w:vAlign w:val="center"/>
          </w:tcPr>
          <w:p>
            <w:pPr>
              <w:spacing w:after="0"/>
            </w:pPr>
            <w:r>
              <w:rPr>
                <w:sz w:val="19"/>
              </w:rPr>
              <w:t>Servicios de ciclo de nómina y permisos.</w:t>
            </w:r>
          </w:p>
        </w:tc>
        <w:tc>
          <w:tcPr>
            <w:tcW w:type="dxa" w:w="3120"/>
            <w:tcMar>
              <w:top w:w="80" w:type="dxa"/>
              <w:start w:w="120" w:type="dxa"/>
              <w:bottom w:w="80" w:type="dxa"/>
              <w:end w:w="120" w:type="dxa"/>
            </w:tcMar>
            <w:vAlign w:val="center"/>
          </w:tcPr>
          <w:p>
            <w:pPr>
              <w:spacing w:after="0"/>
            </w:pPr>
            <w:r>
              <w:rPr>
                <w:sz w:val="19"/>
              </w:rPr>
              <w:t>Transiciones, transacciones, auditoría y mensajes de negocio; pruebas de servicios.</w:t>
            </w:r>
          </w:p>
        </w:tc>
      </w:tr>
      <w:tr>
        <w:trPr>
          <w:cantSplit/>
        </w:trPr>
        <w:tc>
          <w:tcPr>
            <w:tcW w:type="dxa" w:w="3120"/>
            <w:tcMar>
              <w:top w:w="80" w:type="dxa"/>
              <w:start w:w="120" w:type="dxa"/>
              <w:bottom w:w="80" w:type="dxa"/>
              <w:end w:w="120" w:type="dxa"/>
            </w:tcMar>
            <w:vAlign w:val="center"/>
          </w:tcPr>
          <w:p>
            <w:pPr>
              <w:spacing w:after="0"/>
            </w:pPr>
            <w:r>
              <w:rPr>
                <w:sz w:val="19"/>
              </w:rPr>
              <w:t>Persona C — Interfaz</w:t>
            </w:r>
          </w:p>
        </w:tc>
        <w:tc>
          <w:tcPr>
            <w:tcW w:type="dxa" w:w="3120"/>
            <w:tcMar>
              <w:top w:w="80" w:type="dxa"/>
              <w:start w:w="120" w:type="dxa"/>
              <w:bottom w:w="80" w:type="dxa"/>
              <w:end w:w="120" w:type="dxa"/>
            </w:tcMar>
            <w:vAlign w:val="center"/>
          </w:tcPr>
          <w:p>
            <w:pPr>
              <w:spacing w:after="0"/>
            </w:pPr>
            <w:r>
              <w:rPr>
                <w:sz w:val="19"/>
              </w:rPr>
              <w:t>FrmNomina, diálogo de anulación e historial.</w:t>
            </w:r>
          </w:p>
        </w:tc>
        <w:tc>
          <w:tcPr>
            <w:tcW w:type="dxa" w:w="3120"/>
            <w:tcMar>
              <w:top w:w="80" w:type="dxa"/>
              <w:start w:w="120" w:type="dxa"/>
              <w:bottom w:w="80" w:type="dxa"/>
              <w:end w:w="120" w:type="dxa"/>
            </w:tcMar>
            <w:vAlign w:val="center"/>
          </w:tcPr>
          <w:p>
            <w:pPr>
              <w:spacing w:after="0"/>
            </w:pPr>
            <w:r>
              <w:rPr>
                <w:sz w:val="19"/>
              </w:rPr>
              <w:t>Estados visibles y botones conectados a servicios; sin SQL ni lógica duplicada.</w:t>
            </w:r>
          </w:p>
        </w:tc>
      </w:tr>
      <w:tr>
        <w:trPr>
          <w:cantSplit/>
        </w:trPr>
        <w:tc>
          <w:tcPr>
            <w:tcW w:type="dxa" w:w="3120"/>
            <w:tcMar>
              <w:top w:w="80" w:type="dxa"/>
              <w:start w:w="120" w:type="dxa"/>
              <w:bottom w:w="80" w:type="dxa"/>
              <w:end w:w="120" w:type="dxa"/>
            </w:tcMar>
            <w:vAlign w:val="center"/>
          </w:tcPr>
          <w:p>
            <w:pPr>
              <w:spacing w:after="0"/>
            </w:pPr>
            <w:r>
              <w:rPr>
                <w:sz w:val="19"/>
              </w:rPr>
              <w:t>Persona D — Calidad</w:t>
            </w:r>
          </w:p>
        </w:tc>
        <w:tc>
          <w:tcPr>
            <w:tcW w:type="dxa" w:w="3120"/>
            <w:tcMar>
              <w:top w:w="80" w:type="dxa"/>
              <w:start w:w="120" w:type="dxa"/>
              <w:bottom w:w="80" w:type="dxa"/>
              <w:end w:w="120" w:type="dxa"/>
            </w:tcMar>
            <w:vAlign w:val="center"/>
          </w:tcPr>
          <w:p>
            <w:pPr>
              <w:spacing w:after="0"/>
            </w:pPr>
            <w:r>
              <w:rPr>
                <w:sz w:val="19"/>
              </w:rPr>
              <w:t>Smoke tests, casos manuales y documentación.</w:t>
            </w:r>
          </w:p>
        </w:tc>
        <w:tc>
          <w:tcPr>
            <w:tcW w:type="dxa" w:w="3120"/>
            <w:tcMar>
              <w:top w:w="80" w:type="dxa"/>
              <w:start w:w="120" w:type="dxa"/>
              <w:bottom w:w="80" w:type="dxa"/>
              <w:end w:w="120" w:type="dxa"/>
            </w:tcMar>
            <w:vAlign w:val="center"/>
          </w:tcPr>
          <w:p>
            <w:pPr>
              <w:spacing w:after="0"/>
            </w:pPr>
            <w:r>
              <w:rPr>
                <w:sz w:val="19"/>
              </w:rPr>
              <w:t>Matriz de pruebas, datos aislados, verificación de regresión de Fases 1–2.</w:t>
            </w:r>
          </w:p>
        </w:tc>
      </w:tr>
    </w:tbl>
    <w:p>
      <w:pPr>
        <w:spacing w:after="0"/>
      </w:pPr>
    </w:p>
    <w:p>
      <w:r>
        <w:t>Regla de integración: Persona A define primero los contratos de modelos y repositorios. Persona B no debe cambiar el Designer; Persona C no debe modificar el esquema. Las ramas se integran después de ejecutar pruebas de datos y servicios.</w:t>
      </w:r>
    </w:p>
    <w:p>
      <w:pPr>
        <w:pStyle w:val="Heading1"/>
      </w:pPr>
      <w:r>
        <w:t>10. Matriz de aceptación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024"/>
            <w:shd w:fill="E8EEF5"/>
            <w:tcMar>
              <w:top w:w="80" w:type="dxa"/>
              <w:start w:w="120" w:type="dxa"/>
              <w:bottom w:w="80" w:type="dxa"/>
              <w:end w:w="120" w:type="dxa"/>
            </w:tcMar>
            <w:vAlign w:val="center"/>
          </w:tcPr>
          <w:p>
            <w:r>
              <w:rPr>
                <w:b/>
              </w:rPr>
              <w:t>Caso</w:t>
            </w:r>
          </w:p>
        </w:tc>
        <w:tc>
          <w:tcPr>
            <w:tcW w:type="dxa" w:w="6336"/>
            <w:shd w:fill="E8EEF5"/>
            <w:tcMar>
              <w:top w:w="80" w:type="dxa"/>
              <w:start w:w="120" w:type="dxa"/>
              <w:bottom w:w="80" w:type="dxa"/>
              <w:end w:w="120" w:type="dxa"/>
            </w:tcMar>
            <w:vAlign w:val="center"/>
          </w:tcPr>
          <w:p>
            <w:r>
              <w:rPr>
                <w:b/>
              </w:rPr>
              <w:t>Resultado esperado</w:t>
            </w:r>
          </w:p>
        </w:tc>
      </w:tr>
      <w:tr>
        <w:trPr>
          <w:cantSplit/>
        </w:trPr>
        <w:tc>
          <w:tcPr>
            <w:tcW w:type="dxa" w:w="4680"/>
            <w:tcMar>
              <w:top w:w="80" w:type="dxa"/>
              <w:start w:w="120" w:type="dxa"/>
              <w:bottom w:w="80" w:type="dxa"/>
              <w:end w:w="120" w:type="dxa"/>
            </w:tcMar>
            <w:vAlign w:val="center"/>
          </w:tcPr>
          <w:p>
            <w:pPr>
              <w:spacing w:after="0"/>
            </w:pPr>
            <w:r>
              <w:rPr>
                <w:sz w:val="19"/>
              </w:rPr>
              <w:t>Confirmar nómina calculada</w:t>
            </w:r>
          </w:p>
        </w:tc>
        <w:tc>
          <w:tcPr>
            <w:tcW w:type="dxa" w:w="4680"/>
            <w:tcMar>
              <w:top w:w="80" w:type="dxa"/>
              <w:start w:w="120" w:type="dxa"/>
              <w:bottom w:w="80" w:type="dxa"/>
              <w:end w:w="120" w:type="dxa"/>
            </w:tcMar>
            <w:vAlign w:val="center"/>
          </w:tcPr>
          <w:p>
            <w:pPr>
              <w:spacing w:after="0"/>
            </w:pPr>
            <w:r>
              <w:rPr>
                <w:sz w:val="19"/>
              </w:rPr>
              <w:t>Crea detalles y comprobantes; período queda Cerrado=1 y nómina Confirmada.</w:t>
            </w:r>
          </w:p>
        </w:tc>
      </w:tr>
      <w:tr>
        <w:trPr>
          <w:cantSplit/>
        </w:trPr>
        <w:tc>
          <w:tcPr>
            <w:tcW w:type="dxa" w:w="4680"/>
            <w:tcMar>
              <w:top w:w="80" w:type="dxa"/>
              <w:start w:w="120" w:type="dxa"/>
              <w:bottom w:w="80" w:type="dxa"/>
              <w:end w:w="120" w:type="dxa"/>
            </w:tcMar>
            <w:vAlign w:val="center"/>
          </w:tcPr>
          <w:p>
            <w:pPr>
              <w:spacing w:after="0"/>
            </w:pPr>
            <w:r>
              <w:rPr>
                <w:sz w:val="19"/>
              </w:rPr>
              <w:t>Agregar asistencia dentro del período cerrado</w:t>
            </w:r>
          </w:p>
        </w:tc>
        <w:tc>
          <w:tcPr>
            <w:tcW w:type="dxa" w:w="4680"/>
            <w:tcMar>
              <w:top w:w="80" w:type="dxa"/>
              <w:start w:w="120" w:type="dxa"/>
              <w:bottom w:w="80" w:type="dxa"/>
              <w:end w:w="120" w:type="dxa"/>
            </w:tcMar>
            <w:vAlign w:val="center"/>
          </w:tcPr>
          <w:p>
            <w:pPr>
              <w:spacing w:after="0"/>
            </w:pPr>
            <w:r>
              <w:rPr>
                <w:sz w:val="19"/>
              </w:rPr>
              <w:t>Servicio y trigger la rechazan.</w:t>
            </w:r>
          </w:p>
        </w:tc>
      </w:tr>
      <w:tr>
        <w:trPr>
          <w:cantSplit/>
        </w:trPr>
        <w:tc>
          <w:tcPr>
            <w:tcW w:type="dxa" w:w="4680"/>
            <w:tcMar>
              <w:top w:w="80" w:type="dxa"/>
              <w:start w:w="120" w:type="dxa"/>
              <w:bottom w:w="80" w:type="dxa"/>
              <w:end w:w="120" w:type="dxa"/>
            </w:tcMar>
            <w:vAlign w:val="center"/>
          </w:tcPr>
          <w:p>
            <w:pPr>
              <w:spacing w:after="0"/>
            </w:pPr>
            <w:r>
              <w:rPr>
                <w:sz w:val="19"/>
              </w:rPr>
              <w:t>Pago inválido o válido</w:t>
            </w:r>
          </w:p>
        </w:tc>
        <w:tc>
          <w:tcPr>
            <w:tcW w:type="dxa" w:w="4680"/>
            <w:tcMar>
              <w:top w:w="80" w:type="dxa"/>
              <w:start w:w="120" w:type="dxa"/>
              <w:bottom w:w="80" w:type="dxa"/>
              <w:end w:w="120" w:type="dxa"/>
            </w:tcMar>
            <w:vAlign w:val="center"/>
          </w:tcPr>
          <w:p>
            <w:pPr>
              <w:spacing w:after="0"/>
            </w:pPr>
            <w:r>
              <w:rPr>
                <w:sz w:val="19"/>
              </w:rPr>
              <w:t>Calculada/Anulada se rechaza; Confirmada guarda fecha/usuario y pasa a Pagada.</w:t>
            </w:r>
          </w:p>
        </w:tc>
      </w:tr>
      <w:tr>
        <w:trPr>
          <w:cantSplit/>
        </w:trPr>
        <w:tc>
          <w:tcPr>
            <w:tcW w:type="dxa" w:w="4680"/>
            <w:tcMar>
              <w:top w:w="80" w:type="dxa"/>
              <w:start w:w="120" w:type="dxa"/>
              <w:bottom w:w="80" w:type="dxa"/>
              <w:end w:w="120" w:type="dxa"/>
            </w:tcMar>
            <w:vAlign w:val="center"/>
          </w:tcPr>
          <w:p>
            <w:pPr>
              <w:spacing w:after="0"/>
            </w:pPr>
            <w:r>
              <w:rPr>
                <w:sz w:val="19"/>
              </w:rPr>
              <w:t>Anulación</w:t>
            </w:r>
          </w:p>
        </w:tc>
        <w:tc>
          <w:tcPr>
            <w:tcW w:type="dxa" w:w="4680"/>
            <w:tcMar>
              <w:top w:w="80" w:type="dxa"/>
              <w:start w:w="120" w:type="dxa"/>
              <w:bottom w:w="80" w:type="dxa"/>
              <w:end w:w="120" w:type="dxa"/>
            </w:tcMar>
            <w:vAlign w:val="center"/>
          </w:tcPr>
          <w:p>
            <w:pPr>
              <w:spacing w:after="0"/>
            </w:pPr>
            <w:r>
              <w:rPr>
                <w:sz w:val="19"/>
              </w:rPr>
              <w:t>Sin motivo se rechaza; con motivo conserva nómina, actor, fecha, versión y auditoría.</w:t>
            </w:r>
          </w:p>
        </w:tc>
      </w:tr>
      <w:tr>
        <w:trPr>
          <w:cantSplit/>
        </w:trPr>
        <w:tc>
          <w:tcPr>
            <w:tcW w:type="dxa" w:w="4680"/>
            <w:tcMar>
              <w:top w:w="80" w:type="dxa"/>
              <w:start w:w="120" w:type="dxa"/>
              <w:bottom w:w="80" w:type="dxa"/>
              <w:end w:w="120" w:type="dxa"/>
            </w:tcMar>
            <w:vAlign w:val="center"/>
          </w:tcPr>
          <w:p>
            <w:pPr>
              <w:spacing w:after="0"/>
            </w:pPr>
            <w:r>
              <w:rPr>
                <w:sz w:val="19"/>
              </w:rPr>
              <w:t>Recálculo y nueva versión</w:t>
            </w:r>
          </w:p>
        </w:tc>
        <w:tc>
          <w:tcPr>
            <w:tcW w:type="dxa" w:w="4680"/>
            <w:tcMar>
              <w:top w:w="80" w:type="dxa"/>
              <w:start w:w="120" w:type="dxa"/>
              <w:bottom w:w="80" w:type="dxa"/>
              <w:end w:w="120" w:type="dxa"/>
            </w:tcMar>
            <w:vAlign w:val="center"/>
          </w:tcPr>
          <w:p>
            <w:pPr>
              <w:spacing w:after="0"/>
            </w:pPr>
            <w:r>
              <w:rPr>
                <w:sz w:val="19"/>
              </w:rPr>
              <w:t>Sin anulación se rechaza; la versión vigente se vincula y es la única usada en reportes principales.</w:t>
            </w:r>
          </w:p>
        </w:tc>
      </w:tr>
      <w:tr>
        <w:trPr>
          <w:cantSplit/>
        </w:trPr>
        <w:tc>
          <w:tcPr>
            <w:tcW w:type="dxa" w:w="4680"/>
            <w:tcMar>
              <w:top w:w="80" w:type="dxa"/>
              <w:start w:w="120" w:type="dxa"/>
              <w:bottom w:w="80" w:type="dxa"/>
              <w:end w:w="120" w:type="dxa"/>
            </w:tcMar>
            <w:vAlign w:val="center"/>
          </w:tcPr>
          <w:p>
            <w:pPr>
              <w:spacing w:after="0"/>
            </w:pPr>
            <w:r>
              <w:rPr>
                <w:sz w:val="19"/>
              </w:rPr>
              <w:t>Fallo en confirmación</w:t>
            </w:r>
          </w:p>
        </w:tc>
        <w:tc>
          <w:tcPr>
            <w:tcW w:type="dxa" w:w="4680"/>
            <w:tcMar>
              <w:top w:w="80" w:type="dxa"/>
              <w:start w:w="120" w:type="dxa"/>
              <w:bottom w:w="80" w:type="dxa"/>
              <w:end w:w="120" w:type="dxa"/>
            </w:tcMar>
            <w:vAlign w:val="center"/>
          </w:tcPr>
          <w:p>
            <w:pPr>
              <w:spacing w:after="0"/>
            </w:pPr>
            <w:r>
              <w:rPr>
                <w:sz w:val="19"/>
              </w:rPr>
              <w:t>La transacción revierte período, nómina, comprobantes y auditoría de la operación.</w:t>
            </w:r>
          </w:p>
        </w:tc>
      </w:tr>
      <w:tr>
        <w:trPr>
          <w:cantSplit/>
        </w:trPr>
        <w:tc>
          <w:tcPr>
            <w:tcW w:type="dxa" w:w="4680"/>
            <w:tcMar>
              <w:top w:w="80" w:type="dxa"/>
              <w:start w:w="120" w:type="dxa"/>
              <w:bottom w:w="80" w:type="dxa"/>
              <w:end w:w="120" w:type="dxa"/>
            </w:tcMar>
            <w:vAlign w:val="center"/>
          </w:tcPr>
          <w:p>
            <w:pPr>
              <w:spacing w:after="0"/>
            </w:pPr>
            <w:r>
              <w:rPr>
                <w:sz w:val="19"/>
              </w:rPr>
              <w:t>Regresión del portal</w:t>
            </w:r>
          </w:p>
        </w:tc>
        <w:tc>
          <w:tcPr>
            <w:tcW w:type="dxa" w:w="4680"/>
            <w:tcMar>
              <w:top w:w="80" w:type="dxa"/>
              <w:start w:w="120" w:type="dxa"/>
              <w:bottom w:w="80" w:type="dxa"/>
              <w:end w:w="120" w:type="dxa"/>
            </w:tcMar>
            <w:vAlign w:val="center"/>
          </w:tcPr>
          <w:p>
            <w:pPr>
              <w:spacing w:after="0"/>
            </w:pPr>
            <w:r>
              <w:rPr>
                <w:sz w:val="19"/>
              </w:rPr>
              <w:t>El trabajador sigue consultando solo sus comprobantes y asistencias propias.</w:t>
            </w:r>
          </w:p>
        </w:tc>
      </w:tr>
    </w:tbl>
    <w:p>
      <w:pPr>
        <w:spacing w:after="0"/>
      </w:pPr>
    </w:p>
    <w:p>
      <w:pPr>
        <w:pStyle w:val="Heading1"/>
      </w:pPr>
      <w:r>
        <w:t>11. Orden de ejecución recomendado</w:t>
      </w:r>
    </w:p>
    <w:p>
      <w:pPr>
        <w:pStyle w:val="ListNumber"/>
        <w:spacing w:after="80"/>
      </w:pPr>
      <w:r>
        <w:t>Crear casos de prueba de ciclo de vida y una base temporal antes de cambiar la UI.</w:t>
      </w:r>
    </w:p>
    <w:p>
      <w:pPr>
        <w:pStyle w:val="ListNumber"/>
        <w:spacing w:after="80"/>
      </w:pPr>
      <w:r>
        <w:t>Implementar migración v4, entidades y repositorios; verificar que una base existente migre y que una nueva llegue a versión 4.</w:t>
      </w:r>
    </w:p>
    <w:p>
      <w:pPr>
        <w:pStyle w:val="ListNumber"/>
        <w:spacing w:after="80"/>
      </w:pPr>
      <w:r>
        <w:t>Implementar servicios y transacciones; probar estados sin abrir formularios.</w:t>
      </w:r>
    </w:p>
    <w:p>
      <w:pPr>
        <w:pStyle w:val="ListNumber"/>
        <w:spacing w:after="80"/>
      </w:pPr>
      <w:r>
        <w:t>Agregar permisos y ajustar FrmNomina/diálogo de anulación.</w:t>
      </w:r>
    </w:p>
    <w:p>
      <w:pPr>
        <w:pStyle w:val="ListNumber"/>
        <w:spacing w:after="80"/>
      </w:pPr>
      <w:r>
        <w:t>Ejecutar smoke tests de Fase 1, Fase 2 y los nuevos de Fase 3; documentar resultados.</w:t>
      </w:r>
    </w:p>
    <w:p>
      <w:pPr>
        <w:pStyle w:val="Heading1"/>
      </w:pPr>
      <w:r>
        <w:t>12. Decisiones que el equipo debe respetar</w:t>
      </w:r>
    </w:p>
    <w:p>
      <w:pPr>
        <w:pStyle w:val="ListBullet"/>
        <w:spacing w:after="80"/>
      </w:pPr>
      <w:r>
        <w:t>Una nómina anulada permanece consultable para auditoría, pero no entra en totales financieros principales.</w:t>
      </w:r>
    </w:p>
    <w:p>
      <w:pPr>
        <w:pStyle w:val="ListBullet"/>
        <w:spacing w:after="80"/>
      </w:pPr>
      <w:r>
        <w:t>La reapertura de fechas solo ocurre asociada a una anulación registrada; no existe botón genérico “abrir período”.</w:t>
      </w:r>
    </w:p>
    <w:p>
      <w:pPr>
        <w:pStyle w:val="ListBullet"/>
        <w:spacing w:after="80"/>
      </w:pPr>
      <w:r>
        <w:t>Los comprobantes de una nómina anulada se conservan como historial y deben identificarse como anulados si se visualizan.</w:t>
      </w:r>
    </w:p>
    <w:p>
      <w:pPr>
        <w:pStyle w:val="ListBullet"/>
        <w:spacing w:after="80"/>
      </w:pPr>
      <w:r>
        <w:t>El cálculo debe conservar la fórmula académica vigente; este trabajo trata la robustez del ciclo, no rediseñar las deducciones.</w:t>
      </w:r>
    </w:p>
    <w:p>
      <w:pPr>
        <w:pStyle w:val="ListBullet"/>
        <w:spacing w:after="80"/>
      </w:pPr>
      <w:r>
        <w:t>Toda acción nueva debe ser compatible con SQLite, .NET Framework 4.8, WinForms con Designer y los patrones de autorización ya aplicados.</w:t>
      </w:r>
    </w:p>
    <w:p>
      <w:pPr>
        <w:pStyle w:val="Heading1"/>
      </w:pPr>
      <w:r>
        <w:t>Referencias internas</w:t>
      </w:r>
    </w:p>
    <w:p>
      <w:pPr>
        <w:pStyle w:val="ListBullet"/>
        <w:spacing w:after="80"/>
      </w:pPr>
      <w:r>
        <w:t>Documentacion/Escalabilidad.md — secciones 3 y 4 del roadmap original.</w:t>
      </w:r>
    </w:p>
    <w:p>
      <w:pPr>
        <w:pStyle w:val="ListBullet"/>
        <w:spacing w:after="80"/>
      </w:pPr>
      <w:r>
        <w:t>Data/DatabaseInitializer.cs y Data/DatabaseMigrationRunner.cs — esquema y mecanismo oficial de migración.</w:t>
      </w:r>
    </w:p>
    <w:p>
      <w:pPr>
        <w:pStyle w:val="ListBullet"/>
        <w:spacing w:after="80"/>
      </w:pPr>
      <w:r>
        <w:t>Services/BusinessServices.cs — cálculo actual y confirmación existente.</w:t>
      </w:r>
    </w:p>
    <w:p>
      <w:pPr>
        <w:pStyle w:val="ListBullet"/>
        <w:spacing w:after="80"/>
      </w:pPr>
      <w:r>
        <w:t>Data/Repositories.cs — persistencia actual de períodos, nóminas, detalles y comprobantes.</w:t>
      </w:r>
    </w:p>
    <w:p>
      <w:pPr>
        <w:pStyle w:val="ListBullet"/>
        <w:spacing w:after="80"/>
      </w:pPr>
      <w:r>
        <w:t>Security/Permissions.cs y Services/RolePermissionService.cs — matriz que debe extenderse.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r>
    <w: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SistemaGestionNomina | Guía de Fase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