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100"/>
      </w:pPr>
      <w:r>
        <w:rPr>
          <w:rFonts w:ascii="Calibri" w:hAnsi="Calibri"/>
          <w:b/>
          <w:color w:val="1F4E78"/>
          <w:sz w:val="48"/>
        </w:rPr>
        <w:t>Avance del plan de escalabilidad</w:t>
      </w:r>
    </w:p>
    <w:p>
      <w:pPr>
        <w:spacing w:after="320"/>
      </w:pPr>
      <w:r>
        <w:rPr>
          <w:color w:val="5A5A5A"/>
          <w:sz w:val="24"/>
        </w:rPr>
        <w:t>Fases 1 y 2 implementadas — corte técnico: 12 de julio de 2026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  <w:t>Repositorio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PredJona/SistemaGestionNomina — rama main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  <w:t>Base analizada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Historial de commits, código fuente y documentación incluida en el repositorio.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  <w:t>Propósito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Dar contexto verificable al equipo: qué ya está integrado, cómo funciona y qué no debe repetirse.</w:t>
            </w:r>
          </w:p>
        </w:tc>
      </w:tr>
    </w:tbl>
    <w:p>
      <w:pPr>
        <w:spacing w:after="0"/>
      </w:pPr>
    </w:p>
    <w:p>
      <w:pPr>
        <w:pStyle w:val="Heading1"/>
      </w:pPr>
      <w:r>
        <w:t>Resumen ejecutivo</w:t>
      </w:r>
    </w:p>
    <w:p>
      <w:r>
        <w:t>El avance real cubre las dos primeras fases del roadmap. La Fase 1 fortaleció la seguridad, los permisos, la auditoría y las migraciones de SQLite. La Fase 2 añadió el portal de autoservicio del trabajador con acceso estrictamente limitado a sus propios datos.</w:t>
      </w:r>
    </w:p>
    <w:p>
      <w:r>
        <w:t>La base actual está lista para iniciar la Fase 3, pero todavía no tiene cierre de período, estado Pagada, anulación ni recálculo controlado. Esas ausencias son intencionalmente el siguiente trabajo; no deben confundirse con funcionalidades ya terminadas.</w:t>
      </w:r>
    </w:p>
    <w:p>
      <w:pPr>
        <w:pStyle w:val="Heading1"/>
      </w:pPr>
      <w:r>
        <w:t>Evidencia de integración en GitHub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51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Fecha UTC</w:t>
            </w:r>
          </w:p>
        </w:tc>
        <w:tc>
          <w:tcPr>
            <w:tcW w:type="dxa" w:w="15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Commit</w:t>
            </w:r>
          </w:p>
        </w:tc>
        <w:tc>
          <w:tcPr>
            <w:tcW w:type="dxa" w:w="626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Aporte comprobado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12 jul. 2026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25c9508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Migraciones SQLite e integridad.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12 jul. 2026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00ea77f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Autenticación, sesión y bloqueo.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12 jul. 2026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a9be692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Permisos, servicios y auditoría.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12 jul. 2026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f0b8995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Interfaz de permisos y auditoría.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12 jul. 2026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1d79b260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Consultas y servicios seguros del portal.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12 jul. 2026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3fa3121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PDF, impresión y cambio de contraseña.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12 jul. 2026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ff6a320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Pruebas y documentación de Fase 2.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12 jul. 2026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67033cd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Merge de Fase 2 a main.</w:t>
            </w:r>
          </w:p>
        </w:tc>
      </w:tr>
    </w:tbl>
    <w:p>
      <w:pPr>
        <w:spacing w:after="0"/>
      </w:pPr>
    </w:p>
    <w:p>
      <w:pPr>
        <w:pStyle w:val="Heading1"/>
      </w:pPr>
      <w:r>
        <w:t>Fase 1 — Seguridad, permisos y auditoría</w:t>
      </w:r>
    </w:p>
    <w:p>
      <w:pPr>
        <w:pStyle w:val="Heading2"/>
      </w:pPr>
      <w:r>
        <w:t>Lo que se implementó</w:t>
      </w:r>
    </w:p>
    <w:p>
      <w:pPr>
        <w:pStyle w:val="ListBullet"/>
        <w:spacing w:after="80"/>
      </w:pPr>
      <w:r>
        <w:t>Migraciones versionadas de SQLite mediante PRAGMA user_version hasta la versión 3. Antes de una migración se crea una copia en Backups/Migrations y su hash SHA-256; el detalle queda en MigracionesLog.</w:t>
      </w:r>
    </w:p>
    <w:p>
      <w:pPr>
        <w:pStyle w:val="ListBullet"/>
        <w:spacing w:after="80"/>
      </w:pPr>
      <w:r>
        <w:t>Relación Usuario–Empleado, último acceso, intentos fallidos y bloqueo temporal. Un usuario inválido, inactivo o bloqueado no inicia sesión.</w:t>
      </w:r>
    </w:p>
    <w:p>
      <w:pPr>
        <w:pStyle w:val="ListBullet"/>
        <w:spacing w:after="80"/>
      </w:pPr>
      <w:r>
        <w:t>Contraseñas nuevas con PBKDF2-HMAC-SHA256, sal aleatoria y 120 000 iteraciones. Los hashes SHA-256 anteriores se actualizan después de un acceso válido.</w:t>
      </w:r>
    </w:p>
    <w:p>
      <w:pPr>
        <w:pStyle w:val="ListBullet"/>
        <w:spacing w:after="80"/>
      </w:pPr>
      <w:r>
        <w:t>Bloqueo tras cinco intentos fallidos durante 15 minutos. La auditoría evita guardar contraseñas y hashes.</w:t>
      </w:r>
    </w:p>
    <w:p>
      <w:pPr>
        <w:pStyle w:val="ListBullet"/>
        <w:spacing w:after="80"/>
      </w:pPr>
      <w:r>
        <w:t>Matriz de roles: Admin, RRHH, Contabilidad, Supervisor y Trabajador. Los permisos se validan en FrmMain, en controles y también en servicios.</w:t>
      </w:r>
    </w:p>
    <w:p>
      <w:pPr>
        <w:pStyle w:val="ListBullet"/>
        <w:spacing w:after="80"/>
      </w:pPr>
      <w:r>
        <w:t>Validaciones de empleados, alcance del supervisor por departamento, índices y protección contra asistencias duplicadas.</w:t>
      </w:r>
    </w:p>
    <w:p>
      <w:pPr>
        <w:pStyle w:val="Heading2"/>
      </w:pPr>
      <w:r>
        <w:t>Cómo queda conectado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Componente</w:t>
            </w:r>
          </w:p>
        </w:tc>
        <w:tc>
          <w:tcPr>
            <w:tcW w:type="dxa" w:w="33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Responsabilidad</w:t>
            </w:r>
          </w:p>
        </w:tc>
        <w:tc>
          <w:tcPr>
            <w:tcW w:type="dxa" w:w="37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Protección que aporta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SessionContext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Mantiene usuario, rol e IdEmpleado autenticado.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Evita que cada formulario reconstruya identidad.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AuthorizationService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Exige un permiso antes de una operación.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No basta con ocultar botones.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RolePermissionService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Define permisos por rol.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Centraliza la matriz de acceso.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EmployeeScopeService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Restringe supervisor a departamento y trabajador a sí mismo.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Evita consulta o edición fuera de alcance.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AuditTrailService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Registra acciones sensibles.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Trazabilidad sin secretos.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DatabaseMigrationRunner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Aplica esquema seguro y registra versión.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Actualizaciones repetibles de SQLite.</w:t>
            </w:r>
          </w:p>
        </w:tc>
      </w:tr>
    </w:tbl>
    <w:p>
      <w:pPr>
        <w:spacing w:after="0"/>
      </w:pPr>
    </w:p>
    <w:p>
      <w:pPr>
        <w:pStyle w:val="Heading1"/>
      </w:pPr>
      <w:r>
        <w:t>Fase 2 — Portal del trabajador</w:t>
      </w:r>
    </w:p>
    <w:p>
      <w:pPr>
        <w:pStyle w:val="Heading2"/>
      </w:pPr>
      <w:r>
        <w:t>Resultado entregado</w:t>
      </w:r>
    </w:p>
    <w:p>
      <w:pPr>
        <w:pStyle w:val="ListBullet"/>
        <w:spacing w:after="80"/>
      </w:pPr>
      <w:r>
        <w:t>El rol Trabajador tiene únicamente portal.ver, portal.perfil.ver, portal.asistencia.ver, portal.comprobantes.ver, portal.comprobantes.descargar y cuenta.password.cambiar.</w:t>
      </w:r>
    </w:p>
    <w:p>
      <w:pPr>
        <w:pStyle w:val="ListBullet"/>
        <w:spacing w:after="80"/>
      </w:pPr>
      <w:r>
        <w:t>FrmPortalTrabajador muestra resumen laboral, último pago y asistencia reciente; FrmMiPerfil es de solo lectura; FrmMisAsistencias filtra y resume; FrmMisComprobantes consulta, descarga, abre e imprime; FrmCambiarPassword actualiza la cuenta.</w:t>
      </w:r>
    </w:p>
    <w:p>
      <w:pPr>
        <w:pStyle w:val="ListBullet"/>
        <w:spacing w:after="80"/>
      </w:pPr>
      <w:r>
        <w:t>Las consultas de asistencia y comprobantes reciben el IdEmpleado desde SessionContext, nunca desde un selector de la interfaz. Los repositorios aplican WHERE IdEmpleado = @empleado con parámetros SQL.</w:t>
      </w:r>
    </w:p>
    <w:p>
      <w:pPr>
        <w:pStyle w:val="ListBullet"/>
        <w:spacing w:after="80"/>
      </w:pPr>
      <w:r>
        <w:t>La descarga y apertura del comprobante vuelven a verificar que el comprobante pertenezca al trabajador. Un identificador ajeno genera rechazo controlado sin revelar datos.</w:t>
      </w:r>
    </w:p>
    <w:p>
      <w:pPr>
        <w:pStyle w:val="ListBullet"/>
        <w:spacing w:after="80"/>
      </w:pPr>
      <w:r>
        <w:t>La impresión usa PrintDocument y PrintPreviewDialog con un renderer compartido. La generación de PDF utiliza PDFsharp-GDI 6.2.4.</w:t>
      </w:r>
    </w:p>
    <w:p>
      <w:pPr>
        <w:pStyle w:val="Heading2"/>
      </w:pPr>
      <w:r>
        <w:t>Flujo de acceso del trabajador</w:t>
      </w:r>
    </w:p>
    <w:p>
      <w:pPr>
        <w:pStyle w:val="ListNumber"/>
        <w:spacing w:after="80"/>
      </w:pPr>
      <w:r>
        <w:t>El usuario inicia sesión y AuthService coloca Usuario, Rol e IdEmpleado en SessionContext.</w:t>
      </w:r>
    </w:p>
    <w:p>
      <w:pPr>
        <w:pStyle w:val="ListNumber"/>
        <w:spacing w:after="80"/>
      </w:pPr>
      <w:r>
        <w:t>El formulario solicita la operación a un servicio; AuthorizationService exige el permiso específico.</w:t>
      </w:r>
    </w:p>
    <w:p>
      <w:pPr>
        <w:pStyle w:val="ListNumber"/>
        <w:spacing w:after="80"/>
      </w:pPr>
      <w:r>
        <w:t>EmployeeScopeService verifica que sea Trabajador, que tenga empleado asociado y que el empleado esté activo.</w:t>
      </w:r>
    </w:p>
    <w:p>
      <w:pPr>
        <w:pStyle w:val="ListNumber"/>
        <w:spacing w:after="80"/>
      </w:pPr>
      <w:r>
        <w:t>El repositorio ejecuta la consulta parametrizada para ese IdEmpleado.</w:t>
      </w:r>
    </w:p>
    <w:p>
      <w:pPr>
        <w:pStyle w:val="ListNumber"/>
        <w:spacing w:after="80"/>
      </w:pPr>
      <w:r>
        <w:t>La operación relevante (consulta, descarga, impresión, apertura o cambio de clave) se registra en auditoría.</w:t>
      </w:r>
    </w:p>
    <w:p>
      <w:pPr>
        <w:pStyle w:val="Heading1"/>
      </w:pPr>
      <w:r>
        <w:t>Verificación disponible</w:t>
      </w:r>
    </w:p>
    <w:p>
      <w:r>
        <w:t>El repositorio incluye pruebas manuales documentadas y smoke tests aislados con NOMINA_DB_PATH. La secuencia de validación actual es:</w:t>
      </w:r>
    </w:p>
    <w:p>
      <w:pPr>
        <w:pStyle w:val="ListBullet"/>
        <w:spacing w:after="80"/>
      </w:pPr>
      <w:r>
        <w:t>dotnet restore Proy2_Eq01_CamposPD.csproj</w:t>
      </w:r>
    </w:p>
    <w:p>
      <w:pPr>
        <w:pStyle w:val="ListBullet"/>
        <w:spacing w:after="80"/>
      </w:pPr>
      <w:r>
        <w:t>dotnet build Proy2_Eq01_CamposPD.csproj</w:t>
      </w:r>
    </w:p>
    <w:p>
      <w:pPr>
        <w:pStyle w:val="ListBullet"/>
        <w:spacing w:after="80"/>
      </w:pPr>
      <w:r>
        <w:t>Tools/Fase1SecuritySmokeTest.ps1</w:t>
      </w:r>
    </w:p>
    <w:p>
      <w:pPr>
        <w:pStyle w:val="ListBullet"/>
        <w:spacing w:after="80"/>
      </w:pPr>
      <w:r>
        <w:t>Tools/Fase2EmployeePortalSmokeTest.ps1</w:t>
      </w:r>
    </w:p>
    <w:p>
      <w:pPr>
        <w:pStyle w:val="ListBullet"/>
        <w:spacing w:after="80"/>
      </w:pPr>
      <w:r>
        <w:t>Tools/Fase2FormSmokeTest.ps1</w:t>
      </w:r>
    </w:p>
    <w:p>
      <w:pPr>
        <w:pStyle w:val="Heading1"/>
      </w:pPr>
      <w:r>
        <w:t>Estado actual del módulo de nómina</w:t>
      </w:r>
    </w:p>
    <w:p>
      <w:r>
        <w:t>Actualmente FrmNomina calcula la nómina en memoria y ConfirmarPago crea un PeriodoNomina y una Nomina en estado Confirmada, además de sus comprobantes. El cálculo toma empleados activos, horas extra de asistencia y parámetros de ConfiguracionNomina. Esta es una base funcional, pero aún no representa un ciclo completo de pago.</w:t>
      </w:r>
    </w:p>
    <w:p>
      <w:pPr>
        <w:pStyle w:val="ListBullet"/>
        <w:spacing w:after="80"/>
      </w:pPr>
      <w:r>
        <w:t>Ya existe una nómina Calculada en memoria y Confirmada en la base de datos; falta persistir los estados Pagada y Anulada.</w:t>
      </w:r>
    </w:p>
    <w:p>
      <w:pPr>
        <w:pStyle w:val="ListBullet"/>
        <w:spacing w:after="80"/>
      </w:pPr>
      <w:r>
        <w:t>Ya existen detalles, comprobantes y auditoría; faltan motivo/usuario/fecha de anulación y versiones vinculadas.</w:t>
      </w:r>
    </w:p>
    <w:p>
      <w:pPr>
        <w:pStyle w:val="ListBullet"/>
        <w:spacing w:after="80"/>
      </w:pPr>
      <w:r>
        <w:t>El período hoy tiene solo un estado textual; falta el cierre que bloquee asistencias por sus fechas.</w:t>
      </w:r>
    </w:p>
    <w:p>
      <w:pPr>
        <w:pStyle w:val="ListBullet"/>
        <w:spacing w:after="80"/>
      </w:pPr>
      <w:r>
        <w:t>Ya existen permisos para calcular y confirmar; faltan pagar, anular y recalcular.</w:t>
      </w:r>
    </w:p>
    <w:p>
      <w:pPr>
        <w:pStyle w:val="Heading1"/>
      </w:pPr>
      <w:r>
        <w:t>Reglas de trabajo para no romper lo logrado</w:t>
      </w:r>
    </w:p>
    <w:p>
      <w:pPr>
        <w:pStyle w:val="ListBullet"/>
        <w:spacing w:after="80"/>
      </w:pPr>
      <w:r>
        <w:t>No modificar controles en archivos .Designer.cs manualmente; mantener la lógica en el code-behind.</w:t>
      </w:r>
    </w:p>
    <w:p>
      <w:pPr>
        <w:pStyle w:val="ListBullet"/>
        <w:spacing w:after="80"/>
      </w:pPr>
      <w:r>
        <w:t>No confiar en la visibilidad de un botón como seguridad: toda regla sensible debe vivir en un servicio.</w:t>
      </w:r>
    </w:p>
    <w:p>
      <w:pPr>
        <w:pStyle w:val="ListBullet"/>
        <w:spacing w:after="80"/>
      </w:pPr>
      <w:r>
        <w:t>No eliminar nóminas ni comprobantes históricos. Los cambios financieros deben dejar huella y auditoría.</w:t>
      </w:r>
    </w:p>
    <w:p>
      <w:pPr>
        <w:pStyle w:val="ListBullet"/>
        <w:spacing w:after="80"/>
      </w:pPr>
      <w:r>
        <w:t>No reutilizar IdEmpleado recibido desde la UI para el portal; conservar el patrón de SessionContext y EmployeeScopeService.</w:t>
      </w:r>
    </w:p>
    <w:p>
      <w:pPr>
        <w:pStyle w:val="ListBullet"/>
        <w:spacing w:after="80"/>
      </w:pPr>
      <w:r>
        <w:t>Toda migración nueva debe seguir el mecanismo existente: transacción, respaldo previo, user_version y MigracionesLog.</w:t>
      </w:r>
    </w:p>
    <w:p>
      <w:pPr>
        <w:pStyle w:val="Heading1"/>
      </w:pPr>
      <w:r>
        <w:t>Fuentes internas consultadas</w:t>
      </w:r>
    </w:p>
    <w:p>
      <w:pPr>
        <w:pStyle w:val="ListBullet"/>
        <w:spacing w:after="80"/>
      </w:pPr>
      <w:r>
        <w:t>Documentacion/Escalabilidad.md</w:t>
      </w:r>
    </w:p>
    <w:p>
      <w:pPr>
        <w:pStyle w:val="ListBullet"/>
        <w:spacing w:after="80"/>
      </w:pPr>
      <w:r>
        <w:t>Documentacion/Fase1_Seguridad_Permisos.md</w:t>
      </w:r>
    </w:p>
    <w:p>
      <w:pPr>
        <w:pStyle w:val="ListBullet"/>
        <w:spacing w:after="80"/>
      </w:pPr>
      <w:r>
        <w:t>Documentacion/Fase2_Portal_Trabajador.md</w:t>
      </w:r>
    </w:p>
    <w:p>
      <w:pPr>
        <w:pStyle w:val="ListBullet"/>
        <w:spacing w:after="80"/>
      </w:pPr>
      <w:r>
        <w:t>Data/DatabaseInitializer.cs, Data/DatabaseMigrationRunner.cs y Data/Repositories.cs</w:t>
      </w:r>
    </w:p>
    <w:p>
      <w:pPr>
        <w:pStyle w:val="ListBullet"/>
        <w:spacing w:after="80"/>
      </w:pPr>
      <w:r>
        <w:t>Services/BusinessServices.cs, Security/Permissions.cs y Services/RolePermissionService.cs</w:t>
      </w:r>
    </w:p>
    <w:p>
      <w:pPr>
        <w:pStyle w:val="ListBullet"/>
        <w:spacing w:after="80"/>
      </w:pPr>
      <w:r>
        <w:t>Commits de main hasta 67033cd0e8a50bebc4ccc6bbec4c501f8ada277c.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6464"/>
        <w:sz w:val="16"/>
      </w:rPr>
    </w:r>
    <w:r>
      <w:t xml:space="preserve">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SistemaGestionNomina | Avance de escalabilidad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