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0"/>
        </w:rPr>
        <w:t>Peer benchmarking — private credit comparables</w:t>
      </w:r>
    </w:p>
    <w:p>
      <w:r>
        <w:rPr>
          <w:b/>
          <w:sz w:val="20"/>
        </w:rPr>
        <w:t xml:space="preserve">Reporting quarter ended 2025-12-31. </w:t>
      </w:r>
      <w:r>
        <w:rPr>
          <w:sz w:val="20"/>
        </w:rPr>
        <w:t>Every figure is as reported by the filer for a period ending on or before that date, sourced directly from SEC EDGAR filings.</w:t>
      </w:r>
    </w:p>
    <w:p>
      <w:pPr>
        <w:pStyle w:val="Heading1"/>
      </w:pPr>
      <w:r>
        <w:rPr>
          <w:sz w:val="20"/>
        </w:rPr>
        <w:t>Benchmark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Apex Ridge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CCLFX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TAKIX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GBDC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KREF</w:t>
            </w:r>
          </w:p>
        </w:tc>
      </w:tr>
      <w:tr>
        <w:tc>
          <w:tcPr>
            <w:tcW w:type="dxa" w:w="1440"/>
          </w:tcPr>
          <w:p>
            <w:r>
              <w:t>Net return, trailing 1Y (ann.)</w:t>
            </w:r>
          </w:p>
        </w:tc>
        <w:tc>
          <w:tcPr>
            <w:tcW w:type="dxa" w:w="1440"/>
          </w:tcPr>
          <w:p>
            <w:r>
              <w:t>10.31% (client data)</w:t>
            </w:r>
          </w:p>
        </w:tc>
        <w:tc>
          <w:tcPr>
            <w:tcW w:type="dxa" w:w="1440"/>
          </w:tcPr>
          <w:p>
            <w:r>
              <w:t>— no figure within staleness window</w:t>
            </w:r>
          </w:p>
        </w:tc>
        <w:tc>
          <w:tcPr>
            <w:tcW w:type="dxa" w:w="1440"/>
          </w:tcPr>
          <w:p>
            <w:r>
              <w:t>6.27% (Med)</w:t>
            </w:r>
          </w:p>
        </w:tc>
        <w:tc>
          <w:tcPr>
            <w:tcW w:type="dxa" w:w="1440"/>
          </w:tcPr>
          <w:p>
            <w:r>
              <w:t>8.72% (Low)</w:t>
            </w:r>
          </w:p>
        </w:tc>
        <w:tc>
          <w:tcPr>
            <w:tcW w:type="dxa" w:w="1440"/>
          </w:tcPr>
          <w:p>
            <w:r>
              <w:t>— not reported at this basis</w:t>
            </w:r>
          </w:p>
        </w:tc>
      </w:tr>
      <w:tr>
        <w:tc>
          <w:tcPr>
            <w:tcW w:type="dxa" w:w="1440"/>
          </w:tcPr>
          <w:p>
            <w:r>
              <w:t>Net return, trailing 3Y (ann.)</w:t>
            </w:r>
          </w:p>
        </w:tc>
        <w:tc>
          <w:tcPr>
            <w:tcW w:type="dxa" w:w="1440"/>
          </w:tcPr>
          <w:p>
            <w:r>
              <w:t>9.92% (client data)</w:t>
            </w:r>
          </w:p>
        </w:tc>
        <w:tc>
          <w:tcPr>
            <w:tcW w:type="dxa" w:w="1440"/>
          </w:tcPr>
          <w:p>
            <w:r>
              <w:t>— no figure within staleness window</w:t>
            </w:r>
          </w:p>
        </w:tc>
        <w:tc>
          <w:tcPr>
            <w:tcW w:type="dxa" w:w="1440"/>
          </w:tcPr>
          <w:p>
            <w:r>
              <w:t>10.36% (Med)</w:t>
            </w:r>
          </w:p>
        </w:tc>
        <w:tc>
          <w:tcPr>
            <w:tcW w:type="dxa" w:w="1440"/>
          </w:tcPr>
          <w:p>
            <w:r>
              <w:t>11.88% (Low)</w:t>
            </w:r>
          </w:p>
        </w:tc>
        <w:tc>
          <w:tcPr>
            <w:tcW w:type="dxa" w:w="1440"/>
          </w:tcPr>
          <w:p>
            <w:r>
              <w:t>— not reported at this basis</w:t>
            </w:r>
          </w:p>
        </w:tc>
      </w:tr>
      <w:tr>
        <w:tc>
          <w:tcPr>
            <w:tcW w:type="dxa" w:w="1440"/>
          </w:tcPr>
          <w:p>
            <w:r>
              <w:t>Net return, trailing 5Y (ann.)</w:t>
            </w:r>
          </w:p>
        </w:tc>
        <w:tc>
          <w:tcPr>
            <w:tcW w:type="dxa" w:w="1440"/>
          </w:tcPr>
          <w:p>
            <w:r>
              <w:t>9.39% (client data)</w:t>
            </w:r>
          </w:p>
        </w:tc>
        <w:tc>
          <w:tcPr>
            <w:tcW w:type="dxa" w:w="1440"/>
          </w:tcPr>
          <w:p>
            <w:r>
              <w:t>— no figure within staleness window</w:t>
            </w:r>
          </w:p>
        </w:tc>
        <w:tc>
          <w:tcPr>
            <w:tcW w:type="dxa" w:w="1440"/>
          </w:tcPr>
          <w:p>
            <w:r>
              <w:t>8.21% (Med)</w:t>
            </w:r>
          </w:p>
        </w:tc>
        <w:tc>
          <w:tcPr>
            <w:tcW w:type="dxa" w:w="1440"/>
          </w:tcPr>
          <w:p>
            <w:r>
              <w:t>— insufficient history to compute</w:t>
            </w:r>
          </w:p>
        </w:tc>
        <w:tc>
          <w:tcPr>
            <w:tcW w:type="dxa" w:w="1440"/>
          </w:tcPr>
          <w:p>
            <w:r>
              <w:t>— not reported at this basis</w:t>
            </w:r>
          </w:p>
        </w:tc>
      </w:tr>
      <w:tr>
        <w:tc>
          <w:tcPr>
            <w:tcW w:type="dxa" w:w="1440"/>
          </w:tcPr>
          <w:p>
            <w:r>
              <w:t>Management fee</w:t>
            </w:r>
          </w:p>
        </w:tc>
        <w:tc>
          <w:tcPr>
            <w:tcW w:type="dxa" w:w="1440"/>
          </w:tcPr>
          <w:p>
            <w:r>
              <w:t>1.25% (client data)</w:t>
            </w:r>
          </w:p>
        </w:tc>
        <w:tc>
          <w:tcPr>
            <w:tcW w:type="dxa" w:w="1440"/>
          </w:tcPr>
          <w:p>
            <w:r>
              <w:t>1.00% (Med)</w:t>
            </w:r>
          </w:p>
        </w:tc>
        <w:tc>
          <w:tcPr>
            <w:tcW w:type="dxa" w:w="1440"/>
          </w:tcPr>
          <w:p>
            <w:r>
              <w:t>1.00% (Low)</w:t>
            </w:r>
          </w:p>
        </w:tc>
        <w:tc>
          <w:tcPr>
            <w:tcW w:type="dxa" w:w="1440"/>
          </w:tcPr>
          <w:p>
            <w:r>
              <w:t>1.00% (Med)</w:t>
            </w:r>
          </w:p>
        </w:tc>
        <w:tc>
          <w:tcPr>
            <w:tcW w:type="dxa" w:w="1440"/>
          </w:tcPr>
          <w:p>
            <w:r>
              <w:t>1.50% (Low)</w:t>
            </w:r>
          </w:p>
        </w:tc>
      </w:tr>
      <w:tr>
        <w:tc>
          <w:tcPr>
            <w:tcW w:type="dxa" w:w="1440"/>
          </w:tcPr>
          <w:p>
            <w:r>
              <w:t>Incentive fee</w:t>
            </w:r>
          </w:p>
        </w:tc>
        <w:tc>
          <w:tcPr>
            <w:tcW w:type="dxa" w:w="1440"/>
          </w:tcPr>
          <w:p>
            <w:r>
              <w:t>12.50% (client data)</w:t>
            </w:r>
          </w:p>
        </w:tc>
        <w:tc>
          <w:tcPr>
            <w:tcW w:type="dxa" w:w="1440"/>
          </w:tcPr>
          <w:p>
            <w:r>
              <w:t>0.00% (Low)</w:t>
            </w:r>
          </w:p>
        </w:tc>
        <w:tc>
          <w:tcPr>
            <w:tcW w:type="dxa" w:w="1440"/>
          </w:tcPr>
          <w:p>
            <w:r>
              <w:t>15.00% (Low)</w:t>
            </w:r>
          </w:p>
        </w:tc>
        <w:tc>
          <w:tcPr>
            <w:tcW w:type="dxa" w:w="1440"/>
          </w:tcPr>
          <w:p>
            <w:r>
              <w:t>15.00% (Med)</w:t>
            </w:r>
          </w:p>
        </w:tc>
        <w:tc>
          <w:tcPr>
            <w:tcW w:type="dxa" w:w="1440"/>
          </w:tcPr>
          <w:p>
            <w:r>
              <w:t>20.00% (Low)</w:t>
            </w:r>
          </w:p>
        </w:tc>
      </w:tr>
      <w:tr>
        <w:tc>
          <w:tcPr>
            <w:tcW w:type="dxa" w:w="1440"/>
          </w:tcPr>
          <w:p>
            <w:r>
              <w:t>Incentive hurdle</w:t>
            </w:r>
          </w:p>
        </w:tc>
        <w:tc>
          <w:tcPr>
            <w:tcW w:type="dxa" w:w="1440"/>
          </w:tcPr>
          <w:p>
            <w:r>
              <w:t>6.00% (client data)</w:t>
            </w:r>
          </w:p>
        </w:tc>
        <w:tc>
          <w:tcPr>
            <w:tcW w:type="dxa" w:w="1440"/>
          </w:tcPr>
          <w:p>
            <w:r>
              <w:t>— not reported at this basis</w:t>
            </w:r>
          </w:p>
        </w:tc>
        <w:tc>
          <w:tcPr>
            <w:tcW w:type="dxa" w:w="1440"/>
          </w:tcPr>
          <w:p>
            <w:r>
              <w:t>6.00% (Low)</w:t>
            </w:r>
          </w:p>
        </w:tc>
        <w:tc>
          <w:tcPr>
            <w:tcW w:type="dxa" w:w="1440"/>
          </w:tcPr>
          <w:p>
            <w:r>
              <w:t>8.00% (Low)</w:t>
            </w:r>
          </w:p>
        </w:tc>
        <w:tc>
          <w:tcPr>
            <w:tcW w:type="dxa" w:w="1440"/>
          </w:tcPr>
          <w:p>
            <w:r>
              <w:t>7.00% (Low)</w:t>
            </w:r>
          </w:p>
        </w:tc>
      </w:tr>
      <w:tr>
        <w:tc>
          <w:tcPr>
            <w:tcW w:type="dxa" w:w="1440"/>
          </w:tcPr>
          <w:p>
            <w:r>
              <w:t>NAV per share</w:t>
            </w:r>
          </w:p>
        </w:tc>
        <w:tc>
          <w:tcPr>
            <w:tcW w:type="dxa" w:w="1440"/>
          </w:tcPr>
          <w:p>
            <w:r>
              <w:t>$26.12 (client data)</w:t>
            </w:r>
          </w:p>
        </w:tc>
        <w:tc>
          <w:tcPr>
            <w:tcW w:type="dxa" w:w="1440"/>
          </w:tcPr>
          <w:p>
            <w:r>
              <w:t>$10.77 (Low)</w:t>
            </w:r>
          </w:p>
        </w:tc>
        <w:tc>
          <w:tcPr>
            <w:tcW w:type="dxa" w:w="1440"/>
          </w:tcPr>
          <w:p>
            <w:r>
              <w:t>$8.32 (Low)</w:t>
            </w:r>
          </w:p>
        </w:tc>
        <w:tc>
          <w:tcPr>
            <w:tcW w:type="dxa" w:w="1440"/>
          </w:tcPr>
          <w:p>
            <w:r>
              <w:t>$14.84 (High)</w:t>
            </w:r>
          </w:p>
        </w:tc>
        <w:tc>
          <w:tcPr>
            <w:tcW w:type="dxa" w:w="1440"/>
          </w:tcPr>
          <w:p>
            <w:r>
              <w:t>$18.22 (Low)</w:t>
            </w:r>
          </w:p>
        </w:tc>
      </w:tr>
      <w:tr>
        <w:tc>
          <w:tcPr>
            <w:tcW w:type="dxa" w:w="1440"/>
          </w:tcPr>
          <w:p>
            <w:r>
              <w:t>Leverage (D/E)</w:t>
            </w:r>
          </w:p>
        </w:tc>
        <w:tc>
          <w:tcPr>
            <w:tcW w:type="dxa" w:w="1440"/>
          </w:tcPr>
          <w:p>
            <w:r>
              <w:t>0.96x (client data)</w:t>
            </w:r>
          </w:p>
        </w:tc>
        <w:tc>
          <w:tcPr>
            <w:tcW w:type="dxa" w:w="1440"/>
          </w:tcPr>
          <w:p>
            <w:r>
              <w:t>0.32x (Med)</w:t>
            </w:r>
          </w:p>
        </w:tc>
        <w:tc>
          <w:tcPr>
            <w:tcW w:type="dxa" w:w="1440"/>
          </w:tcPr>
          <w:p>
            <w:r>
              <w:t>— reported basis does not measure this metric</w:t>
            </w:r>
          </w:p>
        </w:tc>
        <w:tc>
          <w:tcPr>
            <w:tcW w:type="dxa" w:w="1440"/>
          </w:tcPr>
          <w:p>
            <w:r>
              <w:t>1.25x (Med)</w:t>
            </w:r>
          </w:p>
        </w:tc>
        <w:tc>
          <w:tcPr>
            <w:tcW w:type="dxa" w:w="1440"/>
          </w:tcPr>
          <w:p>
            <w:r>
              <w:t>2.45x (Med)</w:t>
            </w:r>
          </w:p>
        </w:tc>
      </w:tr>
      <w:tr>
        <w:tc>
          <w:tcPr>
            <w:tcW w:type="dxa" w:w="1440"/>
          </w:tcPr>
          <w:p>
            <w:r>
              <w:t>Distribution yield (ann.)</w:t>
            </w:r>
          </w:p>
        </w:tc>
        <w:tc>
          <w:tcPr>
            <w:tcW w:type="dxa" w:w="1440"/>
          </w:tcPr>
          <w:p>
            <w:r>
              <w:t>9.22% (client data)</w:t>
            </w:r>
          </w:p>
        </w:tc>
        <w:tc>
          <w:tcPr>
            <w:tcW w:type="dxa" w:w="1440"/>
          </w:tcPr>
          <w:p>
            <w:r>
              <w:t>— no figure within staleness window</w:t>
            </w:r>
          </w:p>
        </w:tc>
        <w:tc>
          <w:tcPr>
            <w:tcW w:type="dxa" w:w="1440"/>
          </w:tcPr>
          <w:p>
            <w:r>
              <w:t>9.01% (Med)</w:t>
            </w:r>
          </w:p>
        </w:tc>
        <w:tc>
          <w:tcPr>
            <w:tcW w:type="dxa" w:w="1440"/>
          </w:tcPr>
          <w:p>
            <w:r>
              <w:t>10.43% (Med)</w:t>
            </w:r>
          </w:p>
        </w:tc>
        <w:tc>
          <w:tcPr>
            <w:tcW w:type="dxa" w:w="1440"/>
          </w:tcPr>
          <w:p>
            <w:r>
              <w:t>5.45% (Med)</w:t>
            </w:r>
          </w:p>
        </w:tc>
      </w:tr>
      <w:tr>
        <w:tc>
          <w:tcPr>
            <w:tcW w:type="dxa" w:w="1440"/>
          </w:tcPr>
          <w:p>
            <w:r>
              <w:t>Portfolio turnover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within staleness window</w:t>
            </w:r>
          </w:p>
        </w:tc>
        <w:tc>
          <w:tcPr>
            <w:tcW w:type="dxa" w:w="1440"/>
          </w:tcPr>
          <w:p>
            <w:r>
              <w:t>13.00% (Low)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not reported at this basis</w:t>
            </w:r>
          </w:p>
        </w:tc>
      </w:tr>
      <w:tr>
        <w:tc>
          <w:tcPr>
            <w:tcW w:type="dxa" w:w="1440"/>
          </w:tcPr>
          <w:p>
            <w:r>
              <w:t>Non-accrual rate (% of portfolio)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0.30% (Low)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</w:tr>
      <w:tr>
        <w:tc>
          <w:tcPr>
            <w:tcW w:type="dxa" w:w="1440"/>
          </w:tcPr>
          <w:p>
            <w:r>
              <w:t>Weighted average spread (bps)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  <w:tc>
          <w:tcPr>
            <w:tcW w:type="dxa" w:w="1440"/>
          </w:tcPr>
          <w:p>
            <w:r>
              <w:t>— no figure located in filings</w:t>
            </w:r>
          </w:p>
        </w:tc>
      </w:tr>
    </w:tbl>
    <w:p>
      <w:r>
        <w:rPr>
          <w:b/>
          <w:sz w:val="20"/>
        </w:rPr>
        <w:t xml:space="preserve">Confidence: </w:t>
      </w:r>
      <w:r>
        <w:rPr>
          <w:sz w:val="20"/>
        </w:rPr>
        <w:t>High means several independent routes to the number agreed. Medium means corroborated but on weaker evidence. Low means a single uncorroborated source. A dash is not a missing number — it is a cell where the evidence did not support one, and the reason is stated.</w:t>
      </w:r>
    </w:p>
    <w:p>
      <w:pPr>
        <w:pStyle w:val="Heading1"/>
      </w:pPr>
      <w:r>
        <w:rPr>
          <w:sz w:val="20"/>
        </w:rPr>
        <w:t>Coverage</w:t>
      </w:r>
    </w:p>
    <w:p>
      <w:r>
        <w:rPr>
          <w:sz w:val="20"/>
        </w:rPr>
        <w:t>28 of 48 competitor cells are populated. Each empty cell is attributed below so it can be read as a known limit rather than an unexplained gap.</w:t>
      </w:r>
    </w:p>
    <w:p>
      <w:pPr>
        <w:pStyle w:val="Heading2"/>
      </w:pPr>
      <w:r>
        <w:rPr>
          <w:sz w:val="20"/>
        </w:rPr>
        <w:t>Extraction we have not built (8)</w:t>
      </w:r>
    </w:p>
    <w:p>
      <w:pPr>
        <w:pStyle w:val="ListBullet"/>
      </w:pPr>
      <w:r>
        <w:rPr>
          <w:sz w:val="20"/>
        </w:rPr>
        <w:t>CCLFX — Non-accrual rate (% of portfolio):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CCLFX — Weighted average spread (bps):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GBDC — Portfolio turnover: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GBDC — Weighted average spread (bps):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KREF — Non-accrual rate (% of portfolio):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KREF — Weighted average spread (bps):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TAKIX — Non-accrual rate (% of portfolio): no EDGAR source located; either extraction we have not built, or the figure is not in the filings at all -- see the caveat below</w:t>
      </w:r>
    </w:p>
    <w:p>
      <w:pPr>
        <w:pStyle w:val="ListBullet"/>
      </w:pPr>
      <w:r>
        <w:rPr>
          <w:sz w:val="20"/>
        </w:rPr>
        <w:t>TAKIX — Weighted average spread (bps): no EDGAR source located; either extraction we have not built, or the figure is not in the filings at all -- see the caveat below</w:t>
      </w:r>
    </w:p>
    <w:p>
      <w:pPr>
        <w:pStyle w:val="Heading2"/>
      </w:pPr>
      <w:r>
        <w:rPr>
          <w:sz w:val="20"/>
        </w:rPr>
        <w:t>Exists, but outside the six-month staleness window (5)</w:t>
      </w:r>
    </w:p>
    <w:p>
      <w:pPr>
        <w:pStyle w:val="ListBullet"/>
      </w:pPr>
      <w:r>
        <w:rPr>
          <w:sz w:val="20"/>
        </w:rPr>
        <w:t>CCLFX — Distribution yield (ann.): figure exists but predates the six-month line</w:t>
      </w:r>
    </w:p>
    <w:p>
      <w:pPr>
        <w:pStyle w:val="ListBullet"/>
      </w:pPr>
      <w:r>
        <w:rPr>
          <w:sz w:val="20"/>
        </w:rPr>
        <w:t>CCLFX — Net return, trailing 1Y (ann.): figure exists but predates the six-month line</w:t>
      </w:r>
    </w:p>
    <w:p>
      <w:pPr>
        <w:pStyle w:val="ListBullet"/>
      </w:pPr>
      <w:r>
        <w:rPr>
          <w:sz w:val="20"/>
        </w:rPr>
        <w:t>CCLFX — Net return, trailing 3Y (ann.): figure exists but predates the six-month line</w:t>
      </w:r>
    </w:p>
    <w:p>
      <w:pPr>
        <w:pStyle w:val="ListBullet"/>
      </w:pPr>
      <w:r>
        <w:rPr>
          <w:sz w:val="20"/>
        </w:rPr>
        <w:t>CCLFX — Net return, trailing 5Y (ann.): figure exists but predates the six-month line</w:t>
      </w:r>
    </w:p>
    <w:p>
      <w:pPr>
        <w:pStyle w:val="ListBullet"/>
      </w:pPr>
      <w:r>
        <w:rPr>
          <w:sz w:val="20"/>
        </w:rPr>
        <w:t>CCLFX — Portfolio turnover: figure exists but predates the six-month line</w:t>
      </w:r>
    </w:p>
    <w:p>
      <w:pPr>
        <w:pStyle w:val="Heading2"/>
      </w:pPr>
      <w:r>
        <w:rPr>
          <w:sz w:val="20"/>
        </w:rPr>
        <w:t>Withheld pending a client decision (1)</w:t>
      </w:r>
    </w:p>
    <w:p>
      <w:pPr>
        <w:pStyle w:val="ListBullet"/>
      </w:pPr>
      <w:r>
        <w:rPr>
          <w:sz w:val="20"/>
        </w:rPr>
        <w:t>TAKIX — Leverage (D/E): computable, withheld pending a definition the client is deciding</w:t>
      </w:r>
    </w:p>
    <w:p>
      <w:pPr>
        <w:pStyle w:val="Heading2"/>
      </w:pPr>
      <w:r>
        <w:rPr>
          <w:sz w:val="20"/>
        </w:rPr>
        <w:t>Not published by the filer; no work would fix these (6)</w:t>
      </w:r>
    </w:p>
    <w:p>
      <w:pPr>
        <w:pStyle w:val="ListBullet"/>
      </w:pPr>
      <w:r>
        <w:rPr>
          <w:sz w:val="20"/>
        </w:rPr>
        <w:t>CCLFX — Incentive hurdle: filer does not publish this concept; no extraction would fix it</w:t>
      </w:r>
    </w:p>
    <w:p>
      <w:pPr>
        <w:pStyle w:val="ListBullet"/>
      </w:pPr>
      <w:r>
        <w:rPr>
          <w:sz w:val="20"/>
        </w:rPr>
        <w:t>GBDC — Net return, trailing 5Y (ann.): filer's tagged history does not span the labelled window</w:t>
      </w:r>
    </w:p>
    <w:p>
      <w:pPr>
        <w:pStyle w:val="ListBullet"/>
      </w:pPr>
      <w:r>
        <w:rPr>
          <w:sz w:val="20"/>
        </w:rPr>
        <w:t>KREF — Net return, trailing 1Y (ann.): filer does not publish this concept; no extraction would fix it</w:t>
      </w:r>
    </w:p>
    <w:p>
      <w:pPr>
        <w:pStyle w:val="ListBullet"/>
      </w:pPr>
      <w:r>
        <w:rPr>
          <w:sz w:val="20"/>
        </w:rPr>
        <w:t>KREF — Net return, trailing 3Y (ann.): filer does not publish this concept; no extraction would fix it</w:t>
      </w:r>
    </w:p>
    <w:p>
      <w:pPr>
        <w:pStyle w:val="ListBullet"/>
      </w:pPr>
      <w:r>
        <w:rPr>
          <w:sz w:val="20"/>
        </w:rPr>
        <w:t>KREF — Net return, trailing 5Y (ann.): filer does not publish this concept; no extraction would fix it</w:t>
      </w:r>
    </w:p>
    <w:p>
      <w:pPr>
        <w:pStyle w:val="ListBullet"/>
      </w:pPr>
      <w:r>
        <w:rPr>
          <w:sz w:val="20"/>
        </w:rPr>
        <w:t>KREF — Portfolio turnover: filer does not publish this concept; no extraction would fix it</w:t>
      </w:r>
    </w:p>
    <w:p>
      <w:pPr>
        <w:pStyle w:val="Heading1"/>
      </w:pPr>
      <w:r>
        <w:rPr>
          <w:sz w:val="20"/>
        </w:rPr>
        <w:t>Source conflicts resolved</w:t>
      </w:r>
    </w:p>
    <w:p>
      <w:r>
        <w:rPr>
          <w:sz w:val="20"/>
        </w:rPr>
        <w:t>Where a filing supports more than one value for the same metric, both were extracted and the choice is recorded rather than made silently.</w:t>
      </w:r>
    </w:p>
    <w:p>
      <w:pPr>
        <w:pStyle w:val="ListBullet"/>
      </w:pPr>
      <w:r>
        <w:rPr>
          <w:b/>
          <w:sz w:val="20"/>
        </w:rPr>
        <w:t xml:space="preserve">TAKIX — Management fee: </w:t>
      </w:r>
      <w:r>
        <w:rPr>
          <w:sz w:val="20"/>
        </w:rPr>
        <w:t>candidates 1, 1.5; resolved to 1 (text_pattern). kept 1: agreed on by 1 independent extraction(s) vs 1.5 (1); chosen source text_pattern, flags ['rate_not_restated_within_window']</w:t>
      </w:r>
    </w:p>
    <w:p>
      <w:pPr>
        <w:pStyle w:val="ListBullet"/>
      </w:pPr>
      <w:r>
        <w:rPr>
          <w:b/>
          <w:sz w:val="20"/>
        </w:rPr>
        <w:t xml:space="preserve">GBDC — Incentive fee: </w:t>
      </w:r>
      <w:r>
        <w:rPr>
          <w:sz w:val="20"/>
        </w:rPr>
        <w:t>candidates 15, 20; resolved to 15 (text_pattern). kept 15: agreed on by 2 independent extraction(s) vs 20 (1); chosen source text_pattern, no flags</w:t>
      </w:r>
    </w:p>
    <w:p>
      <w:pPr>
        <w:pStyle w:val="Heading1"/>
      </w:pPr>
      <w:r>
        <w:rPr>
          <w:sz w:val="20"/>
        </w:rPr>
        <w:t>Apex Ridge versus the peer set</w:t>
      </w:r>
    </w:p>
    <w:p>
      <w:r>
        <w:rPr>
          <w:b/>
          <w:sz w:val="20"/>
        </w:rPr>
        <w:t xml:space="preserve">Apex-versus-peer deltas are withheld. </w:t>
      </w:r>
      <w:r>
        <w:rPr>
          <w:sz w:val="20"/>
        </w:rPr>
        <w:t>The share class and fee treatment behind Apex Ridge's own figures are not yet confirmed, and a delta between two numbers of unknown basis is precisely the confidently-wrong figure this process exists to prevent. Peer-to-peer statistics below do not depend on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Peer median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Peer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Apex Ridge</w:t>
            </w:r>
          </w:p>
        </w:tc>
      </w:tr>
      <w:tr>
        <w:tc>
          <w:tcPr>
            <w:tcW w:type="dxa" w:w="2160"/>
          </w:tcPr>
          <w:p>
            <w:r>
              <w:t>Net return, trailing 1Y (ann.)</w:t>
            </w:r>
          </w:p>
        </w:tc>
        <w:tc>
          <w:tcPr>
            <w:tcW w:type="dxa" w:w="2160"/>
          </w:tcPr>
          <w:p>
            <w:r>
              <w:t>7.50%</w:t>
            </w:r>
          </w:p>
        </w:tc>
        <w:tc>
          <w:tcPr>
            <w:tcW w:type="dxa" w:w="2160"/>
          </w:tcPr>
          <w:p>
            <w:r>
              <w:t>6.27% – 8.72%</w:t>
            </w:r>
          </w:p>
        </w:tc>
        <w:tc>
          <w:tcPr>
            <w:tcW w:type="dxa" w:w="2160"/>
          </w:tcPr>
          <w:p>
            <w:r>
              <w:t>10.31% (delta withheld)</w:t>
            </w:r>
          </w:p>
        </w:tc>
      </w:tr>
      <w:tr>
        <w:tc>
          <w:tcPr>
            <w:tcW w:type="dxa" w:w="2160"/>
          </w:tcPr>
          <w:p>
            <w:r>
              <w:t>Net return, trailing 3Y (ann.)</w:t>
            </w:r>
          </w:p>
        </w:tc>
        <w:tc>
          <w:tcPr>
            <w:tcW w:type="dxa" w:w="2160"/>
          </w:tcPr>
          <w:p>
            <w:r>
              <w:t>11.12%</w:t>
            </w:r>
          </w:p>
        </w:tc>
        <w:tc>
          <w:tcPr>
            <w:tcW w:type="dxa" w:w="2160"/>
          </w:tcPr>
          <w:p>
            <w:r>
              <w:t>10.36% – 11.88%</w:t>
            </w:r>
          </w:p>
        </w:tc>
        <w:tc>
          <w:tcPr>
            <w:tcW w:type="dxa" w:w="2160"/>
          </w:tcPr>
          <w:p>
            <w:r>
              <w:t>9.92% (delta withheld)</w:t>
            </w:r>
          </w:p>
        </w:tc>
      </w:tr>
      <w:tr>
        <w:tc>
          <w:tcPr>
            <w:tcW w:type="dxa" w:w="2160"/>
          </w:tcPr>
          <w:p>
            <w:r>
              <w:t>Net return, trailing 5Y (ann.)</w:t>
            </w:r>
          </w:p>
        </w:tc>
        <w:tc>
          <w:tcPr>
            <w:tcW w:type="dxa" w:w="2160"/>
          </w:tcPr>
          <w:p>
            <w:r>
              <w:t>8.21%</w:t>
            </w:r>
          </w:p>
        </w:tc>
        <w:tc>
          <w:tcPr>
            <w:tcW w:type="dxa" w:w="2160"/>
          </w:tcPr>
          <w:p>
            <w:r>
              <w:t>8.21% – 8.21%</w:t>
            </w:r>
          </w:p>
        </w:tc>
        <w:tc>
          <w:tcPr>
            <w:tcW w:type="dxa" w:w="2160"/>
          </w:tcPr>
          <w:p>
            <w:r>
              <w:t>9.39% (delta withheld)</w:t>
            </w:r>
          </w:p>
        </w:tc>
      </w:tr>
      <w:tr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1.00%</w:t>
            </w:r>
          </w:p>
        </w:tc>
        <w:tc>
          <w:tcPr>
            <w:tcW w:type="dxa" w:w="2160"/>
          </w:tcPr>
          <w:p>
            <w:r>
              <w:t>1.00% – 1.00%</w:t>
            </w:r>
          </w:p>
        </w:tc>
        <w:tc>
          <w:tcPr>
            <w:tcW w:type="dxa" w:w="2160"/>
          </w:tcPr>
          <w:p>
            <w:r>
              <w:t>1.25% (delta withheld)</w:t>
            </w:r>
          </w:p>
        </w:tc>
      </w:tr>
      <w:tr>
        <w:tc>
          <w:tcPr>
            <w:tcW w:type="dxa" w:w="2160"/>
          </w:tcPr>
          <w:p>
            <w:r>
              <w:t>Incentive fee</w:t>
            </w:r>
          </w:p>
        </w:tc>
        <w:tc>
          <w:tcPr>
            <w:tcW w:type="dxa" w:w="2160"/>
          </w:tcPr>
          <w:p>
            <w:r>
              <w:t>15.00%</w:t>
            </w:r>
          </w:p>
        </w:tc>
        <w:tc>
          <w:tcPr>
            <w:tcW w:type="dxa" w:w="2160"/>
          </w:tcPr>
          <w:p>
            <w:r>
              <w:t>0.00% – 20.00%</w:t>
            </w:r>
          </w:p>
        </w:tc>
        <w:tc>
          <w:tcPr>
            <w:tcW w:type="dxa" w:w="2160"/>
          </w:tcPr>
          <w:p>
            <w:r>
              <w:t>12.50% (delta withheld)</w:t>
            </w:r>
          </w:p>
        </w:tc>
      </w:tr>
      <w:tr>
        <w:tc>
          <w:tcPr>
            <w:tcW w:type="dxa" w:w="2160"/>
          </w:tcPr>
          <w:p>
            <w:r>
              <w:t>Incentive hurdle</w:t>
            </w:r>
          </w:p>
        </w:tc>
        <w:tc>
          <w:tcPr>
            <w:tcW w:type="dxa" w:w="2160"/>
          </w:tcPr>
          <w:p>
            <w:r>
              <w:t>7.00%</w:t>
            </w:r>
          </w:p>
        </w:tc>
        <w:tc>
          <w:tcPr>
            <w:tcW w:type="dxa" w:w="2160"/>
          </w:tcPr>
          <w:p>
            <w:r>
              <w:t>6.00% – 8.00%</w:t>
            </w:r>
          </w:p>
        </w:tc>
        <w:tc>
          <w:tcPr>
            <w:tcW w:type="dxa" w:w="2160"/>
          </w:tcPr>
          <w:p>
            <w:r>
              <w:t>6.00% (delta withheld)</w:t>
            </w:r>
          </w:p>
        </w:tc>
      </w:tr>
      <w:tr>
        <w:tc>
          <w:tcPr>
            <w:tcW w:type="dxa" w:w="2160"/>
          </w:tcPr>
          <w:p>
            <w:r>
              <w:t>NAV per share</w:t>
            </w:r>
          </w:p>
        </w:tc>
        <w:tc>
          <w:tcPr>
            <w:tcW w:type="dxa" w:w="2160"/>
          </w:tcPr>
          <w:p>
            <w:r>
              <w:t>$10.77</w:t>
            </w:r>
          </w:p>
        </w:tc>
        <w:tc>
          <w:tcPr>
            <w:tcW w:type="dxa" w:w="2160"/>
          </w:tcPr>
          <w:p>
            <w:r>
              <w:t>$8.32 – $14.84</w:t>
            </w:r>
          </w:p>
        </w:tc>
        <w:tc>
          <w:tcPr>
            <w:tcW w:type="dxa" w:w="2160"/>
          </w:tcPr>
          <w:p>
            <w:r>
              <w:t>$26.12 (delta withheld)</w:t>
            </w:r>
          </w:p>
        </w:tc>
      </w:tr>
      <w:tr>
        <w:tc>
          <w:tcPr>
            <w:tcW w:type="dxa" w:w="2160"/>
          </w:tcPr>
          <w:p>
            <w:r>
              <w:t>Leverage (D/E)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0.32x – 2.45x</w:t>
            </w:r>
          </w:p>
        </w:tc>
        <w:tc>
          <w:tcPr>
            <w:tcW w:type="dxa" w:w="2160"/>
          </w:tcPr>
          <w:p>
            <w:r>
              <w:t>0.96x (delta withheld)</w:t>
            </w:r>
          </w:p>
        </w:tc>
      </w:tr>
      <w:tr>
        <w:tc>
          <w:tcPr>
            <w:tcW w:type="dxa" w:w="2160"/>
          </w:tcPr>
          <w:p>
            <w:r>
              <w:t>Distribution yield (ann.)</w:t>
            </w:r>
          </w:p>
        </w:tc>
        <w:tc>
          <w:tcPr>
            <w:tcW w:type="dxa" w:w="2160"/>
          </w:tcPr>
          <w:p>
            <w:r>
              <w:t>9.01%</w:t>
            </w:r>
          </w:p>
        </w:tc>
        <w:tc>
          <w:tcPr>
            <w:tcW w:type="dxa" w:w="2160"/>
          </w:tcPr>
          <w:p>
            <w:r>
              <w:t>5.45% – 10.43%</w:t>
            </w:r>
          </w:p>
        </w:tc>
        <w:tc>
          <w:tcPr>
            <w:tcW w:type="dxa" w:w="2160"/>
          </w:tcPr>
          <w:p>
            <w:r>
              <w:t>9.22% (delta withheld)</w:t>
            </w:r>
          </w:p>
        </w:tc>
      </w:tr>
      <w:tr>
        <w:tc>
          <w:tcPr>
            <w:tcW w:type="dxa" w:w="2160"/>
          </w:tcPr>
          <w:p>
            <w:r>
              <w:t>Portfolio turnover</w:t>
            </w:r>
          </w:p>
        </w:tc>
        <w:tc>
          <w:tcPr>
            <w:tcW w:type="dxa" w:w="2160"/>
          </w:tcPr>
          <w:p>
            <w:r>
              <w:t>13.00%</w:t>
            </w:r>
          </w:p>
        </w:tc>
        <w:tc>
          <w:tcPr>
            <w:tcW w:type="dxa" w:w="2160"/>
          </w:tcPr>
          <w:p>
            <w:r>
              <w:t>13.00% – 13.00%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Non-accrual rate (% of portfolio)</w:t>
            </w:r>
          </w:p>
        </w:tc>
        <w:tc>
          <w:tcPr>
            <w:tcW w:type="dxa" w:w="2160"/>
          </w:tcPr>
          <w:p>
            <w:r>
              <w:t>0.30%</w:t>
            </w:r>
          </w:p>
        </w:tc>
        <w:tc>
          <w:tcPr>
            <w:tcW w:type="dxa" w:w="2160"/>
          </w:tcPr>
          <w:p>
            <w:r>
              <w:t>0.30% – 0.30%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rPr>
          <w:sz w:val="20"/>
        </w:rPr>
        <w:t>Provenance</w:t>
      </w:r>
    </w:p>
    <w:p>
      <w:r>
        <w:rPr>
          <w:sz w:val="20"/>
        </w:rPr>
        <w:t>Every reported figure below cites the filing it came from. Accession numbers are permanent SEC identifiers and resolve years later, which is what a compliance review needs.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 in document</w:t>
            </w:r>
          </w:p>
        </w:tc>
      </w:tr>
      <w:tr>
        <w:tc>
          <w:tcPr>
            <w:tcW w:type="dxa" w:w="2160"/>
          </w:tcPr>
          <w:p>
            <w:r>
              <w:t>CCLFX</w:t>
            </w:r>
          </w:p>
        </w:tc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424B3, period 2025-08-12, acc. 0001213900-25-074891</w:t>
            </w:r>
          </w:p>
        </w:tc>
        <w:tc>
          <w:tcPr>
            <w:tcW w:type="dxa" w:w="2160"/>
          </w:tcPr>
          <w:p>
            <w:r>
              <w:t>prose pattern @ char 147777</w:t>
            </w:r>
          </w:p>
        </w:tc>
      </w:tr>
      <w:tr>
        <w:tc>
          <w:tcPr>
            <w:tcW w:type="dxa" w:w="2160"/>
          </w:tcPr>
          <w:p>
            <w:r>
              <w:t>CCLFX</w:t>
            </w:r>
          </w:p>
        </w:tc>
        <w:tc>
          <w:tcPr>
            <w:tcW w:type="dxa" w:w="2160"/>
          </w:tcPr>
          <w:p>
            <w:r>
              <w:t>Incentive fee</w:t>
            </w:r>
          </w:p>
        </w:tc>
        <w:tc>
          <w:tcPr>
            <w:tcW w:type="dxa" w:w="2160"/>
          </w:tcPr>
          <w:p>
            <w:r>
              <w:t>424B3, period 2025-08-12, acc. 0001213900-25-074891</w:t>
            </w:r>
          </w:p>
        </w:tc>
        <w:tc>
          <w:tcPr>
            <w:tcW w:type="dxa" w:w="2160"/>
          </w:tcPr>
          <w:p>
            <w:r>
              <w:t>expense table @ char 180200: no incentive fee row</w:t>
            </w:r>
          </w:p>
        </w:tc>
      </w:tr>
      <w:tr>
        <w:tc>
          <w:tcPr>
            <w:tcW w:type="dxa" w:w="2160"/>
          </w:tcPr>
          <w:p>
            <w:r>
              <w:t>CCLFX</w:t>
            </w:r>
          </w:p>
        </w:tc>
        <w:tc>
          <w:tcPr>
            <w:tcW w:type="dxa" w:w="2160"/>
          </w:tcPr>
          <w:p>
            <w:r>
              <w:t>NAV per share</w:t>
            </w:r>
          </w:p>
        </w:tc>
        <w:tc>
          <w:tcPr>
            <w:tcW w:type="dxa" w:w="2160"/>
          </w:tcPr>
          <w:p>
            <w:r>
              <w:t>N-CSRS, period 2025-09-30, acc. 0001213900-25-118573</w:t>
            </w:r>
          </w:p>
        </w:tc>
        <w:tc>
          <w:tcPr>
            <w:tcW w:type="dxa" w:w="2160"/>
          </w:tcPr>
          <w:p>
            <w:r>
              <w:t>financial highlights, Class I, 'net asset value, end of period', most recent column (period ended 2025-09-30)</w:t>
            </w:r>
          </w:p>
        </w:tc>
      </w:tr>
      <w:tr>
        <w:tc>
          <w:tcPr>
            <w:tcW w:type="dxa" w:w="2160"/>
          </w:tcPr>
          <w:p>
            <w:r>
              <w:t>CCLFX</w:t>
            </w:r>
          </w:p>
        </w:tc>
        <w:tc>
          <w:tcPr>
            <w:tcW w:type="dxa" w:w="2160"/>
          </w:tcPr>
          <w:p>
            <w:r>
              <w:t>Leverage (D/E)</w:t>
            </w:r>
          </w:p>
        </w:tc>
        <w:tc>
          <w:tcPr>
            <w:tcW w:type="dxa" w:w="2160"/>
          </w:tcPr>
          <w:p>
            <w:r>
              <w:t>NPORT-P, period 2025-12-31, acc. 0001735964-26-000003</w:t>
            </w:r>
          </w:p>
        </w:tc>
        <w:tc>
          <w:tcPr>
            <w:tcW w:type="dxa" w:w="2160"/>
          </w:tcPr>
          <w:p>
            <w:r>
              <w:t>N-PORT fundInfo/amtPay* (sum of borrowings)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Net return, trailing 1Y (ann.)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'total return at net asset value' FY2025-FY2025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Net return, trailing 3Y (ann.)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'total return at net asset value' FY2023-FY2025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Net return, trailing 5Y (ann.)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'total return at net asset value' FY2021-FY2025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N-CSR, period 2024-12-31, acc. 0001725472-25-000003</w:t>
            </w:r>
          </w:p>
        </w:tc>
        <w:tc>
          <w:tcPr>
            <w:tcW w:type="dxa" w:w="2160"/>
          </w:tcPr>
          <w:p>
            <w:r>
              <w:t>prose pattern @ char 3926747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Incentive fee</w:t>
            </w:r>
          </w:p>
        </w:tc>
        <w:tc>
          <w:tcPr>
            <w:tcW w:type="dxa" w:w="2160"/>
          </w:tcPr>
          <w:p>
            <w:r>
              <w:t>486BPOS, period 2025-04-28, acc. 0001193125-25-100526</w:t>
            </w:r>
          </w:p>
        </w:tc>
        <w:tc>
          <w:tcPr>
            <w:tcW w:type="dxa" w:w="2160"/>
          </w:tcPr>
          <w:p>
            <w:r>
              <w:t>prose pattern @ char 1260052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Incentive hurdle</w:t>
            </w:r>
          </w:p>
        </w:tc>
        <w:tc>
          <w:tcPr>
            <w:tcW w:type="dxa" w:w="2160"/>
          </w:tcPr>
          <w:p>
            <w:r>
              <w:t>486BPOS, period 2025-04-28, acc. 0001193125-25-100526</w:t>
            </w:r>
          </w:p>
        </w:tc>
        <w:tc>
          <w:tcPr>
            <w:tcW w:type="dxa" w:w="2160"/>
          </w:tcPr>
          <w:p>
            <w:r>
              <w:t>prose pattern @ char 6845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NAV per share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'net asset value, end of period', most recent column (period ended 2025-12-31)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Distribution yield (ann.)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dividends / NAV end, FY2025</w:t>
            </w:r>
          </w:p>
        </w:tc>
      </w:tr>
      <w:tr>
        <w:tc>
          <w:tcPr>
            <w:tcW w:type="dxa" w:w="2160"/>
          </w:tcPr>
          <w:p>
            <w:r>
              <w:t>TAKIX</w:t>
            </w:r>
          </w:p>
        </w:tc>
        <w:tc>
          <w:tcPr>
            <w:tcW w:type="dxa" w:w="2160"/>
          </w:tcPr>
          <w:p>
            <w:r>
              <w:t>Portfolio turnover</w:t>
            </w:r>
          </w:p>
        </w:tc>
        <w:tc>
          <w:tcPr>
            <w:tcW w:type="dxa" w:w="2160"/>
          </w:tcPr>
          <w:p>
            <w:r>
              <w:t>N-CSR, period 2025-12-31, acc. 0001725472-26-000003</w:t>
            </w:r>
          </w:p>
        </w:tc>
        <w:tc>
          <w:tcPr>
            <w:tcW w:type="dxa" w:w="2160"/>
          </w:tcPr>
          <w:p>
            <w:r>
              <w:t>financial highlights, CLASS I, row matching 'portfolio turnover', most recent column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Net return, trailing 1Y (ann.)</w:t>
            </w:r>
          </w:p>
        </w:tc>
        <w:tc>
          <w:tcPr>
            <w:tcW w:type="dxa" w:w="2160"/>
          </w:tcPr>
          <w:p>
            <w:r>
              <w:t>10-Q, period 2025-12-31, acc. 0001476765-26-000012</w:t>
            </w:r>
          </w:p>
        </w:tc>
        <w:tc>
          <w:tcPr>
            <w:tcW w:type="dxa" w:w="2160"/>
          </w:tcPr>
          <w:p>
            <w:r>
              <w:t>XBRL us-gaap:NetAssetValuePerShare [USD/shares] @ 2025-12-31 (derived trailing 1Y)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Net return, trailing 3Y (ann.)</w:t>
            </w:r>
          </w:p>
        </w:tc>
        <w:tc>
          <w:tcPr>
            <w:tcW w:type="dxa" w:w="2160"/>
          </w:tcPr>
          <w:p>
            <w:r>
              <w:t>10-Q, period 2025-12-31, acc. 0001476765-26-000012</w:t>
            </w:r>
          </w:p>
        </w:tc>
        <w:tc>
          <w:tcPr>
            <w:tcW w:type="dxa" w:w="2160"/>
          </w:tcPr>
          <w:p>
            <w:r>
              <w:t>XBRL us-gaap:NetAssetValuePerShare [USD/shares] @ 2025-12-31 (derived trailing 3Y)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10-K, period 2025-09-30, acc. 0001476765-25-000096</w:t>
            </w:r>
          </w:p>
        </w:tc>
        <w:tc>
          <w:tcPr>
            <w:tcW w:type="dxa" w:w="2160"/>
          </w:tcPr>
          <w:p>
            <w:r>
              <w:t>prose pattern @ char 2937966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Incentive fee</w:t>
            </w:r>
          </w:p>
        </w:tc>
        <w:tc>
          <w:tcPr>
            <w:tcW w:type="dxa" w:w="2160"/>
          </w:tcPr>
          <w:p>
            <w:r>
              <w:t>10-K, period 2025-09-30, acc. 0001476765-25-000096</w:t>
            </w:r>
          </w:p>
        </w:tc>
        <w:tc>
          <w:tcPr>
            <w:tcW w:type="dxa" w:w="2160"/>
          </w:tcPr>
          <w:p>
            <w:r>
              <w:t>prose pattern @ char 2942536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Incentive hurdle</w:t>
            </w:r>
          </w:p>
        </w:tc>
        <w:tc>
          <w:tcPr>
            <w:tcW w:type="dxa" w:w="2160"/>
          </w:tcPr>
          <w:p>
            <w:r>
              <w:t>10-K, period 2025-09-30, acc. 0001476765-25-000096</w:t>
            </w:r>
          </w:p>
        </w:tc>
        <w:tc>
          <w:tcPr>
            <w:tcW w:type="dxa" w:w="2160"/>
          </w:tcPr>
          <w:p>
            <w:r>
              <w:t>prose pattern @ char 2951697 [converted from a quarterly rate]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NAV per share</w:t>
            </w:r>
          </w:p>
        </w:tc>
        <w:tc>
          <w:tcPr>
            <w:tcW w:type="dxa" w:w="2160"/>
          </w:tcPr>
          <w:p>
            <w:r>
              <w:t>10-Q, period 2025-12-31, acc. 0001476765-26-000012</w:t>
            </w:r>
          </w:p>
        </w:tc>
        <w:tc>
          <w:tcPr>
            <w:tcW w:type="dxa" w:w="2160"/>
          </w:tcPr>
          <w:p>
            <w:r>
              <w:t>XBRL us-gaap:NetAssetValuePerShare [USD/shares] @ 2025-12-31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Leverage (D/E)</w:t>
            </w:r>
          </w:p>
        </w:tc>
        <w:tc>
          <w:tcPr>
            <w:tcW w:type="dxa" w:w="2160"/>
          </w:tcPr>
          <w:p>
            <w:r>
              <w:t>10-Q, period 2025-12-31, acc. 0001476765-26-000012</w:t>
            </w:r>
          </w:p>
        </w:tc>
        <w:tc>
          <w:tcPr>
            <w:tcW w:type="dxa" w:w="2160"/>
          </w:tcPr>
          <w:p>
            <w:r>
              <w:t>XBRL us-gaap:DebtInstrumentCarryingAmount [USD] @ 2025-12-31 (regulatory-style: borrowings / net assets)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Distribution yield (ann.)</w:t>
            </w:r>
          </w:p>
        </w:tc>
        <w:tc>
          <w:tcPr>
            <w:tcW w:type="dxa" w:w="2160"/>
          </w:tcPr>
          <w:p>
            <w:r>
              <w:t>10-Q, period 2025-12-31, acc. 0001476765-26-000012</w:t>
            </w:r>
          </w:p>
        </w:tc>
        <w:tc>
          <w:tcPr>
            <w:tcW w:type="dxa" w:w="2160"/>
          </w:tcPr>
          <w:p>
            <w:r>
              <w:t>XBRL us-gaap:CommonStockDividendsPerShareDeclared [USD/shares] @ 2025-10-01..2025-12-31 (run-rate annualized)</w:t>
            </w:r>
          </w:p>
        </w:tc>
      </w:tr>
      <w:tr>
        <w:tc>
          <w:tcPr>
            <w:tcW w:type="dxa" w:w="2160"/>
          </w:tcPr>
          <w:p>
            <w:r>
              <w:t>GBDC</w:t>
            </w:r>
          </w:p>
        </w:tc>
        <w:tc>
          <w:tcPr>
            <w:tcW w:type="dxa" w:w="2160"/>
          </w:tcPr>
          <w:p>
            <w:r>
              <w:t>Non-accrual rate (% of portfolio)</w:t>
            </w:r>
          </w:p>
        </w:tc>
        <w:tc>
          <w:tcPr>
            <w:tcW w:type="dxa" w:w="2160"/>
          </w:tcPr>
          <w:p>
            <w:r>
              <w:t>10-K, period 2025-09-30, acc. 0001476765-25-000096</w:t>
            </w:r>
          </w:p>
        </w:tc>
        <w:tc>
          <w:tcPr>
            <w:tcW w:type="dxa" w:w="2160"/>
          </w:tcPr>
          <w:p>
            <w:r>
              <w:t>custom metric 'non_accrual_rate_pct' @ char 4115622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Management fee</w:t>
            </w:r>
          </w:p>
        </w:tc>
        <w:tc>
          <w:tcPr>
            <w:tcW w:type="dxa" w:w="2160"/>
          </w:tcPr>
          <w:p>
            <w:r>
              <w:t>10-K, period 2024-12-31, acc. 0001631596-25-000012</w:t>
            </w:r>
          </w:p>
        </w:tc>
        <w:tc>
          <w:tcPr>
            <w:tcW w:type="dxa" w:w="2160"/>
          </w:tcPr>
          <w:p>
            <w:r>
              <w:t>prose pattern @ char 933554 [quarterly rate on adjusted equity]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Incentive fee</w:t>
            </w:r>
          </w:p>
        </w:tc>
        <w:tc>
          <w:tcPr>
            <w:tcW w:type="dxa" w:w="2160"/>
          </w:tcPr>
          <w:p>
            <w:r>
              <w:t>10-K, period 2024-12-31, acc. 0001631596-25-000012</w:t>
            </w:r>
          </w:p>
        </w:tc>
        <w:tc>
          <w:tcPr>
            <w:tcW w:type="dxa" w:w="2160"/>
          </w:tcPr>
          <w:p>
            <w:r>
              <w:t>prose pattern @ char 933367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Incentive hurdle</w:t>
            </w:r>
          </w:p>
        </w:tc>
        <w:tc>
          <w:tcPr>
            <w:tcW w:type="dxa" w:w="2160"/>
          </w:tcPr>
          <w:p>
            <w:r>
              <w:t>10-K, period 2024-12-31, acc. 0001631596-25-000012</w:t>
            </w:r>
          </w:p>
        </w:tc>
        <w:tc>
          <w:tcPr>
            <w:tcW w:type="dxa" w:w="2160"/>
          </w:tcPr>
          <w:p>
            <w:r>
              <w:t>prose pattern @ char 933614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NAV per share</w:t>
            </w:r>
          </w:p>
        </w:tc>
        <w:tc>
          <w:tcPr>
            <w:tcW w:type="dxa" w:w="2160"/>
          </w:tcPr>
          <w:p>
            <w:r>
              <w:t>10-Q, period 2025-12-31, acc. 0001628280-26-049028</w:t>
            </w:r>
          </w:p>
        </w:tc>
        <w:tc>
          <w:tcPr>
            <w:tcW w:type="dxa" w:w="2160"/>
          </w:tcPr>
          <w:p>
            <w:r>
              <w:t>XBRL us-gaap:StockholdersEquity [USD] @ 2025-12-31 (derived from equity / shares outstanding)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Leverage (D/E)</w:t>
            </w:r>
          </w:p>
        </w:tc>
        <w:tc>
          <w:tcPr>
            <w:tcW w:type="dxa" w:w="2160"/>
          </w:tcPr>
          <w:p>
            <w:r>
              <w:t>10-K, period 2025-12-31, acc. 0001628280-26-005092</w:t>
            </w:r>
          </w:p>
        </w:tc>
        <w:tc>
          <w:tcPr>
            <w:tcW w:type="dxa" w:w="2160"/>
          </w:tcPr>
          <w:p>
            <w:r>
              <w:t>XBRL us-gaap:DebtInstrumentCarryingAmount [USD] @ 2025-12-31 (regulatory-style: borrowings / net assets)</w:t>
            </w:r>
          </w:p>
        </w:tc>
      </w:tr>
      <w:tr>
        <w:tc>
          <w:tcPr>
            <w:tcW w:type="dxa" w:w="2160"/>
          </w:tcPr>
          <w:p>
            <w:r>
              <w:t>KREF</w:t>
            </w:r>
          </w:p>
        </w:tc>
        <w:tc>
          <w:tcPr>
            <w:tcW w:type="dxa" w:w="2160"/>
          </w:tcPr>
          <w:p>
            <w:r>
              <w:t>Distribution yield (ann.)</w:t>
            </w:r>
          </w:p>
        </w:tc>
        <w:tc>
          <w:tcPr>
            <w:tcW w:type="dxa" w:w="2160"/>
          </w:tcPr>
          <w:p>
            <w:r>
              <w:t>10-K, period 2025-12-31, acc. 0001628280-26-005092</w:t>
            </w:r>
          </w:p>
        </w:tc>
        <w:tc>
          <w:tcPr>
            <w:tcW w:type="dxa" w:w="2160"/>
          </w:tcPr>
          <w:p>
            <w:r>
              <w:t>XBRL us-gaap:CommonStockDividendsPerShareDeclared [USD/shares] @ 2025-01-01..2025-12-31 (run-rate annualized)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