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0.00%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2.45x (Med)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  <w:tr>
        <w:tc>
          <w:tcPr>
            <w:tcW w:type="dxa" w:w="1440"/>
          </w:tcPr>
          <w:p>
            <w:r>
              <w:t>Portfolio turnover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13.00%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Non-accrual rate (% of portfolio)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0.30%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Weighted average spread (bps)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28 of 48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Extraction we have not built (8)</w:t>
      </w:r>
    </w:p>
    <w:p>
      <w:pPr>
        <w:pStyle w:val="ListBullet"/>
      </w:pPr>
      <w:r>
        <w:rPr>
          <w:sz w:val="20"/>
        </w:rPr>
        <w:t>CCLFX — Non-accrual rate (% of portfolio):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Portfolio turnover: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Weighted average spread (bps): no EDGAR source located; either extraction we have not built, or the figure is not in the filings at all -- see the caveat below</w:t>
      </w:r>
    </w:p>
    <w:p>
      <w:pPr>
        <w:pStyle w:val="Heading2"/>
      </w:pPr>
      <w:r>
        <w:rPr>
          <w:sz w:val="20"/>
        </w:rPr>
        <w:t>Exists, but outside the six-month staleness window (5)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ListBullet"/>
      </w:pPr>
      <w:r>
        <w:rPr>
          <w:sz w:val="20"/>
        </w:rPr>
        <w:t>CCLFX — Portfolio turnover: figure exists but predates the six-month line</w:t>
      </w:r>
    </w:p>
    <w:p>
      <w:pPr>
        <w:pStyle w:val="Heading2"/>
      </w:pPr>
      <w:r>
        <w:rPr>
          <w:sz w:val="20"/>
        </w:rPr>
        <w:t>Withheld pending a client decision (1)</w:t>
      </w:r>
    </w:p>
    <w:p>
      <w:pPr>
        <w:pStyle w:val="ListBullet"/>
      </w:pPr>
      <w:r>
        <w:rPr>
          <w:sz w:val="20"/>
        </w:rPr>
        <w:t>TAKIX — Leverage (D/E): computable, withheld pending a definition the client is deciding</w:t>
      </w:r>
    </w:p>
    <w:p>
      <w:pPr>
        <w:pStyle w:val="Heading2"/>
      </w:pPr>
      <w:r>
        <w:rPr>
          <w:sz w:val="20"/>
        </w:rPr>
        <w:t>Not published by the filer; no work would fix these (6)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ListBullet"/>
      </w:pPr>
      <w:r>
        <w:rPr>
          <w:sz w:val="20"/>
        </w:rPr>
        <w:t>KREF — Portfolio turnover: filer does not publish this concept; no extraction would fix it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TAKIX — Management fee: </w:t>
      </w:r>
      <w:r>
        <w:rPr>
          <w:sz w:val="20"/>
        </w:rPr>
        <w:t>candidates 1, 1.5; resolved to 1 (text_pattern). kept 1: agreed on by 1 independent extraction(s) vs 1.5 (1); chosen source text_pattern, flags ['rate_not_restated_within_window']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20; resolved to 15 (text_pattern). kept 15: agreed on by 2 independent extraction(s) vs 20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p>
      <w:r>
        <w:rPr>
          <w:b/>
          <w:sz w:val="20"/>
        </w:rPr>
        <w:t xml:space="preserve">Apex-versus-peer deltas are withheld. </w:t>
      </w:r>
      <w:r>
        <w:rPr>
          <w:sz w:val="20"/>
        </w:rPr>
        <w:t>The share class and fee treatment behind Apex Ridge's own figures are not yet confirmed, and a delta between two numbers of unknown basis is precisely the confidently-wrong figure this process exists to prevent. Peer-to-peer statistics below do not depend on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 (delta withheld)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 (delta withheld)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 (delta withheld)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 (delta withheld)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 (delta withheld)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 (delta withheld)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 (delta withheld)</w:t>
            </w:r>
          </w:p>
        </w:tc>
      </w:tr>
      <w:tr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0.32x – 2.45x</w:t>
            </w:r>
          </w:p>
        </w:tc>
        <w:tc>
          <w:tcPr>
            <w:tcW w:type="dxa" w:w="2160"/>
          </w:tcPr>
          <w:p>
            <w:r>
              <w:t>0.96x (delta withheld)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 (delta withheld)</w:t>
            </w:r>
          </w:p>
        </w:tc>
      </w:tr>
      <w:tr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13.00%</w:t>
            </w:r>
          </w:p>
        </w:tc>
        <w:tc>
          <w:tcPr>
            <w:tcW w:type="dxa" w:w="2160"/>
          </w:tcPr>
          <w:p>
            <w:r>
              <w:t>13.00% – 13.00%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portfolio)</w:t>
            </w:r>
          </w:p>
        </w:tc>
        <w:tc>
          <w:tcPr>
            <w:tcW w:type="dxa" w:w="2160"/>
          </w:tcPr>
          <w:p>
            <w:r>
              <w:t>0.30%</w:t>
            </w:r>
          </w:p>
        </w:tc>
        <w:tc>
          <w:tcPr>
            <w:tcW w:type="dxa" w:w="2160"/>
          </w:tcPr>
          <w:p>
            <w:r>
              <w:t>0.30% – 0.30%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row matching 'portfolio turnover', most recent column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'non_accrual_rate_pct' @ char 4115622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