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bookmarkStart w:id="0" w:name="_GoBack"/>
      <w:bookmarkEnd w:id="0"/>
      <w:r w:rsidRPr="00AC7054">
        <w:rPr>
          <w:rFonts w:asciiTheme="minorHAnsi" w:hAnsiTheme="minorHAnsi"/>
        </w:rPr>
        <w:t>I included three overlays for the weighting of the pixels:  fuel-type, topography, and creeks.  The fuel-type weighting assignment was based on the rate-of-spread (ROS) figures given for the Canadian Forest Fire Behaviour Prediction (FBP) System fuel-type designations (Taylor and Pike 1995).  An Initial Spread Index (ISI) of 15, and Build Up Index (BUI) of 50 were used in the tables to represent "average" fire weather conditions in the Prince George area (Forestry Canada Fire Danger Group 1992).</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Age and composition information in each pixel were used to assign broad fuel-types closely matching those from the FBP system. Where gaps occurred, I used interpolation (between two existing forest fuel-types) or the closest possible category in the case of non-forested classes, such as non-productive brush and non-productive black spruce.</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There is currently no mechanism that considers increasing rates of spread in older stands within the FBP fuel-type ROS's that form the basis of how and where fires will spread across the landscape.  In other words, the FBP system assumes age invariance.   Although the results of Section 2.4.1 were ambiguous, there is reason to believe that a limited degree of age selection is in operation on the SBSmk1 landscape</w:t>
      </w:r>
      <w:r w:rsidRPr="00AC7054">
        <w:rPr>
          <w:rStyle w:val="FootnoteReference"/>
          <w:rFonts w:asciiTheme="minorHAnsi" w:hAnsiTheme="minorHAnsi"/>
          <w:sz w:val="20"/>
          <w:szCs w:val="20"/>
        </w:rPr>
        <w:footnoteReference w:id="1"/>
      </w:r>
      <w:r w:rsidRPr="00AC7054">
        <w:rPr>
          <w:rFonts w:asciiTheme="minorHAnsi" w:hAnsiTheme="minorHAnsi"/>
        </w:rPr>
        <w:t xml:space="preserve">.  </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To allow for age selection, the model adopted the FBP ROS values as they exist below 140 years, and increased them by 50% thereafter.  This underplays the tendency of age selection according to the disturbance rates for the Weibull in Table 2.1 in Section 2.4.1, which is reasonable considering the evidence on which the adoption of the Weibull model was made.  It also allowed for the possibility of more frequent reburning (which has been observed).  The final fourteen fuel-types and their respective ROS values used in the model are given in Table 3.2.</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 xml:space="preserve">The ROS weights given in Table 3.2 are valid only for flat ground.  Slope and aspect information combined to form the second data overlay.  From the target pixel, the direction (uphill, downhill, or sideslope) was found, and used in conjunction with the slope to adjust the ROS accordingly.  The adjustments were taken directly from the Relative Spread factors used for the FBP system (Alexander </w:t>
      </w:r>
      <w:r w:rsidRPr="00AC7054">
        <w:rPr>
          <w:rFonts w:asciiTheme="minorHAnsi" w:hAnsiTheme="minorHAnsi"/>
          <w:i/>
        </w:rPr>
        <w:t>et al</w:t>
      </w:r>
      <w:r w:rsidRPr="00AC7054">
        <w:rPr>
          <w:rFonts w:asciiTheme="minorHAnsi" w:hAnsiTheme="minorHAnsi"/>
        </w:rPr>
        <w:t>. 1984).  The factors by which the fuel-type ROS's were adjusted are given in Table 3.3.  The ROS multipliers were applied directly when the fire is moving uphill, and inversely when moving downhill.  Note that for slopes less than 10%, no correction was applied.</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Although there was some indication that south and west facing slopes may be more susceptible to fire than north and east slopes (Section 2.4.5.2), the evidence was not considered strong enough to warrant complicating the model further.  Furthermore, although there was fairly strong evidence that forest stands on very dry, well drained soils burn more often than stands on other</w:t>
      </w:r>
    </w:p>
    <w:tbl>
      <w:tblPr>
        <w:tblW w:w="0" w:type="auto"/>
        <w:jc w:val="center"/>
        <w:tblLayout w:type="fixed"/>
        <w:tblCellMar>
          <w:left w:w="120" w:type="dxa"/>
          <w:right w:w="120" w:type="dxa"/>
        </w:tblCellMar>
        <w:tblLook w:val="0000" w:firstRow="0" w:lastRow="0" w:firstColumn="0" w:lastColumn="0" w:noHBand="0" w:noVBand="0"/>
      </w:tblPr>
      <w:tblGrid>
        <w:gridCol w:w="3600"/>
        <w:gridCol w:w="2016"/>
      </w:tblGrid>
      <w:tr w:rsidR="00AC7054" w:rsidRPr="00AC7054" w:rsidTr="00F35383">
        <w:trPr>
          <w:cantSplit/>
          <w:jc w:val="center"/>
        </w:trPr>
        <w:tc>
          <w:tcPr>
            <w:tcW w:w="3600" w:type="dxa"/>
            <w:tcBorders>
              <w:bottom w:val="doub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Table 3.2.</w:t>
            </w:r>
            <w:r w:rsidRPr="00AC7054">
              <w:rPr>
                <w:rFonts w:asciiTheme="minorHAnsi" w:hAnsiTheme="minorHAnsi"/>
              </w:rPr>
              <w:tab/>
              <w:t>Fuel-types and rate-of-spread (ROS) values for the landscape model.</w:t>
            </w:r>
            <w:r w:rsidRPr="00AC7054">
              <w:rPr>
                <w:rFonts w:asciiTheme="minorHAnsi" w:hAnsiTheme="minorHAnsi"/>
              </w:rPr>
              <w:fldChar w:fldCharType="begin"/>
            </w:r>
            <w:r w:rsidRPr="00AC7054">
              <w:rPr>
                <w:rFonts w:asciiTheme="minorHAnsi" w:hAnsiTheme="minorHAnsi"/>
              </w:rPr>
              <w:instrText>tc "Table 3.2.</w:instrText>
            </w:r>
            <w:r w:rsidRPr="00AC7054">
              <w:rPr>
                <w:rFonts w:asciiTheme="minorHAnsi" w:hAnsiTheme="minorHAnsi"/>
              </w:rPr>
              <w:tab/>
              <w:instrText>Fuel-types and rate-of-spread (ROS) values for the landscape model." \f d</w:instrText>
            </w:r>
            <w:r w:rsidRPr="00AC7054">
              <w:rPr>
                <w:rFonts w:asciiTheme="minorHAnsi" w:hAnsiTheme="minorHAnsi"/>
              </w:rPr>
              <w:fldChar w:fldCharType="end"/>
            </w:r>
          </w:p>
        </w:tc>
        <w:tc>
          <w:tcPr>
            <w:tcW w:w="2016" w:type="dxa"/>
            <w:tcBorders>
              <w:bottom w:val="double" w:sz="6" w:space="0" w:color="auto"/>
            </w:tcBorders>
          </w:tcPr>
          <w:p w:rsidR="00AC7054" w:rsidRPr="00AC7054" w:rsidRDefault="00AC7054" w:rsidP="00AC7054">
            <w:pPr>
              <w:keepLines/>
              <w:rPr>
                <w:rFonts w:asciiTheme="minorHAnsi" w:hAnsiTheme="minorHAnsi"/>
              </w:rPr>
            </w:pPr>
          </w:p>
        </w:tc>
      </w:tr>
      <w:tr w:rsidR="00AC7054" w:rsidRPr="00AC7054" w:rsidTr="00F35383">
        <w:trPr>
          <w:cantSplit/>
          <w:jc w:val="center"/>
        </w:trPr>
        <w:tc>
          <w:tcPr>
            <w:tcW w:w="3600" w:type="dxa"/>
            <w:tcBorders>
              <w:left w:val="single" w:sz="6" w:space="0" w:color="auto"/>
              <w:bottom w:val="doub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FUEL-TYPE (age-class)</w:t>
            </w:r>
          </w:p>
        </w:tc>
        <w:tc>
          <w:tcPr>
            <w:tcW w:w="2016" w:type="dxa"/>
            <w:tcBorders>
              <w:left w:val="double" w:sz="6" w:space="0" w:color="auto"/>
              <w:bottom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ROS (m/min)</w:t>
            </w:r>
          </w:p>
        </w:tc>
      </w:tr>
      <w:tr w:rsidR="00AC7054" w:rsidRPr="00AC7054" w:rsidTr="00F35383">
        <w:trPr>
          <w:cantSplit/>
          <w:trHeight w:val="402"/>
          <w:jc w:val="center"/>
        </w:trPr>
        <w:tc>
          <w:tcPr>
            <w:tcW w:w="3600" w:type="dxa"/>
            <w:tcBorders>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Water</w:t>
            </w:r>
          </w:p>
        </w:tc>
        <w:tc>
          <w:tcPr>
            <w:tcW w:w="2016" w:type="dxa"/>
            <w:tcBorders>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5</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Young mixedwood (&lt;=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6 *</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Non-productive brush</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7</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Non-productive black spruce</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8</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Mature hardwood (&gt;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9</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Young mixedwood (&lt;=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12 *</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lastRenderedPageBreak/>
              <w:t>Immature pine (41 - 120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14 *</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Mature mixedwood (&gt;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17</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Young softwood (&lt;=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18 *</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Young spruce (&lt;=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20 *</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Mature pine (&gt;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21</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Young pine (&lt;= 40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22 *</w:t>
            </w:r>
          </w:p>
        </w:tc>
      </w:tr>
      <w:tr w:rsidR="00AC7054" w:rsidRPr="00AC7054" w:rsidTr="00F35383">
        <w:trPr>
          <w:cantSplit/>
          <w:trHeight w:val="402"/>
          <w:jc w:val="center"/>
        </w:trPr>
        <w:tc>
          <w:tcPr>
            <w:tcW w:w="3600" w:type="dxa"/>
            <w:tcBorders>
              <w:top w:val="single" w:sz="6" w:space="0" w:color="auto"/>
              <w:left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Mature softwood (&gt; 120 years)</w:t>
            </w:r>
          </w:p>
        </w:tc>
        <w:tc>
          <w:tcPr>
            <w:tcW w:w="2016" w:type="dxa"/>
            <w:tcBorders>
              <w:top w:val="single" w:sz="6" w:space="0" w:color="auto"/>
              <w:left w:val="doub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27</w:t>
            </w:r>
          </w:p>
        </w:tc>
      </w:tr>
      <w:tr w:rsidR="00AC7054" w:rsidRPr="00AC7054" w:rsidTr="00F35383">
        <w:trPr>
          <w:cantSplit/>
          <w:trHeight w:val="402"/>
          <w:jc w:val="center"/>
        </w:trPr>
        <w:tc>
          <w:tcPr>
            <w:tcW w:w="3600" w:type="dxa"/>
            <w:tcBorders>
              <w:top w:val="single" w:sz="6" w:space="0" w:color="auto"/>
              <w:left w:val="single" w:sz="6" w:space="0" w:color="auto"/>
              <w:bottom w:val="single" w:sz="6" w:space="0" w:color="auto"/>
            </w:tcBorders>
          </w:tcPr>
          <w:p w:rsidR="00AC7054" w:rsidRPr="00AC7054" w:rsidRDefault="00AC7054" w:rsidP="00AC7054">
            <w:pPr>
              <w:keepLines/>
              <w:rPr>
                <w:rFonts w:asciiTheme="minorHAnsi" w:hAnsiTheme="minorHAnsi"/>
              </w:rPr>
            </w:pPr>
            <w:r w:rsidRPr="00AC7054">
              <w:rPr>
                <w:rFonts w:asciiTheme="minorHAnsi" w:hAnsiTheme="minorHAnsi"/>
              </w:rPr>
              <w:t>Mature spruce (&gt; 120 years)</w:t>
            </w:r>
          </w:p>
        </w:tc>
        <w:tc>
          <w:tcPr>
            <w:tcW w:w="2016" w:type="dxa"/>
            <w:tcBorders>
              <w:top w:val="single" w:sz="6" w:space="0" w:color="auto"/>
              <w:left w:val="double" w:sz="6" w:space="0" w:color="auto"/>
              <w:bottom w:val="single" w:sz="6" w:space="0" w:color="auto"/>
              <w:right w:val="single" w:sz="6" w:space="0" w:color="auto"/>
            </w:tcBorders>
          </w:tcPr>
          <w:p w:rsidR="00AC7054" w:rsidRPr="00AC7054" w:rsidRDefault="00AC7054" w:rsidP="00AC7054">
            <w:pPr>
              <w:keepLines/>
              <w:jc w:val="center"/>
              <w:rPr>
                <w:rFonts w:asciiTheme="minorHAnsi" w:hAnsiTheme="minorHAnsi"/>
              </w:rPr>
            </w:pPr>
            <w:r w:rsidRPr="00AC7054">
              <w:rPr>
                <w:rFonts w:asciiTheme="minorHAnsi" w:hAnsiTheme="minorHAnsi"/>
              </w:rPr>
              <w:t>30</w:t>
            </w:r>
          </w:p>
        </w:tc>
      </w:tr>
    </w:tbl>
    <w:p w:rsidR="00AC7054" w:rsidRPr="00AC7054" w:rsidRDefault="00AC7054" w:rsidP="00AC7054">
      <w:pPr>
        <w:keepLines/>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left="3432" w:hanging="3432"/>
        <w:jc w:val="both"/>
        <w:rPr>
          <w:rFonts w:asciiTheme="minorHAnsi" w:hAnsiTheme="minorHAnsi"/>
        </w:rPr>
      </w:pPr>
      <w:r w:rsidRPr="00AC7054">
        <w:rPr>
          <w:rFonts w:asciiTheme="minorHAnsi" w:hAnsiTheme="minorHAnsi"/>
        </w:rPr>
        <w:tab/>
      </w:r>
      <w:r w:rsidRPr="00AC7054">
        <w:rPr>
          <w:rFonts w:asciiTheme="minorHAnsi" w:hAnsiTheme="minorHAnsi"/>
        </w:rPr>
        <w:tab/>
      </w:r>
      <w:r w:rsidRPr="00AC7054">
        <w:rPr>
          <w:rFonts w:asciiTheme="minorHAnsi" w:hAnsiTheme="minorHAnsi"/>
        </w:rPr>
        <w:tab/>
        <w:t xml:space="preserve">       * values derived directly from Taylor and Pike (1995).</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tbl>
      <w:tblPr>
        <w:tblW w:w="0" w:type="auto"/>
        <w:jc w:val="center"/>
        <w:tblLayout w:type="fixed"/>
        <w:tblCellMar>
          <w:left w:w="120" w:type="dxa"/>
          <w:right w:w="120" w:type="dxa"/>
        </w:tblCellMar>
        <w:tblLook w:val="0000" w:firstRow="0" w:lastRow="0" w:firstColumn="0" w:lastColumn="0" w:noHBand="0" w:noVBand="0"/>
      </w:tblPr>
      <w:tblGrid>
        <w:gridCol w:w="1872"/>
        <w:gridCol w:w="2592"/>
      </w:tblGrid>
      <w:tr w:rsidR="00AC7054" w:rsidRPr="00AC7054" w:rsidTr="00F35383">
        <w:trPr>
          <w:cantSplit/>
          <w:trHeight w:val="402"/>
          <w:jc w:val="center"/>
        </w:trPr>
        <w:tc>
          <w:tcPr>
            <w:tcW w:w="1872" w:type="dxa"/>
            <w:tcBorders>
              <w:bottom w:val="double" w:sz="6" w:space="0" w:color="auto"/>
            </w:tcBorders>
          </w:tcPr>
          <w:p w:rsidR="00AC7054" w:rsidRPr="00AC7054" w:rsidRDefault="00AC7054" w:rsidP="00AC7054">
            <w:pPr>
              <w:keepNext/>
              <w:keepLines/>
              <w:rPr>
                <w:rFonts w:asciiTheme="minorHAnsi" w:hAnsiTheme="minorHAnsi"/>
              </w:rPr>
            </w:pPr>
          </w:p>
          <w:p w:rsidR="00AC7054" w:rsidRPr="00AC7054" w:rsidRDefault="00AC7054" w:rsidP="00AC7054">
            <w:pPr>
              <w:keepNext/>
              <w:keepLines/>
              <w:rPr>
                <w:rFonts w:asciiTheme="minorHAnsi" w:hAnsiTheme="minorHAnsi"/>
              </w:rPr>
            </w:pPr>
            <w:r w:rsidRPr="00AC7054">
              <w:rPr>
                <w:rFonts w:asciiTheme="minorHAnsi" w:hAnsiTheme="minorHAnsi"/>
              </w:rPr>
              <w:t>Table 3.3.</w:t>
            </w:r>
            <w:r w:rsidRPr="00AC7054">
              <w:rPr>
                <w:rFonts w:asciiTheme="minorHAnsi" w:hAnsiTheme="minorHAnsi"/>
              </w:rPr>
              <w:tab/>
              <w:t>Rate-of-spread (ROS) slope correction factors for the landscape model fuel-types.</w:t>
            </w:r>
            <w:r w:rsidRPr="00AC7054">
              <w:rPr>
                <w:rFonts w:asciiTheme="minorHAnsi" w:hAnsiTheme="minorHAnsi"/>
              </w:rPr>
              <w:fldChar w:fldCharType="begin"/>
            </w:r>
            <w:r w:rsidRPr="00AC7054">
              <w:rPr>
                <w:rFonts w:asciiTheme="minorHAnsi" w:hAnsiTheme="minorHAnsi"/>
              </w:rPr>
              <w:instrText>tc "Table 3.3.</w:instrText>
            </w:r>
            <w:r w:rsidRPr="00AC7054">
              <w:rPr>
                <w:rFonts w:asciiTheme="minorHAnsi" w:hAnsiTheme="minorHAnsi"/>
              </w:rPr>
              <w:tab/>
              <w:instrText>Rate-of-spread (ROS) slope correction factors for the landscape model fuel-types." \f d</w:instrText>
            </w:r>
            <w:r w:rsidRPr="00AC7054">
              <w:rPr>
                <w:rFonts w:asciiTheme="minorHAnsi" w:hAnsiTheme="minorHAnsi"/>
              </w:rPr>
              <w:fldChar w:fldCharType="end"/>
            </w:r>
          </w:p>
        </w:tc>
        <w:tc>
          <w:tcPr>
            <w:tcW w:w="2592" w:type="dxa"/>
            <w:tcBorders>
              <w:bottom w:val="double" w:sz="6" w:space="0" w:color="auto"/>
            </w:tcBorders>
          </w:tcPr>
          <w:p w:rsidR="00AC7054" w:rsidRPr="00AC7054" w:rsidRDefault="00AC7054" w:rsidP="00AC7054">
            <w:pPr>
              <w:keepNext/>
              <w:keepLines/>
              <w:rPr>
                <w:rFonts w:asciiTheme="minorHAnsi" w:hAnsiTheme="minorHAnsi"/>
              </w:rPr>
            </w:pPr>
          </w:p>
        </w:tc>
      </w:tr>
      <w:tr w:rsidR="00AC7054" w:rsidRPr="00AC7054" w:rsidTr="00F35383">
        <w:trPr>
          <w:cantSplit/>
          <w:trHeight w:val="402"/>
          <w:jc w:val="center"/>
        </w:trPr>
        <w:tc>
          <w:tcPr>
            <w:tcW w:w="1872" w:type="dxa"/>
            <w:tcBorders>
              <w:left w:val="single" w:sz="6" w:space="0" w:color="auto"/>
              <w:bottom w:val="doub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SLOPE RANGE</w:t>
            </w:r>
          </w:p>
        </w:tc>
        <w:tc>
          <w:tcPr>
            <w:tcW w:w="2592" w:type="dxa"/>
            <w:tcBorders>
              <w:left w:val="double" w:sz="6" w:space="0" w:color="auto"/>
              <w:bottom w:val="double" w:sz="6" w:space="0" w:color="auto"/>
              <w:righ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ROS MULTIPLIER</w:t>
            </w:r>
          </w:p>
        </w:tc>
      </w:tr>
      <w:tr w:rsidR="00AC7054" w:rsidRPr="00AC7054" w:rsidTr="00F35383">
        <w:trPr>
          <w:cantSplit/>
          <w:trHeight w:val="402"/>
          <w:jc w:val="center"/>
        </w:trPr>
        <w:tc>
          <w:tcPr>
            <w:tcW w:w="1872" w:type="dxa"/>
            <w:tcBorders>
              <w:lef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0-9%</w:t>
            </w:r>
          </w:p>
        </w:tc>
        <w:tc>
          <w:tcPr>
            <w:tcW w:w="2592" w:type="dxa"/>
            <w:tcBorders>
              <w:left w:val="double" w:sz="6" w:space="0" w:color="auto"/>
              <w:righ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1.0</w:t>
            </w:r>
          </w:p>
        </w:tc>
      </w:tr>
      <w:tr w:rsidR="00AC7054" w:rsidRPr="00AC7054" w:rsidTr="00F35383">
        <w:trPr>
          <w:cantSplit/>
          <w:trHeight w:val="402"/>
          <w:jc w:val="center"/>
        </w:trPr>
        <w:tc>
          <w:tcPr>
            <w:tcW w:w="1872" w:type="dxa"/>
            <w:tcBorders>
              <w:top w:val="single" w:sz="6" w:space="0" w:color="auto"/>
              <w:lef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10-19%</w:t>
            </w:r>
          </w:p>
        </w:tc>
        <w:tc>
          <w:tcPr>
            <w:tcW w:w="2592" w:type="dxa"/>
            <w:tcBorders>
              <w:top w:val="single" w:sz="6" w:space="0" w:color="auto"/>
              <w:left w:val="double" w:sz="6" w:space="0" w:color="auto"/>
              <w:righ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1.4</w:t>
            </w:r>
          </w:p>
        </w:tc>
      </w:tr>
      <w:tr w:rsidR="00AC7054" w:rsidRPr="00AC7054" w:rsidTr="00F35383">
        <w:trPr>
          <w:cantSplit/>
          <w:trHeight w:val="402"/>
          <w:jc w:val="center"/>
        </w:trPr>
        <w:tc>
          <w:tcPr>
            <w:tcW w:w="1872" w:type="dxa"/>
            <w:tcBorders>
              <w:top w:val="single" w:sz="6" w:space="0" w:color="auto"/>
              <w:lef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20-39%</w:t>
            </w:r>
          </w:p>
        </w:tc>
        <w:tc>
          <w:tcPr>
            <w:tcW w:w="2592" w:type="dxa"/>
            <w:tcBorders>
              <w:top w:val="single" w:sz="6" w:space="0" w:color="auto"/>
              <w:left w:val="double" w:sz="6" w:space="0" w:color="auto"/>
              <w:righ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2.3</w:t>
            </w:r>
          </w:p>
        </w:tc>
      </w:tr>
      <w:tr w:rsidR="00AC7054" w:rsidRPr="00AC7054" w:rsidTr="00F35383">
        <w:trPr>
          <w:cantSplit/>
          <w:trHeight w:val="402"/>
          <w:jc w:val="center"/>
        </w:trPr>
        <w:tc>
          <w:tcPr>
            <w:tcW w:w="1872" w:type="dxa"/>
            <w:tcBorders>
              <w:top w:val="single" w:sz="6" w:space="0" w:color="auto"/>
              <w:left w:val="single" w:sz="6" w:space="0" w:color="auto"/>
              <w:bottom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 xml:space="preserve">&gt; 40% </w:t>
            </w:r>
          </w:p>
        </w:tc>
        <w:tc>
          <w:tcPr>
            <w:tcW w:w="2592" w:type="dxa"/>
            <w:tcBorders>
              <w:top w:val="single" w:sz="6" w:space="0" w:color="auto"/>
              <w:left w:val="double" w:sz="6" w:space="0" w:color="auto"/>
              <w:bottom w:val="single" w:sz="6" w:space="0" w:color="auto"/>
              <w:right w:val="single" w:sz="6" w:space="0" w:color="auto"/>
            </w:tcBorders>
          </w:tcPr>
          <w:p w:rsidR="00AC7054" w:rsidRPr="00AC7054" w:rsidRDefault="00AC7054" w:rsidP="00AC7054">
            <w:pPr>
              <w:keepNext/>
              <w:keepLines/>
              <w:jc w:val="center"/>
              <w:rPr>
                <w:rFonts w:asciiTheme="minorHAnsi" w:hAnsiTheme="minorHAnsi"/>
              </w:rPr>
            </w:pPr>
            <w:r w:rsidRPr="00AC7054">
              <w:rPr>
                <w:rFonts w:asciiTheme="minorHAnsi" w:hAnsiTheme="minorHAnsi"/>
              </w:rPr>
              <w:t>6.5</w:t>
            </w:r>
          </w:p>
        </w:tc>
      </w:tr>
    </w:tbl>
    <w:p w:rsidR="00AC7054" w:rsidRPr="00AC7054" w:rsidRDefault="00AC7054" w:rsidP="00AC7054">
      <w:pPr>
        <w:keepLines/>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left="4008" w:hanging="4008"/>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 xml:space="preserve"> soils (Section 2.4.4.1), none of these soils were found within the small 28,730 hectare area.  No adjustment for multiple fire regimes was made.</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The only other ROS adjustment necessary was for water.  The model mechanics were such that for pixels that are classified as water, fires will always stop at this edge unless they are assigned a positive ROS value.  Forest fires can jump water bodies quite easily in some cases, but, as analysis showed, even very small creeks can influence edge formation (Section 2.4.5.1).  For those pixels that are classified as water larger than a creek, an arbitrary ROS value of five was assigned.  Subsequent model testing revealed that fires could cross even the largest water bodies using this value, but they had to be persistent to do so.  If a fire could not "jump" water, it could always burn around it if the fire was large enough.</w:t>
      </w: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p>
    <w:p w:rsidR="00AC7054" w:rsidRPr="00AC7054" w:rsidRDefault="00AC7054" w:rsidP="00AC7054">
      <w:pPr>
        <w:tabs>
          <w:tab w:val="left" w:pos="-1440"/>
          <w:tab w:val="left" w:pos="-720"/>
          <w:tab w:val="left" w:pos="1"/>
          <w:tab w:val="left" w:pos="2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rPr>
          <w:rFonts w:asciiTheme="minorHAnsi" w:hAnsiTheme="minorHAnsi"/>
        </w:rPr>
      </w:pPr>
      <w:r w:rsidRPr="00AC7054">
        <w:rPr>
          <w:rFonts w:asciiTheme="minorHAnsi" w:hAnsiTheme="minorHAnsi"/>
        </w:rPr>
        <w:t>For smaller water bodies such as creeks, a different solution was developed.  Section 2.4.5.1 showed that most fires burn across creeks, although creeks can influence fire behaviour.  Based on this conclusion, the ROS of a forest pixel with a creek running through it was multiplied by an arbitrary factor of 0.6.  Subsequent model testing showed that this had little influence on the formation of edges in most cases.</w:t>
      </w:r>
    </w:p>
    <w:p w:rsidR="00E248E5" w:rsidRDefault="00E248E5"/>
    <w:sectPr w:rsidR="00E248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DAB" w:rsidRDefault="00301DAB" w:rsidP="00AC7054">
      <w:r>
        <w:separator/>
      </w:r>
    </w:p>
  </w:endnote>
  <w:endnote w:type="continuationSeparator" w:id="0">
    <w:p w:rsidR="00301DAB" w:rsidRDefault="00301DAB" w:rsidP="00AC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10">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DAB" w:rsidRDefault="00301DAB" w:rsidP="00AC7054">
      <w:r>
        <w:separator/>
      </w:r>
    </w:p>
  </w:footnote>
  <w:footnote w:type="continuationSeparator" w:id="0">
    <w:p w:rsidR="00301DAB" w:rsidRDefault="00301DAB" w:rsidP="00AC7054">
      <w:r>
        <w:continuationSeparator/>
      </w:r>
    </w:p>
  </w:footnote>
  <w:footnote w:id="1">
    <w:p w:rsidR="00AC7054" w:rsidRDefault="00AC7054" w:rsidP="00AC7054">
      <w:pPr>
        <w:pStyle w:val="FootnoteText"/>
        <w:tabs>
          <w:tab w:val="left" w:pos="-1440"/>
          <w:tab w:val="left" w:pos="-720"/>
          <w:tab w:val="left" w:pos="1"/>
          <w:tab w:val="left" w:pos="21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240"/>
        <w:jc w:val="both"/>
        <w:rPr>
          <w:rFonts w:ascii="Courier 10" w:hAnsi="Courier 10"/>
        </w:rPr>
      </w:pPr>
      <w:r w:rsidRPr="00BD00CF">
        <w:rPr>
          <w:rStyle w:val="FootnoteReference"/>
        </w:rPr>
        <w:footnoteRef/>
      </w:r>
      <w:r>
        <w:rPr>
          <w:rFonts w:ascii="Courier 10" w:hAnsi="Courier 10"/>
        </w:rPr>
        <w:t xml:space="preserve">As stated in Chapter 2 of this thesis, the observed age selection may not be due, in whole or part, to fire, </w:t>
      </w:r>
      <w:r>
        <w:rPr>
          <w:rFonts w:ascii="Courier 10" w:hAnsi="Courier 10"/>
        </w:rPr>
        <w:tab/>
        <w:t xml:space="preserve">        but nonetheless exists as a landscape feature that I have chosen to incorporate.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054"/>
    <w:rsid w:val="0000178D"/>
    <w:rsid w:val="00002C58"/>
    <w:rsid w:val="00004FCB"/>
    <w:rsid w:val="00006412"/>
    <w:rsid w:val="00007E44"/>
    <w:rsid w:val="00023A43"/>
    <w:rsid w:val="0002414B"/>
    <w:rsid w:val="00025B9D"/>
    <w:rsid w:val="00026395"/>
    <w:rsid w:val="000304F6"/>
    <w:rsid w:val="00030680"/>
    <w:rsid w:val="0003547E"/>
    <w:rsid w:val="0003651B"/>
    <w:rsid w:val="0004002E"/>
    <w:rsid w:val="00041634"/>
    <w:rsid w:val="00050BAA"/>
    <w:rsid w:val="00055D18"/>
    <w:rsid w:val="000609CD"/>
    <w:rsid w:val="0006140A"/>
    <w:rsid w:val="00063D92"/>
    <w:rsid w:val="00065BAC"/>
    <w:rsid w:val="00066A0D"/>
    <w:rsid w:val="00066AEB"/>
    <w:rsid w:val="00067583"/>
    <w:rsid w:val="00067799"/>
    <w:rsid w:val="00070E60"/>
    <w:rsid w:val="00080A68"/>
    <w:rsid w:val="0008318F"/>
    <w:rsid w:val="000867DF"/>
    <w:rsid w:val="00086E93"/>
    <w:rsid w:val="00090571"/>
    <w:rsid w:val="00091115"/>
    <w:rsid w:val="00092F65"/>
    <w:rsid w:val="0009686D"/>
    <w:rsid w:val="000A3925"/>
    <w:rsid w:val="000A42A0"/>
    <w:rsid w:val="000A47BC"/>
    <w:rsid w:val="000A486D"/>
    <w:rsid w:val="000B1F73"/>
    <w:rsid w:val="000B4035"/>
    <w:rsid w:val="000B46C0"/>
    <w:rsid w:val="000B4E3A"/>
    <w:rsid w:val="000B4F84"/>
    <w:rsid w:val="000B74EE"/>
    <w:rsid w:val="000B78F8"/>
    <w:rsid w:val="000C0157"/>
    <w:rsid w:val="000C1CDA"/>
    <w:rsid w:val="000C2E54"/>
    <w:rsid w:val="000C3288"/>
    <w:rsid w:val="000C4AA6"/>
    <w:rsid w:val="000C504A"/>
    <w:rsid w:val="000C690E"/>
    <w:rsid w:val="000D0935"/>
    <w:rsid w:val="000D0C82"/>
    <w:rsid w:val="000D444A"/>
    <w:rsid w:val="000D4A8F"/>
    <w:rsid w:val="000D750B"/>
    <w:rsid w:val="000E3540"/>
    <w:rsid w:val="000E53FD"/>
    <w:rsid w:val="000E7133"/>
    <w:rsid w:val="000F0490"/>
    <w:rsid w:val="000F3231"/>
    <w:rsid w:val="000F367F"/>
    <w:rsid w:val="000F4C6A"/>
    <w:rsid w:val="000F704C"/>
    <w:rsid w:val="000F7977"/>
    <w:rsid w:val="001011E8"/>
    <w:rsid w:val="00101ED0"/>
    <w:rsid w:val="00103CDA"/>
    <w:rsid w:val="001055A7"/>
    <w:rsid w:val="00106164"/>
    <w:rsid w:val="00106880"/>
    <w:rsid w:val="001074D1"/>
    <w:rsid w:val="00110A52"/>
    <w:rsid w:val="00111E55"/>
    <w:rsid w:val="001123BE"/>
    <w:rsid w:val="00114B92"/>
    <w:rsid w:val="00114B96"/>
    <w:rsid w:val="001151E9"/>
    <w:rsid w:val="001209DB"/>
    <w:rsid w:val="0012189B"/>
    <w:rsid w:val="00123616"/>
    <w:rsid w:val="001254B9"/>
    <w:rsid w:val="00127BAD"/>
    <w:rsid w:val="00131932"/>
    <w:rsid w:val="00131FA6"/>
    <w:rsid w:val="00132B14"/>
    <w:rsid w:val="001330C1"/>
    <w:rsid w:val="00133AA5"/>
    <w:rsid w:val="001361B9"/>
    <w:rsid w:val="00145279"/>
    <w:rsid w:val="001457EF"/>
    <w:rsid w:val="00150464"/>
    <w:rsid w:val="00153CFC"/>
    <w:rsid w:val="00154D36"/>
    <w:rsid w:val="00156701"/>
    <w:rsid w:val="001602CF"/>
    <w:rsid w:val="00161E8F"/>
    <w:rsid w:val="001625BD"/>
    <w:rsid w:val="00166820"/>
    <w:rsid w:val="001679D7"/>
    <w:rsid w:val="001717AD"/>
    <w:rsid w:val="00171B61"/>
    <w:rsid w:val="00174E93"/>
    <w:rsid w:val="00180676"/>
    <w:rsid w:val="00180D12"/>
    <w:rsid w:val="001835BA"/>
    <w:rsid w:val="00185C95"/>
    <w:rsid w:val="00187ABB"/>
    <w:rsid w:val="00195F14"/>
    <w:rsid w:val="00197132"/>
    <w:rsid w:val="001A0B8F"/>
    <w:rsid w:val="001A4774"/>
    <w:rsid w:val="001B12DB"/>
    <w:rsid w:val="001B24BD"/>
    <w:rsid w:val="001B6111"/>
    <w:rsid w:val="001C0AEA"/>
    <w:rsid w:val="001C1800"/>
    <w:rsid w:val="001C2A02"/>
    <w:rsid w:val="001C2E03"/>
    <w:rsid w:val="001C32D3"/>
    <w:rsid w:val="001C6947"/>
    <w:rsid w:val="001D0FF1"/>
    <w:rsid w:val="001D1423"/>
    <w:rsid w:val="001D14EE"/>
    <w:rsid w:val="001D1AE0"/>
    <w:rsid w:val="001D20DA"/>
    <w:rsid w:val="001D52ED"/>
    <w:rsid w:val="001D7744"/>
    <w:rsid w:val="001E2849"/>
    <w:rsid w:val="001E57BD"/>
    <w:rsid w:val="001F0EA7"/>
    <w:rsid w:val="001F10EF"/>
    <w:rsid w:val="001F1B5E"/>
    <w:rsid w:val="001F1E68"/>
    <w:rsid w:val="001F63B6"/>
    <w:rsid w:val="001F7AC8"/>
    <w:rsid w:val="00200A91"/>
    <w:rsid w:val="00203720"/>
    <w:rsid w:val="00205AF0"/>
    <w:rsid w:val="002078B9"/>
    <w:rsid w:val="0020799A"/>
    <w:rsid w:val="0021014F"/>
    <w:rsid w:val="00214381"/>
    <w:rsid w:val="00215D3B"/>
    <w:rsid w:val="00217734"/>
    <w:rsid w:val="002207E8"/>
    <w:rsid w:val="00221438"/>
    <w:rsid w:val="002215C9"/>
    <w:rsid w:val="002221E6"/>
    <w:rsid w:val="00222368"/>
    <w:rsid w:val="002223CD"/>
    <w:rsid w:val="00225900"/>
    <w:rsid w:val="00231A0C"/>
    <w:rsid w:val="002335DA"/>
    <w:rsid w:val="00235640"/>
    <w:rsid w:val="002360BA"/>
    <w:rsid w:val="0023689D"/>
    <w:rsid w:val="002436EC"/>
    <w:rsid w:val="00246CF4"/>
    <w:rsid w:val="00253865"/>
    <w:rsid w:val="00253C84"/>
    <w:rsid w:val="00256194"/>
    <w:rsid w:val="00262315"/>
    <w:rsid w:val="00265006"/>
    <w:rsid w:val="002663FA"/>
    <w:rsid w:val="002678E1"/>
    <w:rsid w:val="00273E02"/>
    <w:rsid w:val="00280ADE"/>
    <w:rsid w:val="0028412B"/>
    <w:rsid w:val="00287931"/>
    <w:rsid w:val="00290551"/>
    <w:rsid w:val="0029122B"/>
    <w:rsid w:val="002923C0"/>
    <w:rsid w:val="00293F18"/>
    <w:rsid w:val="002A2BC1"/>
    <w:rsid w:val="002A6811"/>
    <w:rsid w:val="002A6ACF"/>
    <w:rsid w:val="002B250D"/>
    <w:rsid w:val="002B3AB7"/>
    <w:rsid w:val="002B4106"/>
    <w:rsid w:val="002B445F"/>
    <w:rsid w:val="002C1B5B"/>
    <w:rsid w:val="002C4AF5"/>
    <w:rsid w:val="002D1280"/>
    <w:rsid w:val="002D1DC2"/>
    <w:rsid w:val="002D2E3E"/>
    <w:rsid w:val="002E3319"/>
    <w:rsid w:val="002E5CD1"/>
    <w:rsid w:val="002F6A0B"/>
    <w:rsid w:val="00301DAB"/>
    <w:rsid w:val="003027A5"/>
    <w:rsid w:val="00302A50"/>
    <w:rsid w:val="00302BAB"/>
    <w:rsid w:val="003071BD"/>
    <w:rsid w:val="00311D9A"/>
    <w:rsid w:val="003120C2"/>
    <w:rsid w:val="003129B0"/>
    <w:rsid w:val="003140E5"/>
    <w:rsid w:val="0031653C"/>
    <w:rsid w:val="00316F89"/>
    <w:rsid w:val="00317AEF"/>
    <w:rsid w:val="00320B9B"/>
    <w:rsid w:val="00320FE3"/>
    <w:rsid w:val="003223F9"/>
    <w:rsid w:val="00322674"/>
    <w:rsid w:val="0032744C"/>
    <w:rsid w:val="0033380F"/>
    <w:rsid w:val="00334500"/>
    <w:rsid w:val="00337C3A"/>
    <w:rsid w:val="00340122"/>
    <w:rsid w:val="003419E3"/>
    <w:rsid w:val="00341D51"/>
    <w:rsid w:val="003476F1"/>
    <w:rsid w:val="0035166D"/>
    <w:rsid w:val="00352ABF"/>
    <w:rsid w:val="00355F1B"/>
    <w:rsid w:val="0036076F"/>
    <w:rsid w:val="0036320E"/>
    <w:rsid w:val="003671A8"/>
    <w:rsid w:val="003719B1"/>
    <w:rsid w:val="003729C4"/>
    <w:rsid w:val="00373F2D"/>
    <w:rsid w:val="00374ADF"/>
    <w:rsid w:val="0038705C"/>
    <w:rsid w:val="00390043"/>
    <w:rsid w:val="00392BC7"/>
    <w:rsid w:val="003946CE"/>
    <w:rsid w:val="0039651E"/>
    <w:rsid w:val="003A3B64"/>
    <w:rsid w:val="003A4C9D"/>
    <w:rsid w:val="003A74D7"/>
    <w:rsid w:val="003B4575"/>
    <w:rsid w:val="003B6451"/>
    <w:rsid w:val="003C02AD"/>
    <w:rsid w:val="003C4B73"/>
    <w:rsid w:val="003C6F20"/>
    <w:rsid w:val="003D1D06"/>
    <w:rsid w:val="003D7723"/>
    <w:rsid w:val="003E0913"/>
    <w:rsid w:val="003E303F"/>
    <w:rsid w:val="003E429D"/>
    <w:rsid w:val="003F04F2"/>
    <w:rsid w:val="003F1C95"/>
    <w:rsid w:val="003F68E1"/>
    <w:rsid w:val="003F6A24"/>
    <w:rsid w:val="003F7F73"/>
    <w:rsid w:val="00401EC1"/>
    <w:rsid w:val="0040206B"/>
    <w:rsid w:val="00402859"/>
    <w:rsid w:val="0040343F"/>
    <w:rsid w:val="00412C1D"/>
    <w:rsid w:val="0042236A"/>
    <w:rsid w:val="004227E8"/>
    <w:rsid w:val="00423C29"/>
    <w:rsid w:val="00425B38"/>
    <w:rsid w:val="00431956"/>
    <w:rsid w:val="00431F1C"/>
    <w:rsid w:val="00433FB7"/>
    <w:rsid w:val="0043558F"/>
    <w:rsid w:val="00442157"/>
    <w:rsid w:val="0044311E"/>
    <w:rsid w:val="00446492"/>
    <w:rsid w:val="00446904"/>
    <w:rsid w:val="00446DAC"/>
    <w:rsid w:val="0044711F"/>
    <w:rsid w:val="004475AD"/>
    <w:rsid w:val="00450B58"/>
    <w:rsid w:val="00450E8A"/>
    <w:rsid w:val="00451C87"/>
    <w:rsid w:val="00451EDF"/>
    <w:rsid w:val="004638BE"/>
    <w:rsid w:val="00464EA0"/>
    <w:rsid w:val="0046520C"/>
    <w:rsid w:val="004656ED"/>
    <w:rsid w:val="00470AFC"/>
    <w:rsid w:val="00473189"/>
    <w:rsid w:val="00474273"/>
    <w:rsid w:val="0047563B"/>
    <w:rsid w:val="00481515"/>
    <w:rsid w:val="00481FE4"/>
    <w:rsid w:val="0048738C"/>
    <w:rsid w:val="00490602"/>
    <w:rsid w:val="004A04B1"/>
    <w:rsid w:val="004A2626"/>
    <w:rsid w:val="004A2C85"/>
    <w:rsid w:val="004A623B"/>
    <w:rsid w:val="004B1C4B"/>
    <w:rsid w:val="004B2019"/>
    <w:rsid w:val="004B3F1A"/>
    <w:rsid w:val="004B517C"/>
    <w:rsid w:val="004B6425"/>
    <w:rsid w:val="004C3200"/>
    <w:rsid w:val="004C3CB9"/>
    <w:rsid w:val="004C7965"/>
    <w:rsid w:val="004D35D0"/>
    <w:rsid w:val="004D376A"/>
    <w:rsid w:val="004F3754"/>
    <w:rsid w:val="004F563E"/>
    <w:rsid w:val="004F5A1E"/>
    <w:rsid w:val="004F7CC3"/>
    <w:rsid w:val="00500529"/>
    <w:rsid w:val="00501FC3"/>
    <w:rsid w:val="005025E6"/>
    <w:rsid w:val="0050298F"/>
    <w:rsid w:val="0050499A"/>
    <w:rsid w:val="005076D9"/>
    <w:rsid w:val="00510052"/>
    <w:rsid w:val="00510550"/>
    <w:rsid w:val="00510BA6"/>
    <w:rsid w:val="00512983"/>
    <w:rsid w:val="005145DA"/>
    <w:rsid w:val="00514D9E"/>
    <w:rsid w:val="005164DE"/>
    <w:rsid w:val="00517639"/>
    <w:rsid w:val="00517FDD"/>
    <w:rsid w:val="00521DB7"/>
    <w:rsid w:val="00524BA3"/>
    <w:rsid w:val="00525E9F"/>
    <w:rsid w:val="005269F4"/>
    <w:rsid w:val="00532142"/>
    <w:rsid w:val="00532909"/>
    <w:rsid w:val="00533274"/>
    <w:rsid w:val="00533C28"/>
    <w:rsid w:val="0053406C"/>
    <w:rsid w:val="00535EC6"/>
    <w:rsid w:val="00542EB4"/>
    <w:rsid w:val="00543DC0"/>
    <w:rsid w:val="0055010B"/>
    <w:rsid w:val="0055131F"/>
    <w:rsid w:val="00555108"/>
    <w:rsid w:val="00555584"/>
    <w:rsid w:val="005606FF"/>
    <w:rsid w:val="00561240"/>
    <w:rsid w:val="00563204"/>
    <w:rsid w:val="0056335F"/>
    <w:rsid w:val="00565E52"/>
    <w:rsid w:val="00567198"/>
    <w:rsid w:val="00571CA8"/>
    <w:rsid w:val="00574973"/>
    <w:rsid w:val="005749B8"/>
    <w:rsid w:val="00575BCA"/>
    <w:rsid w:val="00577300"/>
    <w:rsid w:val="00581431"/>
    <w:rsid w:val="005822F8"/>
    <w:rsid w:val="00587A2F"/>
    <w:rsid w:val="005910D8"/>
    <w:rsid w:val="005918E6"/>
    <w:rsid w:val="00594EA9"/>
    <w:rsid w:val="00595A92"/>
    <w:rsid w:val="00597F86"/>
    <w:rsid w:val="005A0668"/>
    <w:rsid w:val="005A0A74"/>
    <w:rsid w:val="005A7FB4"/>
    <w:rsid w:val="005B0553"/>
    <w:rsid w:val="005B0B24"/>
    <w:rsid w:val="005B4B91"/>
    <w:rsid w:val="005B5CEA"/>
    <w:rsid w:val="005B5F83"/>
    <w:rsid w:val="005B783A"/>
    <w:rsid w:val="005C05F6"/>
    <w:rsid w:val="005C350B"/>
    <w:rsid w:val="005C5075"/>
    <w:rsid w:val="005C6420"/>
    <w:rsid w:val="005C660F"/>
    <w:rsid w:val="005D092E"/>
    <w:rsid w:val="005D47F4"/>
    <w:rsid w:val="005D5962"/>
    <w:rsid w:val="005E0976"/>
    <w:rsid w:val="005E1689"/>
    <w:rsid w:val="005E29ED"/>
    <w:rsid w:val="005E4E62"/>
    <w:rsid w:val="005E70B1"/>
    <w:rsid w:val="005E7A99"/>
    <w:rsid w:val="005E7BD3"/>
    <w:rsid w:val="005F4AE5"/>
    <w:rsid w:val="005F519B"/>
    <w:rsid w:val="005F5C18"/>
    <w:rsid w:val="005F73E1"/>
    <w:rsid w:val="00600EB3"/>
    <w:rsid w:val="00601948"/>
    <w:rsid w:val="006034C6"/>
    <w:rsid w:val="00604A52"/>
    <w:rsid w:val="00610C22"/>
    <w:rsid w:val="00613B13"/>
    <w:rsid w:val="00613DC1"/>
    <w:rsid w:val="00615A72"/>
    <w:rsid w:val="0061726F"/>
    <w:rsid w:val="00620DEA"/>
    <w:rsid w:val="00620F2C"/>
    <w:rsid w:val="006243AC"/>
    <w:rsid w:val="0062454B"/>
    <w:rsid w:val="00624C53"/>
    <w:rsid w:val="00626DEB"/>
    <w:rsid w:val="00627095"/>
    <w:rsid w:val="0062726F"/>
    <w:rsid w:val="006277E8"/>
    <w:rsid w:val="006278AB"/>
    <w:rsid w:val="00627A55"/>
    <w:rsid w:val="00630218"/>
    <w:rsid w:val="00630D39"/>
    <w:rsid w:val="00631B5E"/>
    <w:rsid w:val="00632ED6"/>
    <w:rsid w:val="0063304A"/>
    <w:rsid w:val="0063617D"/>
    <w:rsid w:val="00636A44"/>
    <w:rsid w:val="00637A98"/>
    <w:rsid w:val="0064085C"/>
    <w:rsid w:val="00641595"/>
    <w:rsid w:val="00641A78"/>
    <w:rsid w:val="00642DDF"/>
    <w:rsid w:val="00643550"/>
    <w:rsid w:val="00647A46"/>
    <w:rsid w:val="00650787"/>
    <w:rsid w:val="0065078C"/>
    <w:rsid w:val="00653EDC"/>
    <w:rsid w:val="00656DE8"/>
    <w:rsid w:val="00664CC4"/>
    <w:rsid w:val="006651EF"/>
    <w:rsid w:val="0067126E"/>
    <w:rsid w:val="00671926"/>
    <w:rsid w:val="006730CB"/>
    <w:rsid w:val="0067322E"/>
    <w:rsid w:val="006745F8"/>
    <w:rsid w:val="00675F24"/>
    <w:rsid w:val="0068081E"/>
    <w:rsid w:val="006856D3"/>
    <w:rsid w:val="006862D9"/>
    <w:rsid w:val="006903CC"/>
    <w:rsid w:val="00691045"/>
    <w:rsid w:val="00691639"/>
    <w:rsid w:val="0069706A"/>
    <w:rsid w:val="00697F90"/>
    <w:rsid w:val="006A698A"/>
    <w:rsid w:val="006B1CAD"/>
    <w:rsid w:val="006B599D"/>
    <w:rsid w:val="006B7256"/>
    <w:rsid w:val="006C011C"/>
    <w:rsid w:val="006C234D"/>
    <w:rsid w:val="006C345D"/>
    <w:rsid w:val="006C452D"/>
    <w:rsid w:val="006C47C4"/>
    <w:rsid w:val="006C49A3"/>
    <w:rsid w:val="006C55E3"/>
    <w:rsid w:val="006C6E4D"/>
    <w:rsid w:val="006D1F5B"/>
    <w:rsid w:val="006E160C"/>
    <w:rsid w:val="006E1610"/>
    <w:rsid w:val="006E1C79"/>
    <w:rsid w:val="006E1E4D"/>
    <w:rsid w:val="006E32E2"/>
    <w:rsid w:val="006E3504"/>
    <w:rsid w:val="006E3714"/>
    <w:rsid w:val="006E518F"/>
    <w:rsid w:val="006F2E35"/>
    <w:rsid w:val="006F6B94"/>
    <w:rsid w:val="0070151D"/>
    <w:rsid w:val="00704C63"/>
    <w:rsid w:val="00711060"/>
    <w:rsid w:val="007122C3"/>
    <w:rsid w:val="00712788"/>
    <w:rsid w:val="007147D6"/>
    <w:rsid w:val="00716460"/>
    <w:rsid w:val="00716470"/>
    <w:rsid w:val="007179FE"/>
    <w:rsid w:val="00720711"/>
    <w:rsid w:val="00723FA7"/>
    <w:rsid w:val="00725686"/>
    <w:rsid w:val="0072671E"/>
    <w:rsid w:val="007272C7"/>
    <w:rsid w:val="00730D02"/>
    <w:rsid w:val="00736F6F"/>
    <w:rsid w:val="00740119"/>
    <w:rsid w:val="00740DC7"/>
    <w:rsid w:val="0074266B"/>
    <w:rsid w:val="00744EE7"/>
    <w:rsid w:val="00745334"/>
    <w:rsid w:val="0074543D"/>
    <w:rsid w:val="00746238"/>
    <w:rsid w:val="00756A5D"/>
    <w:rsid w:val="00756E44"/>
    <w:rsid w:val="00761ED2"/>
    <w:rsid w:val="0076390A"/>
    <w:rsid w:val="00763EBF"/>
    <w:rsid w:val="0076514F"/>
    <w:rsid w:val="00765A85"/>
    <w:rsid w:val="007713F6"/>
    <w:rsid w:val="00773648"/>
    <w:rsid w:val="007769BF"/>
    <w:rsid w:val="00776E64"/>
    <w:rsid w:val="0078088F"/>
    <w:rsid w:val="0078099C"/>
    <w:rsid w:val="0078120C"/>
    <w:rsid w:val="00781724"/>
    <w:rsid w:val="0078370D"/>
    <w:rsid w:val="00784BD9"/>
    <w:rsid w:val="00784F83"/>
    <w:rsid w:val="0079572A"/>
    <w:rsid w:val="00795E07"/>
    <w:rsid w:val="0079694F"/>
    <w:rsid w:val="00797175"/>
    <w:rsid w:val="007A1879"/>
    <w:rsid w:val="007A2AB1"/>
    <w:rsid w:val="007A55AC"/>
    <w:rsid w:val="007A747D"/>
    <w:rsid w:val="007A7FB9"/>
    <w:rsid w:val="007B2816"/>
    <w:rsid w:val="007B69AE"/>
    <w:rsid w:val="007B71AE"/>
    <w:rsid w:val="007B7DB3"/>
    <w:rsid w:val="007C11F6"/>
    <w:rsid w:val="007C43BA"/>
    <w:rsid w:val="007C7DD2"/>
    <w:rsid w:val="007D056C"/>
    <w:rsid w:val="007D3FC0"/>
    <w:rsid w:val="007E062B"/>
    <w:rsid w:val="007E079B"/>
    <w:rsid w:val="007E34CD"/>
    <w:rsid w:val="007E402C"/>
    <w:rsid w:val="007F26CE"/>
    <w:rsid w:val="007F34F9"/>
    <w:rsid w:val="007F3B00"/>
    <w:rsid w:val="007F7E7B"/>
    <w:rsid w:val="008024E5"/>
    <w:rsid w:val="00811E60"/>
    <w:rsid w:val="008128C1"/>
    <w:rsid w:val="00813CB3"/>
    <w:rsid w:val="008152EB"/>
    <w:rsid w:val="00825388"/>
    <w:rsid w:val="0083121A"/>
    <w:rsid w:val="00840AA0"/>
    <w:rsid w:val="00844D08"/>
    <w:rsid w:val="0084758E"/>
    <w:rsid w:val="00847798"/>
    <w:rsid w:val="00853F5F"/>
    <w:rsid w:val="00854DED"/>
    <w:rsid w:val="0085745B"/>
    <w:rsid w:val="008651F2"/>
    <w:rsid w:val="00865745"/>
    <w:rsid w:val="00866336"/>
    <w:rsid w:val="008666D6"/>
    <w:rsid w:val="008668FF"/>
    <w:rsid w:val="00866C89"/>
    <w:rsid w:val="00870C16"/>
    <w:rsid w:val="00871096"/>
    <w:rsid w:val="008716C4"/>
    <w:rsid w:val="008718D3"/>
    <w:rsid w:val="008752BD"/>
    <w:rsid w:val="00877327"/>
    <w:rsid w:val="00880421"/>
    <w:rsid w:val="008821A2"/>
    <w:rsid w:val="00882EF0"/>
    <w:rsid w:val="008864BE"/>
    <w:rsid w:val="00890141"/>
    <w:rsid w:val="0089054B"/>
    <w:rsid w:val="00890E40"/>
    <w:rsid w:val="008925D7"/>
    <w:rsid w:val="00896F82"/>
    <w:rsid w:val="008A7E49"/>
    <w:rsid w:val="008B13EB"/>
    <w:rsid w:val="008B24FE"/>
    <w:rsid w:val="008B3207"/>
    <w:rsid w:val="008B5670"/>
    <w:rsid w:val="008B5A77"/>
    <w:rsid w:val="008B683F"/>
    <w:rsid w:val="008C1236"/>
    <w:rsid w:val="008C5244"/>
    <w:rsid w:val="008C7A94"/>
    <w:rsid w:val="008D5A5C"/>
    <w:rsid w:val="008E016C"/>
    <w:rsid w:val="008E28E5"/>
    <w:rsid w:val="008E342D"/>
    <w:rsid w:val="008E58A8"/>
    <w:rsid w:val="008E6D69"/>
    <w:rsid w:val="008E6D80"/>
    <w:rsid w:val="008E7BBF"/>
    <w:rsid w:val="008F0744"/>
    <w:rsid w:val="008F3265"/>
    <w:rsid w:val="008F3275"/>
    <w:rsid w:val="008F3D9A"/>
    <w:rsid w:val="008F3F76"/>
    <w:rsid w:val="008F43C1"/>
    <w:rsid w:val="008F5FCA"/>
    <w:rsid w:val="009001DD"/>
    <w:rsid w:val="00900565"/>
    <w:rsid w:val="00901E8C"/>
    <w:rsid w:val="0090344C"/>
    <w:rsid w:val="009046CF"/>
    <w:rsid w:val="00905E53"/>
    <w:rsid w:val="009075F3"/>
    <w:rsid w:val="0090790C"/>
    <w:rsid w:val="0091128F"/>
    <w:rsid w:val="0091456A"/>
    <w:rsid w:val="00914762"/>
    <w:rsid w:val="00914E2F"/>
    <w:rsid w:val="00915566"/>
    <w:rsid w:val="00915D81"/>
    <w:rsid w:val="00915F33"/>
    <w:rsid w:val="00923389"/>
    <w:rsid w:val="00925AF0"/>
    <w:rsid w:val="00925F87"/>
    <w:rsid w:val="00927FFD"/>
    <w:rsid w:val="009311DE"/>
    <w:rsid w:val="009345D4"/>
    <w:rsid w:val="009350CB"/>
    <w:rsid w:val="0094187D"/>
    <w:rsid w:val="00946BF7"/>
    <w:rsid w:val="009473A0"/>
    <w:rsid w:val="00950D48"/>
    <w:rsid w:val="00951682"/>
    <w:rsid w:val="009553F6"/>
    <w:rsid w:val="009572DD"/>
    <w:rsid w:val="00961218"/>
    <w:rsid w:val="00963154"/>
    <w:rsid w:val="00972BE0"/>
    <w:rsid w:val="00972EC5"/>
    <w:rsid w:val="0097336B"/>
    <w:rsid w:val="00977767"/>
    <w:rsid w:val="00982985"/>
    <w:rsid w:val="009842DC"/>
    <w:rsid w:val="00985461"/>
    <w:rsid w:val="009877CE"/>
    <w:rsid w:val="009919CE"/>
    <w:rsid w:val="00992BDA"/>
    <w:rsid w:val="009937A4"/>
    <w:rsid w:val="009967C8"/>
    <w:rsid w:val="00996B51"/>
    <w:rsid w:val="0099782F"/>
    <w:rsid w:val="009A0E65"/>
    <w:rsid w:val="009A1EF8"/>
    <w:rsid w:val="009A59C1"/>
    <w:rsid w:val="009A616D"/>
    <w:rsid w:val="009B0C42"/>
    <w:rsid w:val="009B1D53"/>
    <w:rsid w:val="009B229F"/>
    <w:rsid w:val="009B24CC"/>
    <w:rsid w:val="009B5729"/>
    <w:rsid w:val="009B6E4B"/>
    <w:rsid w:val="009B7522"/>
    <w:rsid w:val="009B7C49"/>
    <w:rsid w:val="009C18A5"/>
    <w:rsid w:val="009C4953"/>
    <w:rsid w:val="009D2385"/>
    <w:rsid w:val="009D4B10"/>
    <w:rsid w:val="009D6458"/>
    <w:rsid w:val="009E1183"/>
    <w:rsid w:val="009E2907"/>
    <w:rsid w:val="009E30DA"/>
    <w:rsid w:val="009E49F1"/>
    <w:rsid w:val="009F07F5"/>
    <w:rsid w:val="009F0CD5"/>
    <w:rsid w:val="009F2108"/>
    <w:rsid w:val="009F21E0"/>
    <w:rsid w:val="009F6CF5"/>
    <w:rsid w:val="00A008A4"/>
    <w:rsid w:val="00A00DA1"/>
    <w:rsid w:val="00A02042"/>
    <w:rsid w:val="00A120F3"/>
    <w:rsid w:val="00A1695C"/>
    <w:rsid w:val="00A16DE1"/>
    <w:rsid w:val="00A175F6"/>
    <w:rsid w:val="00A17F4F"/>
    <w:rsid w:val="00A20ED5"/>
    <w:rsid w:val="00A2189B"/>
    <w:rsid w:val="00A22855"/>
    <w:rsid w:val="00A23603"/>
    <w:rsid w:val="00A237E6"/>
    <w:rsid w:val="00A24B03"/>
    <w:rsid w:val="00A31C1B"/>
    <w:rsid w:val="00A33AA1"/>
    <w:rsid w:val="00A3468F"/>
    <w:rsid w:val="00A34C06"/>
    <w:rsid w:val="00A34CB8"/>
    <w:rsid w:val="00A36FB6"/>
    <w:rsid w:val="00A37680"/>
    <w:rsid w:val="00A426A2"/>
    <w:rsid w:val="00A44C16"/>
    <w:rsid w:val="00A45F6C"/>
    <w:rsid w:val="00A54502"/>
    <w:rsid w:val="00A5513E"/>
    <w:rsid w:val="00A558F6"/>
    <w:rsid w:val="00A57D5E"/>
    <w:rsid w:val="00A60566"/>
    <w:rsid w:val="00A613DB"/>
    <w:rsid w:val="00A61ACA"/>
    <w:rsid w:val="00A658AB"/>
    <w:rsid w:val="00A6697D"/>
    <w:rsid w:val="00A66A3C"/>
    <w:rsid w:val="00A70350"/>
    <w:rsid w:val="00A717DD"/>
    <w:rsid w:val="00A73D55"/>
    <w:rsid w:val="00A74903"/>
    <w:rsid w:val="00A76423"/>
    <w:rsid w:val="00A7779D"/>
    <w:rsid w:val="00A833EC"/>
    <w:rsid w:val="00A83B54"/>
    <w:rsid w:val="00A84190"/>
    <w:rsid w:val="00A85D30"/>
    <w:rsid w:val="00A87C3D"/>
    <w:rsid w:val="00A91AEF"/>
    <w:rsid w:val="00A93DEA"/>
    <w:rsid w:val="00A971C3"/>
    <w:rsid w:val="00A97EE0"/>
    <w:rsid w:val="00AA05FD"/>
    <w:rsid w:val="00AA5AE1"/>
    <w:rsid w:val="00AA610D"/>
    <w:rsid w:val="00AA71DC"/>
    <w:rsid w:val="00AB01BE"/>
    <w:rsid w:val="00AB0A00"/>
    <w:rsid w:val="00AB1D8B"/>
    <w:rsid w:val="00AB300A"/>
    <w:rsid w:val="00AB33DC"/>
    <w:rsid w:val="00AB7E5A"/>
    <w:rsid w:val="00AC29DF"/>
    <w:rsid w:val="00AC3680"/>
    <w:rsid w:val="00AC58EB"/>
    <w:rsid w:val="00AC67D4"/>
    <w:rsid w:val="00AC7054"/>
    <w:rsid w:val="00AD01A1"/>
    <w:rsid w:val="00AD2CB9"/>
    <w:rsid w:val="00AD4F7B"/>
    <w:rsid w:val="00AE68D1"/>
    <w:rsid w:val="00AE6C6F"/>
    <w:rsid w:val="00AE74AB"/>
    <w:rsid w:val="00AF2B17"/>
    <w:rsid w:val="00AF3298"/>
    <w:rsid w:val="00AF3ED2"/>
    <w:rsid w:val="00B01150"/>
    <w:rsid w:val="00B05EAF"/>
    <w:rsid w:val="00B06E9F"/>
    <w:rsid w:val="00B06FC8"/>
    <w:rsid w:val="00B12156"/>
    <w:rsid w:val="00B13683"/>
    <w:rsid w:val="00B14EBD"/>
    <w:rsid w:val="00B16872"/>
    <w:rsid w:val="00B20C79"/>
    <w:rsid w:val="00B248BC"/>
    <w:rsid w:val="00B26548"/>
    <w:rsid w:val="00B26D91"/>
    <w:rsid w:val="00B30B48"/>
    <w:rsid w:val="00B31783"/>
    <w:rsid w:val="00B33FAF"/>
    <w:rsid w:val="00B3666D"/>
    <w:rsid w:val="00B40C34"/>
    <w:rsid w:val="00B4695E"/>
    <w:rsid w:val="00B54BE3"/>
    <w:rsid w:val="00B55A3F"/>
    <w:rsid w:val="00B570A4"/>
    <w:rsid w:val="00B574F5"/>
    <w:rsid w:val="00B627AD"/>
    <w:rsid w:val="00B636CE"/>
    <w:rsid w:val="00B648AC"/>
    <w:rsid w:val="00B676BD"/>
    <w:rsid w:val="00B708C5"/>
    <w:rsid w:val="00B72116"/>
    <w:rsid w:val="00B77C92"/>
    <w:rsid w:val="00B84C14"/>
    <w:rsid w:val="00B86531"/>
    <w:rsid w:val="00B901DC"/>
    <w:rsid w:val="00B92A98"/>
    <w:rsid w:val="00B97377"/>
    <w:rsid w:val="00BA1109"/>
    <w:rsid w:val="00BA3BF6"/>
    <w:rsid w:val="00BA4738"/>
    <w:rsid w:val="00BA47AD"/>
    <w:rsid w:val="00BA702D"/>
    <w:rsid w:val="00BB0A5C"/>
    <w:rsid w:val="00BB6CFE"/>
    <w:rsid w:val="00BC6192"/>
    <w:rsid w:val="00BC6299"/>
    <w:rsid w:val="00BC6338"/>
    <w:rsid w:val="00BD0356"/>
    <w:rsid w:val="00BD2D23"/>
    <w:rsid w:val="00BD76E6"/>
    <w:rsid w:val="00BD7E43"/>
    <w:rsid w:val="00BE093A"/>
    <w:rsid w:val="00BE2D6A"/>
    <w:rsid w:val="00BE441B"/>
    <w:rsid w:val="00BE4874"/>
    <w:rsid w:val="00BF1451"/>
    <w:rsid w:val="00C00BF6"/>
    <w:rsid w:val="00C01BC8"/>
    <w:rsid w:val="00C03479"/>
    <w:rsid w:val="00C0385D"/>
    <w:rsid w:val="00C04356"/>
    <w:rsid w:val="00C04425"/>
    <w:rsid w:val="00C10219"/>
    <w:rsid w:val="00C1113A"/>
    <w:rsid w:val="00C123CC"/>
    <w:rsid w:val="00C14297"/>
    <w:rsid w:val="00C150AA"/>
    <w:rsid w:val="00C1688A"/>
    <w:rsid w:val="00C224BE"/>
    <w:rsid w:val="00C253C8"/>
    <w:rsid w:val="00C25BAC"/>
    <w:rsid w:val="00C307C2"/>
    <w:rsid w:val="00C32231"/>
    <w:rsid w:val="00C32555"/>
    <w:rsid w:val="00C35BF4"/>
    <w:rsid w:val="00C37B03"/>
    <w:rsid w:val="00C37D7C"/>
    <w:rsid w:val="00C40012"/>
    <w:rsid w:val="00C414D9"/>
    <w:rsid w:val="00C443CD"/>
    <w:rsid w:val="00C46789"/>
    <w:rsid w:val="00C468C0"/>
    <w:rsid w:val="00C51942"/>
    <w:rsid w:val="00C51CD0"/>
    <w:rsid w:val="00C52420"/>
    <w:rsid w:val="00C55199"/>
    <w:rsid w:val="00C55B6D"/>
    <w:rsid w:val="00C624B5"/>
    <w:rsid w:val="00C647D6"/>
    <w:rsid w:val="00C67692"/>
    <w:rsid w:val="00C72C2E"/>
    <w:rsid w:val="00C72EB4"/>
    <w:rsid w:val="00C745B6"/>
    <w:rsid w:val="00C77BF6"/>
    <w:rsid w:val="00C81C53"/>
    <w:rsid w:val="00C844BD"/>
    <w:rsid w:val="00C8671B"/>
    <w:rsid w:val="00C92354"/>
    <w:rsid w:val="00C92B1C"/>
    <w:rsid w:val="00C95F9F"/>
    <w:rsid w:val="00CA06EF"/>
    <w:rsid w:val="00CA2757"/>
    <w:rsid w:val="00CA309A"/>
    <w:rsid w:val="00CA54DB"/>
    <w:rsid w:val="00CA70B1"/>
    <w:rsid w:val="00CB222B"/>
    <w:rsid w:val="00CB242E"/>
    <w:rsid w:val="00CB3FB6"/>
    <w:rsid w:val="00CB43D8"/>
    <w:rsid w:val="00CB49B3"/>
    <w:rsid w:val="00CC6079"/>
    <w:rsid w:val="00CC60C9"/>
    <w:rsid w:val="00CC7EDD"/>
    <w:rsid w:val="00CD29D2"/>
    <w:rsid w:val="00CD34DA"/>
    <w:rsid w:val="00CD37D5"/>
    <w:rsid w:val="00CD5CB4"/>
    <w:rsid w:val="00CD7034"/>
    <w:rsid w:val="00CE01BE"/>
    <w:rsid w:val="00CE2BB3"/>
    <w:rsid w:val="00CE4685"/>
    <w:rsid w:val="00CE6631"/>
    <w:rsid w:val="00CE6BAB"/>
    <w:rsid w:val="00CE7D92"/>
    <w:rsid w:val="00CF1A06"/>
    <w:rsid w:val="00CF2195"/>
    <w:rsid w:val="00CF2BCB"/>
    <w:rsid w:val="00CF3AAE"/>
    <w:rsid w:val="00CF42FB"/>
    <w:rsid w:val="00CF46F3"/>
    <w:rsid w:val="00CF6F0F"/>
    <w:rsid w:val="00CF7382"/>
    <w:rsid w:val="00D00ED2"/>
    <w:rsid w:val="00D04343"/>
    <w:rsid w:val="00D04CF4"/>
    <w:rsid w:val="00D07111"/>
    <w:rsid w:val="00D10562"/>
    <w:rsid w:val="00D11DEB"/>
    <w:rsid w:val="00D11F77"/>
    <w:rsid w:val="00D1440B"/>
    <w:rsid w:val="00D14824"/>
    <w:rsid w:val="00D1634D"/>
    <w:rsid w:val="00D177FB"/>
    <w:rsid w:val="00D21D9F"/>
    <w:rsid w:val="00D22FA4"/>
    <w:rsid w:val="00D275CE"/>
    <w:rsid w:val="00D32835"/>
    <w:rsid w:val="00D3322F"/>
    <w:rsid w:val="00D33FDC"/>
    <w:rsid w:val="00D368F9"/>
    <w:rsid w:val="00D4057C"/>
    <w:rsid w:val="00D40D16"/>
    <w:rsid w:val="00D4148B"/>
    <w:rsid w:val="00D45178"/>
    <w:rsid w:val="00D53908"/>
    <w:rsid w:val="00D549BB"/>
    <w:rsid w:val="00D555BA"/>
    <w:rsid w:val="00D6245C"/>
    <w:rsid w:val="00D633B2"/>
    <w:rsid w:val="00D64360"/>
    <w:rsid w:val="00D6532B"/>
    <w:rsid w:val="00D664A7"/>
    <w:rsid w:val="00D673CA"/>
    <w:rsid w:val="00D706EA"/>
    <w:rsid w:val="00D737F9"/>
    <w:rsid w:val="00D741B4"/>
    <w:rsid w:val="00D74B5A"/>
    <w:rsid w:val="00D74E94"/>
    <w:rsid w:val="00D75D24"/>
    <w:rsid w:val="00D77D3B"/>
    <w:rsid w:val="00D825B0"/>
    <w:rsid w:val="00D8263E"/>
    <w:rsid w:val="00D84F20"/>
    <w:rsid w:val="00D864E8"/>
    <w:rsid w:val="00D903AC"/>
    <w:rsid w:val="00D91346"/>
    <w:rsid w:val="00D9514B"/>
    <w:rsid w:val="00D971DE"/>
    <w:rsid w:val="00DA24BA"/>
    <w:rsid w:val="00DA254B"/>
    <w:rsid w:val="00DA3291"/>
    <w:rsid w:val="00DA3F6E"/>
    <w:rsid w:val="00DA64AE"/>
    <w:rsid w:val="00DB02E8"/>
    <w:rsid w:val="00DB15AC"/>
    <w:rsid w:val="00DB53FF"/>
    <w:rsid w:val="00DB5F39"/>
    <w:rsid w:val="00DB6818"/>
    <w:rsid w:val="00DB6ABD"/>
    <w:rsid w:val="00DB6C65"/>
    <w:rsid w:val="00DC0252"/>
    <w:rsid w:val="00DC037A"/>
    <w:rsid w:val="00DC2C3C"/>
    <w:rsid w:val="00DC6CEB"/>
    <w:rsid w:val="00DD1091"/>
    <w:rsid w:val="00DD1A6A"/>
    <w:rsid w:val="00DD2C9F"/>
    <w:rsid w:val="00DD4284"/>
    <w:rsid w:val="00DD59B9"/>
    <w:rsid w:val="00DE01B4"/>
    <w:rsid w:val="00DE2DD5"/>
    <w:rsid w:val="00DE3261"/>
    <w:rsid w:val="00DE60A9"/>
    <w:rsid w:val="00DF09C6"/>
    <w:rsid w:val="00DF2298"/>
    <w:rsid w:val="00DF62A8"/>
    <w:rsid w:val="00DF6914"/>
    <w:rsid w:val="00E01793"/>
    <w:rsid w:val="00E05C4F"/>
    <w:rsid w:val="00E0621C"/>
    <w:rsid w:val="00E0661D"/>
    <w:rsid w:val="00E069E7"/>
    <w:rsid w:val="00E07317"/>
    <w:rsid w:val="00E1183B"/>
    <w:rsid w:val="00E12DE7"/>
    <w:rsid w:val="00E1562C"/>
    <w:rsid w:val="00E16A92"/>
    <w:rsid w:val="00E17A0C"/>
    <w:rsid w:val="00E248E5"/>
    <w:rsid w:val="00E266C8"/>
    <w:rsid w:val="00E27620"/>
    <w:rsid w:val="00E32F58"/>
    <w:rsid w:val="00E33A97"/>
    <w:rsid w:val="00E36EA6"/>
    <w:rsid w:val="00E40699"/>
    <w:rsid w:val="00E420E6"/>
    <w:rsid w:val="00E42190"/>
    <w:rsid w:val="00E45609"/>
    <w:rsid w:val="00E46FCF"/>
    <w:rsid w:val="00E50726"/>
    <w:rsid w:val="00E52152"/>
    <w:rsid w:val="00E52843"/>
    <w:rsid w:val="00E6051C"/>
    <w:rsid w:val="00E6116A"/>
    <w:rsid w:val="00E64D2E"/>
    <w:rsid w:val="00E70713"/>
    <w:rsid w:val="00E731AF"/>
    <w:rsid w:val="00E73B05"/>
    <w:rsid w:val="00E73ECD"/>
    <w:rsid w:val="00E7472E"/>
    <w:rsid w:val="00E75655"/>
    <w:rsid w:val="00E81D38"/>
    <w:rsid w:val="00E8384E"/>
    <w:rsid w:val="00E84E68"/>
    <w:rsid w:val="00E878A7"/>
    <w:rsid w:val="00E90124"/>
    <w:rsid w:val="00E91ADE"/>
    <w:rsid w:val="00E92613"/>
    <w:rsid w:val="00E93EF3"/>
    <w:rsid w:val="00E9726B"/>
    <w:rsid w:val="00EA1394"/>
    <w:rsid w:val="00EA399B"/>
    <w:rsid w:val="00EA3BC5"/>
    <w:rsid w:val="00EA4290"/>
    <w:rsid w:val="00EB0808"/>
    <w:rsid w:val="00EB13B8"/>
    <w:rsid w:val="00EB1F3C"/>
    <w:rsid w:val="00EB2E96"/>
    <w:rsid w:val="00EB4033"/>
    <w:rsid w:val="00EB446F"/>
    <w:rsid w:val="00EB5521"/>
    <w:rsid w:val="00EB5AB1"/>
    <w:rsid w:val="00EB7EE1"/>
    <w:rsid w:val="00EC1A71"/>
    <w:rsid w:val="00EC1B25"/>
    <w:rsid w:val="00EC26B7"/>
    <w:rsid w:val="00EC7533"/>
    <w:rsid w:val="00ED019C"/>
    <w:rsid w:val="00ED0BFC"/>
    <w:rsid w:val="00ED1B08"/>
    <w:rsid w:val="00ED682F"/>
    <w:rsid w:val="00ED7695"/>
    <w:rsid w:val="00EE0236"/>
    <w:rsid w:val="00EE4B32"/>
    <w:rsid w:val="00EE6775"/>
    <w:rsid w:val="00EF1511"/>
    <w:rsid w:val="00EF413D"/>
    <w:rsid w:val="00EF4C9B"/>
    <w:rsid w:val="00EF56CE"/>
    <w:rsid w:val="00EF5CEA"/>
    <w:rsid w:val="00EF7D6C"/>
    <w:rsid w:val="00F00EA7"/>
    <w:rsid w:val="00F12015"/>
    <w:rsid w:val="00F1283F"/>
    <w:rsid w:val="00F12FAD"/>
    <w:rsid w:val="00F14D38"/>
    <w:rsid w:val="00F23FBF"/>
    <w:rsid w:val="00F255E4"/>
    <w:rsid w:val="00F26376"/>
    <w:rsid w:val="00F26653"/>
    <w:rsid w:val="00F26F0D"/>
    <w:rsid w:val="00F30BDE"/>
    <w:rsid w:val="00F32029"/>
    <w:rsid w:val="00F35004"/>
    <w:rsid w:val="00F35553"/>
    <w:rsid w:val="00F377D6"/>
    <w:rsid w:val="00F40426"/>
    <w:rsid w:val="00F43EA0"/>
    <w:rsid w:val="00F454EF"/>
    <w:rsid w:val="00F47855"/>
    <w:rsid w:val="00F53292"/>
    <w:rsid w:val="00F54988"/>
    <w:rsid w:val="00F560A3"/>
    <w:rsid w:val="00F57182"/>
    <w:rsid w:val="00F61146"/>
    <w:rsid w:val="00F64A4D"/>
    <w:rsid w:val="00F66104"/>
    <w:rsid w:val="00F673CF"/>
    <w:rsid w:val="00F67F99"/>
    <w:rsid w:val="00F704F5"/>
    <w:rsid w:val="00F73483"/>
    <w:rsid w:val="00F7373D"/>
    <w:rsid w:val="00F7413B"/>
    <w:rsid w:val="00F802FD"/>
    <w:rsid w:val="00F8372F"/>
    <w:rsid w:val="00F90370"/>
    <w:rsid w:val="00F9049A"/>
    <w:rsid w:val="00F90A14"/>
    <w:rsid w:val="00F91207"/>
    <w:rsid w:val="00F9259A"/>
    <w:rsid w:val="00F9649B"/>
    <w:rsid w:val="00F96608"/>
    <w:rsid w:val="00F96CEE"/>
    <w:rsid w:val="00F9705F"/>
    <w:rsid w:val="00FA2297"/>
    <w:rsid w:val="00FA2B4B"/>
    <w:rsid w:val="00FB3B80"/>
    <w:rsid w:val="00FB5F81"/>
    <w:rsid w:val="00FC2D97"/>
    <w:rsid w:val="00FC4279"/>
    <w:rsid w:val="00FC4B1A"/>
    <w:rsid w:val="00FC558E"/>
    <w:rsid w:val="00FC791A"/>
    <w:rsid w:val="00FD0C26"/>
    <w:rsid w:val="00FD0D16"/>
    <w:rsid w:val="00FD0FDE"/>
    <w:rsid w:val="00FD1539"/>
    <w:rsid w:val="00FD428A"/>
    <w:rsid w:val="00FD5337"/>
    <w:rsid w:val="00FE0EC6"/>
    <w:rsid w:val="00FE21D5"/>
    <w:rsid w:val="00FE5FEA"/>
    <w:rsid w:val="00FE7D97"/>
    <w:rsid w:val="00FE7E5C"/>
    <w:rsid w:val="00FF1DCC"/>
    <w:rsid w:val="00FF71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54"/>
    <w:pPr>
      <w:spacing w:after="0" w:line="240" w:lineRule="auto"/>
    </w:pPr>
    <w:rPr>
      <w:rFonts w:ascii="Tms Rmn" w:eastAsia="Times New Roman" w:hAnsi="Tms Rmn" w:cs="Times New Roman"/>
      <w:shadow/>
      <w:noProof/>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AC7054"/>
    <w:rPr>
      <w:position w:val="6"/>
      <w:sz w:val="16"/>
      <w:szCs w:val="16"/>
    </w:rPr>
  </w:style>
  <w:style w:type="paragraph" w:styleId="FootnoteText">
    <w:name w:val="footnote text"/>
    <w:basedOn w:val="Normal"/>
    <w:link w:val="FootnoteTextChar"/>
    <w:rsid w:val="00AC7054"/>
  </w:style>
  <w:style w:type="character" w:customStyle="1" w:styleId="FootnoteTextChar">
    <w:name w:val="Footnote Text Char"/>
    <w:basedOn w:val="DefaultParagraphFont"/>
    <w:link w:val="FootnoteText"/>
    <w:rsid w:val="00AC7054"/>
    <w:rPr>
      <w:rFonts w:ascii="Tms Rmn" w:eastAsia="Times New Roman" w:hAnsi="Tms Rmn" w:cs="Times New Roman"/>
      <w:shadow/>
      <w:noProof/>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54"/>
    <w:pPr>
      <w:spacing w:after="0" w:line="240" w:lineRule="auto"/>
    </w:pPr>
    <w:rPr>
      <w:rFonts w:ascii="Tms Rmn" w:eastAsia="Times New Roman" w:hAnsi="Tms Rmn" w:cs="Times New Roman"/>
      <w:shadow/>
      <w:noProof/>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AC7054"/>
    <w:rPr>
      <w:position w:val="6"/>
      <w:sz w:val="16"/>
      <w:szCs w:val="16"/>
    </w:rPr>
  </w:style>
  <w:style w:type="paragraph" w:styleId="FootnoteText">
    <w:name w:val="footnote text"/>
    <w:basedOn w:val="Normal"/>
    <w:link w:val="FootnoteTextChar"/>
    <w:rsid w:val="00AC7054"/>
  </w:style>
  <w:style w:type="character" w:customStyle="1" w:styleId="FootnoteTextChar">
    <w:name w:val="Footnote Text Char"/>
    <w:basedOn w:val="DefaultParagraphFont"/>
    <w:link w:val="FootnoteText"/>
    <w:rsid w:val="00AC7054"/>
    <w:rPr>
      <w:rFonts w:ascii="Tms Rmn" w:eastAsia="Times New Roman" w:hAnsi="Tms Rmn" w:cs="Times New Roman"/>
      <w:shadow/>
      <w:noProof/>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2017-01-25T22:14:00Z</dcterms:created>
  <dcterms:modified xsi:type="dcterms:W3CDTF">2017-01-25T22:14:00Z</dcterms:modified>
</cp:coreProperties>
</file>