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2C63" w14:textId="0DBC61B8" w:rsidR="00C00A4F" w:rsidRPr="00E248EF" w:rsidRDefault="00000000" w:rsidP="001D1027">
      <w:pPr>
        <w:pStyle w:val="Heading1"/>
        <w:ind w:left="304"/>
        <w:rPr>
          <w:rFonts w:ascii="Poppins" w:hAnsi="Poppins" w:cs="Poppins"/>
          <w:color w:val="1F487C"/>
          <w:spacing w:val="-2"/>
          <w:w w:val="105"/>
        </w:rPr>
      </w:pPr>
      <w:r>
        <w:rPr>
          <w:rFonts w:ascii="Poppins" w:hAnsi="Poppins" w:cs="Poppins"/>
          <w:color w:val="1F487C"/>
          <w:w w:val="105"/>
        </w:rPr>
        <w:t>Executive</w:t>
      </w:r>
      <w:r>
        <w:rPr>
          <w:rFonts w:ascii="Poppins" w:hAnsi="Poppins" w:cs="Poppins"/>
          <w:color w:val="1F487C"/>
          <w:spacing w:val="-8"/>
          <w:w w:val="105"/>
        </w:rPr>
        <w:t xml:space="preserve"> </w:t>
      </w:r>
      <w:r>
        <w:rPr>
          <w:rFonts w:ascii="Poppins" w:hAnsi="Poppins" w:cs="Poppins"/>
          <w:color w:val="1F487C"/>
          <w:spacing w:val="-2"/>
          <w:w w:val="105"/>
        </w:rPr>
        <w:t>Overview:</w:t>
      </w:r>
    </w:p>
    <w:p w14:paraId="2F907858" w14:textId="77777777" w:rsidR="00C00A4F" w:rsidRPr="00E248EF" w:rsidRDefault="00C00A4F" w:rsidP="001D1027">
      <w:pPr>
        <w:spacing w:before="0" w:after="0" w:line="1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p w14:paraId="546595BE" w14:textId="77777777" w:rsidR="00C00A4F" w:rsidRPr="00E248EF" w:rsidRDefault="00C00A4F" w:rsidP="001D1027">
      <w:pPr>
        <w:pStyle w:val="Heading1"/>
        <w:numPr>
          <w:ilvl w:val="0"/>
          <w:numId w:val="5"/>
        </w:numPr>
        <w:ind w:left="663" w:hanging="357"/>
        <w:rPr>
          <w:rFonts w:ascii="Poppins" w:hAnsi="Poppins" w:cs="Poppins"/>
          <w:b w:val="0"/>
          <w:bCs w:val="0"/>
          <w:spacing w:val="-2"/>
          <w:w w:val="105"/>
        </w:rPr>
      </w:pPr>
      <w:r>
        <w:rPr>
          <w:rFonts w:ascii="Poppins" w:hAnsi="Poppins" w:cs="Poppins"/>
          <w:b w:val="0"/>
          <w:bCs w:val="0"/>
          <w:spacing w:val="-2"/>
          <w:w w:val="105"/>
        </w:rPr>
        <w:t xml:space="preserve">Government halts IDBI Bank divestment, impacting M activity in the financial sector.</w:t>
      </w:r>
    </w:p>
    <w:p w14:paraId="1359264F" w14:textId="5E1F5626" w:rsidR="001D1027" w:rsidRDefault="00C00A4F" w:rsidP="001D1027">
      <w:pPr>
        <w:spacing w:before="0" w:after="0" w:line="1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p w14:paraId="546595BE" w14:textId="77777777" w:rsidR="00C00A4F" w:rsidRPr="00E248EF" w:rsidRDefault="00C00A4F" w:rsidP="001D1027">
      <w:pPr>
        <w:pStyle w:val="Heading1"/>
        <w:numPr>
          <w:ilvl w:val="0"/>
          <w:numId w:val="5"/>
        </w:numPr>
        <w:ind w:left="663" w:hanging="357"/>
        <w:rPr>
          <w:rFonts w:ascii="Poppins" w:hAnsi="Poppins" w:cs="Poppins"/>
          <w:b w:val="0"/>
          <w:bCs w:val="0"/>
          <w:spacing w:val="-2"/>
          <w:w w:val="105"/>
        </w:rPr>
      </w:pPr>
      <w:r>
        <w:rPr>
          <w:rFonts w:ascii="Poppins" w:hAnsi="Poppins" w:cs="Poppins"/>
          <w:b w:val="0"/>
          <w:bCs w:val="0"/>
          <w:spacing w:val="-2"/>
          <w:w w:val="105"/>
        </w:rPr>
        <w:t xml:space="preserve">Regulators enhance scrutiny on fund managers and market practices for transparency.</w:t>
      </w:r>
    </w:p>
    <w:p w14:paraId="1359264F" w14:textId="5E1F5626" w:rsidR="001D1027" w:rsidRDefault="00C00A4F" w:rsidP="001D1027">
      <w:pPr>
        <w:spacing w:before="0" w:after="0" w:line="1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p w14:paraId="546595BE" w14:textId="77777777" w:rsidR="00C00A4F" w:rsidRPr="00E248EF" w:rsidRDefault="00C00A4F" w:rsidP="001D1027">
      <w:pPr>
        <w:pStyle w:val="Heading1"/>
        <w:numPr>
          <w:ilvl w:val="0"/>
          <w:numId w:val="5"/>
        </w:numPr>
        <w:ind w:left="663" w:hanging="357"/>
        <w:rPr>
          <w:rFonts w:ascii="Poppins" w:hAnsi="Poppins" w:cs="Poppins"/>
          <w:b w:val="0"/>
          <w:bCs w:val="0"/>
          <w:spacing w:val="-2"/>
          <w:w w:val="105"/>
        </w:rPr>
      </w:pPr>
      <w:r>
        <w:rPr>
          <w:rFonts w:ascii="Poppins" w:hAnsi="Poppins" w:cs="Poppins"/>
          <w:b w:val="0"/>
          <w:bCs w:val="0"/>
          <w:spacing w:val="-2"/>
          <w:w w:val="105"/>
        </w:rPr>
        <w:t xml:space="preserve">Strategic investments in technology and infrastructure continue to drive growth.</w:t>
      </w:r>
    </w:p>
    <w:p w14:paraId="1359264F" w14:textId="5E1F5626" w:rsidR="001D1027" w:rsidRDefault="00C00A4F" w:rsidP="001D1027">
      <w:pPr>
        <w:spacing w:before="0" w:after="0" w:line="1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p w14:paraId="546595BE" w14:textId="77777777" w:rsidR="00C00A4F" w:rsidRPr="00E248EF" w:rsidRDefault="00C00A4F" w:rsidP="001D1027">
      <w:pPr>
        <w:pStyle w:val="Heading1"/>
        <w:numPr>
          <w:ilvl w:val="0"/>
          <w:numId w:val="5"/>
        </w:numPr>
        <w:ind w:left="663" w:hanging="357"/>
        <w:rPr>
          <w:rFonts w:ascii="Poppins" w:hAnsi="Poppins" w:cs="Poppins"/>
          <w:b w:val="0"/>
          <w:bCs w:val="0"/>
          <w:spacing w:val="-2"/>
          <w:w w:val="105"/>
        </w:rPr>
      </w:pPr>
      <w:r>
        <w:rPr>
          <w:rFonts w:ascii="Poppins" w:hAnsi="Poppins" w:cs="Poppins"/>
          <w:b w:val="0"/>
          <w:bCs w:val="0"/>
          <w:spacing w:val="-2"/>
          <w:w w:val="105"/>
        </w:rPr>
        <w:t xml:space="preserve">Banks face increased regulatory oversight regarding geopolitical risks and exposures.</w:t>
      </w:r>
    </w:p>
    <w:p w14:paraId="1359264F" w14:textId="5E1F5626" w:rsidR="001D1027" w:rsidRDefault="00C00A4F" w:rsidP="001D1027">
      <w:pPr>
        <w:spacing w:before="0" w:after="0" w:line="1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p w14:paraId="69AFD628" w14:textId="77777777" w:rsidR="001D1027" w:rsidRPr="00E248EF" w:rsidRDefault="001D1027" w:rsidP="001D1027">
      <w:pPr>
        <w:pStyle w:val="BodyText"/>
        <w:spacing w:before="9" w:after="0"/>
        <w:rPr>
          <w:sz w:val="4"/>
        </w:rPr>
      </w:pPr>
    </w:p>
    <w:p w14:paraId="3BF872CA" w14:textId="2CD44789" w:rsidR="00B06CAA" w:rsidRPr="00E248EF" w:rsidRDefault="00B06CAA" w:rsidP="001D1027">
      <w:pPr>
        <w:pStyle w:val="Heading1"/>
        <w:ind w:left="304"/>
        <w:rPr>
          <w:rFonts w:ascii="Poppins" w:hAnsi="Poppins" w:cs="Poppins"/>
          <w:color w:val="1F487C"/>
          <w:w w:val="105"/>
        </w:rPr>
      </w:pPr>
      <w:r>
        <w:rPr>
          <w:rFonts w:ascii="Poppins" w:hAnsi="Poppins" w:cs="Poppins"/>
          <w:color w:val="1F487C"/>
          <w:w w:val="105"/>
        </w:rPr>
        <w:t>Details:</w:t>
      </w:r>
    </w:p>
    <w:p w14:paraId="7DB5A143" w14:textId="7BA459A8" w:rsidR="00B06CAA" w:rsidRPr="001D1027" w:rsidRDefault="00C00A4F" w:rsidP="001D1027">
      <w:pPr>
        <w:spacing w:before="0" w:after="0"/>
        <w:ind w:left="306"/>
        <w:rPr>
          <w:rFonts w:ascii="Poppins" w:eastAsia="Arial" w:hAnsi="Poppins" w:cs="Poppins"/>
          <w:sz w:val="14"/>
          <w:szCs w:val="14"/>
        </w:rPr>
      </w:pPr>
      <w:r>
        <w:rPr>
          <w:rFonts w:ascii="Poppins" w:eastAsia="Arial" w:hAnsi="Poppins" w:cs="Poppins"/>
          <w:sz w:val="14"/>
          <w:szCs w:val="14"/>
        </w:rPr>
        <w:t xml:space="preserve"/>
      </w:r>
    </w:p>
    <w:p w14:paraId="7DB5A144" w14:textId="7BA459A9" w:rsidR="00B06CAA" w:rsidRPr="001D1027" w:rsidRDefault="00C00A4F" w:rsidP="001D1027">
      <w:pPr>
        <w:keepNext/>
        <w:keepLines/>
        <w:spacing w:line="228" w:lineRule="auto" w:before="91" w:after="0"/>
        <w:ind w:left="400" w:right="326" w:firstLine="0"/>
        <w:jc w:val="both"/>
        <w:rPr>
          <w:rFonts w:ascii="Poppins" w:eastAsia="Arial" w:hAnsi="Poppins" w:cs="Poppins"/>
          <w:sz w:val="16"/>
          <w:szCs w:val="16"/>
        </w:rPr>
      </w:pPr>
      <w:r>
        <w:rPr>
          <w:rStyle w:val="newstitleChar"/>
        </w:rPr>
        <w:t xml:space="preserve">Government halts IDBI Bank strategic sale </w:t>
      </w:r>
      <w:r>
        <w:rPr>
          <w:rStyle w:val="newbodyChar"/>
        </w:rPr>
        <w:t xml:space="preserve">The government has called off the strategic divestment of IDBI Bank due to insufficient bids. This decision impacts the privatization timeline for public sector entities.</w:t>
      </w:r>
    </w:p>
    <w:p w14:paraId="7DB5A145" w14:textId="7BA459AA" w:rsidR="00B06CAA" w:rsidRPr="001D1027" w:rsidRDefault="00C00A4F" w:rsidP="001D1027">
      <w:pPr>
        <w:pStyle w:val="BodyText"/>
        <w:spacing w:before="9" w:after="0"/>
        <w:rPr>
          <w:sz w:val="4"/>
        </w:rPr>
      </w:pPr>
    </w:p>
    <w:p w14:paraId="7DB5A146" w14:textId="7BA459AB" w:rsidR="00B06CAA" w:rsidRDefault="00C00A4F" w:rsidP="001D1027">
      <w:pPr>
        <w:spacing w:before="0" w:after="0"/>
        <w:ind w:left="306"/>
        <w:rPr>
          <w:rFonts w:ascii="Poppins" w:eastAsia="Arial" w:hAnsi="Poppins" w:cs="Poppins"/>
          <w:sz w:val="14"/>
          <w:szCs w:val="14"/>
        </w:rPr>
      </w:pPr>
      <w:r>
        <w:rPr>
          <w:rFonts w:ascii="Poppins" w:eastAsia="Arial" w:hAnsi="Poppins" w:cs="Poppins"/>
          <w:sz w:val="14"/>
          <w:szCs w:val="14"/>
        </w:rPr>
        <w:t xml:space="preserve"/>
      </w:r>
    </w:p>
    <w:p w14:paraId="7DB5A144" w14:textId="7BA459A9" w:rsidR="00B06CAA" w:rsidRPr="001D1027" w:rsidRDefault="00C00A4F" w:rsidP="001D1027">
      <w:pPr>
        <w:keepNext/>
        <w:keepLines/>
        <w:spacing w:line="228" w:lineRule="auto" w:before="91" w:after="0"/>
        <w:ind w:left="400" w:right="326" w:firstLine="0"/>
        <w:jc w:val="both"/>
        <w:rPr>
          <w:rFonts w:ascii="Poppins" w:eastAsia="Arial" w:hAnsi="Poppins" w:cs="Poppins"/>
          <w:sz w:val="16"/>
          <w:szCs w:val="16"/>
        </w:rPr>
      </w:pPr>
      <w:r>
        <w:rPr>
          <w:rStyle w:val="newstitleChar"/>
        </w:rPr>
        <w:t xml:space="preserve">Debt fund managers shift to liquid instruments </w:t>
      </w:r>
      <w:r>
        <w:rPr>
          <w:rStyle w:val="newbodyChar"/>
        </w:rPr>
        <w:t xml:space="preserve">Fund managers are rebalancing portfolios towards liquid instruments. This move aims to mitigate risks from illiquid corporate bonds, reflecting cautious market approach.</w:t>
      </w:r>
    </w:p>
    <w:p w14:paraId="7DB5A145" w14:textId="7BA459AA" w:rsidR="00B06CAA" w:rsidRPr="001D1027" w:rsidRDefault="00C00A4F" w:rsidP="001D1027">
      <w:pPr>
        <w:pStyle w:val="BodyText"/>
        <w:spacing w:before="9" w:after="0"/>
        <w:rPr>
          <w:sz w:val="4"/>
        </w:rPr>
      </w:pPr>
    </w:p>
    <w:p w14:paraId="7DB5A146" w14:textId="7BA459AB" w:rsidR="00B06CAA" w:rsidRDefault="00C00A4F" w:rsidP="001D1027">
      <w:pPr>
        <w:spacing w:before="0" w:after="0"/>
        <w:ind w:left="306"/>
        <w:rPr>
          <w:rFonts w:ascii="Poppins" w:eastAsia="Arial" w:hAnsi="Poppins" w:cs="Poppins"/>
          <w:sz w:val="14"/>
          <w:szCs w:val="14"/>
        </w:rPr>
      </w:pPr>
      <w:r>
        <w:rPr>
          <w:rFonts w:ascii="Poppins" w:eastAsia="Arial" w:hAnsi="Poppins" w:cs="Poppins"/>
          <w:sz w:val="14"/>
          <w:szCs w:val="14"/>
        </w:rPr>
        <w:t xml:space="preserve"/>
      </w:r>
    </w:p>
    <w:p w14:paraId="7DB5A144" w14:textId="7BA459A9" w:rsidR="00B06CAA" w:rsidRPr="001D1027" w:rsidRDefault="00C00A4F" w:rsidP="001D1027">
      <w:pPr>
        <w:keepNext/>
        <w:keepLines/>
        <w:spacing w:line="228" w:lineRule="auto" w:before="91" w:after="0"/>
        <w:ind w:left="400" w:right="326" w:firstLine="0"/>
        <w:jc w:val="both"/>
        <w:rPr>
          <w:rFonts w:ascii="Poppins" w:eastAsia="Arial" w:hAnsi="Poppins" w:cs="Poppins"/>
          <w:sz w:val="16"/>
          <w:szCs w:val="16"/>
        </w:rPr>
      </w:pPr>
      <w:r>
        <w:rPr>
          <w:rStyle w:val="newstitleChar"/>
        </w:rPr>
        <w:t xml:space="preserve">Sebi restricts MFs intraday borrowing for redemption </w:t>
      </w:r>
      <w:r>
        <w:rPr>
          <w:rStyle w:val="newbodyChar"/>
        </w:rPr>
        <w:t xml:space="preserve">Sebi clarified that mutual funds can only borrow intraday for redemption. This regulation aims to prevent misuse and enhance market transparency and stability.</w:t>
      </w:r>
    </w:p>
    <w:p w14:paraId="7DB5A145" w14:textId="7BA459AA" w:rsidR="00B06CAA" w:rsidRPr="001D1027" w:rsidRDefault="00C00A4F" w:rsidP="001D1027">
      <w:pPr>
        <w:pStyle w:val="BodyText"/>
        <w:spacing w:before="9" w:after="0"/>
        <w:rPr>
          <w:sz w:val="4"/>
        </w:rPr>
      </w:pPr>
    </w:p>
    <w:p w14:paraId="7DB5A146" w14:textId="7BA459AB" w:rsidR="00B06CAA" w:rsidRDefault="00C00A4F" w:rsidP="001D1027">
      <w:pPr>
        <w:spacing w:before="0" w:after="0"/>
        <w:ind w:left="306"/>
        <w:rPr>
          <w:rFonts w:ascii="Poppins" w:eastAsia="Arial" w:hAnsi="Poppins" w:cs="Poppins"/>
          <w:sz w:val="14"/>
          <w:szCs w:val="14"/>
        </w:rPr>
      </w:pPr>
      <w:r>
        <w:rPr>
          <w:rFonts w:ascii="Poppins" w:eastAsia="Arial" w:hAnsi="Poppins" w:cs="Poppins"/>
          <w:sz w:val="14"/>
          <w:szCs w:val="14"/>
        </w:rPr>
        <w:t xml:space="preserve"/>
      </w:r>
    </w:p>
    <w:p w14:paraId="7DB5A144" w14:textId="7BA459A9" w:rsidR="00B06CAA" w:rsidRPr="001D1027" w:rsidRDefault="00C00A4F" w:rsidP="001D1027">
      <w:pPr>
        <w:keepNext/>
        <w:keepLines/>
        <w:spacing w:line="228" w:lineRule="auto" w:before="91" w:after="0"/>
        <w:ind w:left="400" w:right="326" w:firstLine="0"/>
        <w:jc w:val="both"/>
        <w:rPr>
          <w:rFonts w:ascii="Poppins" w:eastAsia="Arial" w:hAnsi="Poppins" w:cs="Poppins"/>
          <w:sz w:val="16"/>
          <w:szCs w:val="16"/>
        </w:rPr>
      </w:pPr>
      <w:r>
        <w:rPr>
          <w:rStyle w:val="newstitleChar"/>
        </w:rPr>
        <w:t xml:space="preserve">RBI seeks banks' West Asia exposure details </w:t>
      </w:r>
      <w:r>
        <w:rPr>
          <w:rStyle w:val="newbodyChar"/>
        </w:rPr>
        <w:t xml:space="preserve">The Reserve Bank of India requested detailed information from banks regarding their exposure to the war-torn West Asia region. This assesses potential financial system risks.</w:t>
      </w:r>
    </w:p>
    <w:p w14:paraId="7DB5A145" w14:textId="7BA459AA" w:rsidR="00B06CAA" w:rsidRPr="001D1027" w:rsidRDefault="00C00A4F" w:rsidP="001D1027">
      <w:pPr>
        <w:pStyle w:val="BodyText"/>
        <w:spacing w:before="9" w:after="0"/>
        <w:rPr>
          <w:sz w:val="4"/>
        </w:rPr>
      </w:pPr>
    </w:p>
    <w:p w14:paraId="7DB5A146" w14:textId="7BA459AB" w:rsidR="00B06CAA" w:rsidRDefault="00C00A4F" w:rsidP="001D1027">
      <w:pPr>
        <w:spacing w:before="0" w:after="0"/>
        <w:ind w:left="306"/>
        <w:rPr>
          <w:rFonts w:ascii="Poppins" w:eastAsia="Arial" w:hAnsi="Poppins" w:cs="Poppins"/>
          <w:sz w:val="14"/>
          <w:szCs w:val="14"/>
        </w:rPr>
      </w:pPr>
      <w:r>
        <w:rPr>
          <w:rFonts w:ascii="Poppins" w:eastAsia="Arial" w:hAnsi="Poppins" w:cs="Poppins"/>
          <w:sz w:val="14"/>
          <w:szCs w:val="14"/>
        </w:rPr>
        <w:t xml:space="preserve"/>
      </w:r>
    </w:p>
    <w:p w14:paraId="7DB5A144" w14:textId="7BA459A9" w:rsidR="00B06CAA" w:rsidRPr="001D1027" w:rsidRDefault="00C00A4F" w:rsidP="001D1027">
      <w:pPr>
        <w:keepNext/>
        <w:keepLines/>
        <w:spacing w:line="228" w:lineRule="auto" w:before="91" w:after="0"/>
        <w:ind w:left="400" w:right="326" w:firstLine="0"/>
        <w:jc w:val="both"/>
        <w:rPr>
          <w:rFonts w:ascii="Poppins" w:eastAsia="Arial" w:hAnsi="Poppins" w:cs="Poppins"/>
          <w:sz w:val="16"/>
          <w:szCs w:val="16"/>
        </w:rPr>
      </w:pPr>
      <w:r>
        <w:rPr>
          <w:rStyle w:val="newstitleChar"/>
        </w:rPr>
        <w:t xml:space="preserve">HCL to invest ₹2,600 crore in Chennai campus </w:t>
      </w:r>
      <w:r>
        <w:rPr>
          <w:rStyle w:val="newbodyChar"/>
        </w:rPr>
        <w:t xml:space="preserve">HCL will invest ₹2,600 crore to expand its Chennai campus, creating 12,000 new jobs. This strategic investment boosts IT infrastructure and employment opportunities.</w:t>
      </w:r>
    </w:p>
    <w:p w14:paraId="7DB5A145" w14:textId="7BA459AA" w:rsidR="00B06CAA" w:rsidRPr="001D1027" w:rsidRDefault="00C00A4F" w:rsidP="001D1027">
      <w:pPr>
        <w:pStyle w:val="BodyText"/>
        <w:spacing w:before="9" w:after="0"/>
        <w:rPr>
          <w:sz w:val="4"/>
        </w:rPr>
      </w:pPr>
    </w:p>
    <w:p w14:paraId="7DB5A146" w14:textId="7BA459AB" w:rsidR="00B06CAA" w:rsidRDefault="00C00A4F" w:rsidP="001D1027">
      <w:pPr>
        <w:spacing w:before="0" w:after="0"/>
        <w:ind w:left="306"/>
        <w:rPr>
          <w:rFonts w:ascii="Poppins" w:eastAsia="Arial" w:hAnsi="Poppins" w:cs="Poppins"/>
          <w:sz w:val="14"/>
          <w:szCs w:val="14"/>
        </w:rPr>
      </w:pPr>
      <w:r>
        <w:rPr>
          <w:rFonts w:ascii="Poppins" w:eastAsia="Arial" w:hAnsi="Poppins" w:cs="Poppins"/>
          <w:sz w:val="14"/>
          <w:szCs w:val="14"/>
        </w:rPr>
        <w:t xml:space="preserve"/>
      </w:r>
    </w:p>
    <w:p w14:paraId="7DB5A144" w14:textId="7BA459A9" w:rsidR="00B06CAA" w:rsidRPr="001D1027" w:rsidRDefault="00C00A4F" w:rsidP="001D1027">
      <w:pPr>
        <w:keepNext/>
        <w:keepLines/>
        <w:spacing w:line="228" w:lineRule="auto" w:before="91" w:after="0"/>
        <w:ind w:left="400" w:right="326" w:firstLine="0"/>
        <w:jc w:val="both"/>
        <w:rPr>
          <w:rFonts w:ascii="Poppins" w:eastAsia="Arial" w:hAnsi="Poppins" w:cs="Poppins"/>
          <w:sz w:val="16"/>
          <w:szCs w:val="16"/>
        </w:rPr>
      </w:pPr>
      <w:r>
        <w:rPr>
          <w:rStyle w:val="newstitleChar"/>
        </w:rPr>
        <w:t xml:space="preserve">HFI signs $1.1 billion optical fibre deal </w:t>
      </w:r>
      <w:r>
        <w:rPr>
          <w:rStyle w:val="newbodyChar"/>
        </w:rPr>
        <w:t xml:space="preserve">HFI secured a $1.1 billion deal with a US firm for optical fibre cable supply. This long-term contract ensures stable supply for critical infrastructure projects.</w:t>
      </w:r>
    </w:p>
    <w:p w14:paraId="7DB5A145" w14:textId="7BA459AA" w:rsidR="00B06CAA" w:rsidRPr="001D1027" w:rsidRDefault="00C00A4F" w:rsidP="001D1027">
      <w:pPr>
        <w:pStyle w:val="BodyText"/>
        <w:spacing w:before="9" w:after="0"/>
        <w:rPr>
          <w:sz w:val="4"/>
        </w:rPr>
      </w:pPr>
    </w:p>
    <w:p w14:paraId="7DB5A146" w14:textId="7BA459AB" w:rsidR="00B06CAA" w:rsidRDefault="00C00A4F" w:rsidP="001D1027">
      <w:pPr>
        <w:spacing w:before="0" w:after="0"/>
        <w:ind w:left="306"/>
        <w:rPr>
          <w:rFonts w:ascii="Poppins" w:eastAsia="Arial" w:hAnsi="Poppins" w:cs="Poppins"/>
          <w:sz w:val="14"/>
          <w:szCs w:val="14"/>
        </w:rPr>
      </w:pPr>
      <w:r>
        <w:rPr>
          <w:rFonts w:ascii="Poppins" w:eastAsia="Arial" w:hAnsi="Poppins" w:cs="Poppins"/>
          <w:sz w:val="14"/>
          <w:szCs w:val="14"/>
        </w:rPr>
        <w:t xml:space="preserve"/>
      </w:r>
    </w:p>
    <w:p w14:paraId="7DB5A144" w14:textId="7BA459A9" w:rsidR="00B06CAA" w:rsidRPr="001D1027" w:rsidRDefault="00C00A4F" w:rsidP="001D1027">
      <w:pPr>
        <w:keepNext/>
        <w:keepLines/>
        <w:spacing w:line="228" w:lineRule="auto" w:before="91" w:after="0"/>
        <w:ind w:left="400" w:right="326" w:firstLine="0"/>
        <w:jc w:val="both"/>
        <w:rPr>
          <w:rFonts w:ascii="Poppins" w:eastAsia="Arial" w:hAnsi="Poppins" w:cs="Poppins"/>
          <w:sz w:val="16"/>
          <w:szCs w:val="16"/>
        </w:rPr>
      </w:pPr>
      <w:r>
        <w:rPr>
          <w:rStyle w:val="newstitleChar"/>
        </w:rPr>
        <w:t xml:space="preserve">ByteDance secures access to Nvidia AI chips </w:t>
      </w:r>
      <w:r>
        <w:rPr>
          <w:rStyle w:val="newbodyChar"/>
        </w:rPr>
        <w:t xml:space="preserve">ByteDance gained access to top-tier Nvidia AI chips, crucial for its advanced AI development. This strategic acquisition enhances its competitive edge in AI technology.</w:t>
      </w:r>
    </w:p>
    <w:p w14:paraId="7DB5A145" w14:textId="7BA459AA" w:rsidR="00B06CAA" w:rsidRPr="001D1027" w:rsidRDefault="00C00A4F" w:rsidP="001D1027">
      <w:pPr>
        <w:pStyle w:val="BodyText"/>
        <w:spacing w:before="9" w:after="0"/>
        <w:rPr>
          <w:sz w:val="4"/>
        </w:rPr>
      </w:pPr>
    </w:p>
    <w:p w14:paraId="7DB5A146" w14:textId="7BA459AB" w:rsidR="00B06CAA" w:rsidRDefault="00C00A4F" w:rsidP="001D1027">
      <w:pPr>
        <w:spacing w:before="0" w:after="0"/>
        <w:ind w:left="306"/>
        <w:rPr>
          <w:rFonts w:ascii="Poppins" w:eastAsia="Arial" w:hAnsi="Poppins" w:cs="Poppins"/>
          <w:sz w:val="14"/>
          <w:szCs w:val="14"/>
        </w:rPr>
      </w:pPr>
      <w:r>
        <w:rPr>
          <w:rFonts w:ascii="Poppins" w:eastAsia="Arial" w:hAnsi="Poppins" w:cs="Poppins"/>
          <w:sz w:val="14"/>
          <w:szCs w:val="14"/>
        </w:rPr>
        <w:t xml:space="preserve"/>
      </w:r>
    </w:p>
    <w:p w14:paraId="08C33EF2" w14:textId="77777777" w:rsidR="00B06CAA" w:rsidRPr="00E248EF" w:rsidRDefault="00B06CAA">
      <w:pPr>
        <w:pStyle w:val="BodyText"/>
        <w:spacing w:before="3"/>
        <w:rPr>
          <w:rFonts w:ascii="Poppins" w:hAnsi="Poppins" w:cs="Poppins"/>
          <w:sz w:val="20"/>
        </w:rPr>
      </w:pPr>
    </w:p>
    <w:p w14:paraId="2B3B25BC" w14:textId="77777777" w:rsidR="008F2A8B" w:rsidRPr="00E248EF" w:rsidRDefault="00000000">
      <w:pPr>
        <w:tabs>
          <w:tab w:val="left" w:pos="381"/>
          <w:tab w:val="left" w:pos="5939"/>
        </w:tabs>
        <w:rPr>
          <w:rFonts w:ascii="Poppins" w:hAnsi="Poppins" w:cs="Poppins"/>
          <w:b/>
          <w:sz w:val="16"/>
        </w:rPr>
      </w:pPr>
      <w:r>
        <w:rPr>
          <w:rFonts w:ascii="Poppins" w:hAnsi="Poppins" w:cs="Poppins"/>
          <w:noProof/>
        </w:rPr>
        <w:drawing>
          <wp:anchor distT="0" distB="0" distL="0" distR="0" simplePos="0" relativeHeight="487540224" behindDoc="1" locked="0" layoutInCell="1" allowOverlap="1" wp14:anchorId="13363845" wp14:editId="22197D25">
            <wp:simplePos x="0" y="0"/>
            <wp:positionH relativeFrom="page">
              <wp:posOffset>0</wp:posOffset>
            </wp:positionH>
            <wp:positionV relativeFrom="paragraph">
              <wp:posOffset>-69572</wp:posOffset>
            </wp:positionV>
            <wp:extent cx="3771899" cy="276353"/>
            <wp:effectExtent l="0" t="0" r="0" b="0"/>
            <wp:wrapNone/>
            <wp:docPr id="100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899" cy="276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oppins" w:hAnsi="Poppins" w:cs="Poppins"/>
          <w:b/>
          <w:color w:val="005464"/>
          <w:sz w:val="16"/>
          <w:shd w:val="clear" w:color="auto" w:fill="F1F1F1"/>
        </w:rPr>
        <w:tab/>
      </w:r>
      <w:r>
        <w:rPr>
          <w:rFonts w:ascii="Poppins" w:hAnsi="Poppins" w:cs="Poppins"/>
          <w:b/>
          <w:color w:val="005464"/>
          <w:spacing w:val="-2"/>
          <w:w w:val="110"/>
          <w:sz w:val="16"/>
          <w:shd w:val="clear" w:color="auto" w:fill="F1F1F1"/>
        </w:rPr>
        <w:t>Disclaimer</w:t>
      </w:r>
      <w:r>
        <w:rPr>
          <w:rFonts w:ascii="Poppins" w:hAnsi="Poppins" w:cs="Poppins"/>
          <w:b/>
          <w:color w:val="005464"/>
          <w:sz w:val="16"/>
          <w:shd w:val="clear" w:color="auto" w:fill="F1F1F1"/>
        </w:rPr>
        <w:tab/>
      </w:r>
    </w:p>
    <w:p w14:paraId="17235EC9" w14:textId="77777777" w:rsidR="008F2A8B" w:rsidRPr="00E248EF" w:rsidRDefault="00000000">
      <w:pPr>
        <w:pStyle w:val="BodyText"/>
        <w:spacing w:before="67" w:line="225" w:lineRule="auto"/>
        <w:ind w:left="394" w:right="337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>This research summary is based on publicly available news sources and</w:t>
      </w:r>
      <w:r>
        <w:rPr>
          <w:rFonts w:ascii="Poppins" w:hAnsi="Poppins" w:cs="Poppins"/>
          <w:spacing w:val="40"/>
        </w:rPr>
        <w:t xml:space="preserve"> </w:t>
      </w:r>
      <w:r>
        <w:rPr>
          <w:rFonts w:ascii="Poppins" w:hAnsi="Poppins" w:cs="Poppins"/>
        </w:rPr>
        <w:t xml:space="preserve">is intended solely for informational purposes. While reasonable care has been taken to ensure </w:t>
      </w:r>
      <w:r>
        <w:rPr>
          <w:rFonts w:ascii="Poppins" w:hAnsi="Poppins" w:cs="Poppins"/>
          <w:w w:val="110"/>
        </w:rPr>
        <w:t>a</w:t>
      </w:r>
      <w:r>
        <w:rPr>
          <w:rFonts w:ascii="Poppins" w:hAnsi="Poppins" w:cs="Poppins"/>
          <w:spacing w:val="-2"/>
          <w:w w:val="114"/>
        </w:rPr>
        <w:t>c</w:t>
      </w:r>
      <w:r>
        <w:rPr>
          <w:rFonts w:ascii="Poppins" w:hAnsi="Poppins" w:cs="Poppins"/>
          <w:w w:val="114"/>
        </w:rPr>
        <w:t>c</w:t>
      </w:r>
      <w:r>
        <w:rPr>
          <w:rFonts w:ascii="Poppins" w:hAnsi="Poppins" w:cs="Poppins"/>
          <w:spacing w:val="-1"/>
          <w:w w:val="94"/>
        </w:rPr>
        <w:t>ur</w:t>
      </w:r>
      <w:r>
        <w:rPr>
          <w:rFonts w:ascii="Poppins" w:hAnsi="Poppins" w:cs="Poppins"/>
          <w:w w:val="110"/>
        </w:rPr>
        <w:t>a</w:t>
      </w:r>
      <w:r>
        <w:rPr>
          <w:rFonts w:ascii="Poppins" w:hAnsi="Poppins" w:cs="Poppins"/>
          <w:spacing w:val="-2"/>
          <w:w w:val="114"/>
        </w:rPr>
        <w:t>c</w:t>
      </w:r>
      <w:r>
        <w:rPr>
          <w:rFonts w:ascii="Poppins" w:hAnsi="Poppins" w:cs="Poppins"/>
          <w:spacing w:val="-1"/>
          <w:w w:val="93"/>
        </w:rPr>
        <w:t>y</w:t>
      </w:r>
      <w:r>
        <w:rPr>
          <w:rFonts w:ascii="Poppins" w:hAnsi="Poppins" w:cs="Poppins"/>
          <w:spacing w:val="-1"/>
          <w:w w:val="53"/>
        </w:rPr>
        <w:t>,</w:t>
      </w:r>
      <w:r>
        <w:rPr>
          <w:rFonts w:ascii="Poppins" w:hAnsi="Poppins" w:cs="Poppins"/>
          <w:spacing w:val="-1"/>
          <w:w w:val="99"/>
        </w:rPr>
        <w:t xml:space="preserve"> </w:t>
      </w:r>
      <w:r>
        <w:rPr>
          <w:rFonts w:ascii="Poppins" w:hAnsi="Poppins" w:cs="Poppins"/>
        </w:rPr>
        <w:t xml:space="preserve">the information may be incomplete or subject to </w:t>
      </w:r>
      <w:r>
        <w:rPr>
          <w:rFonts w:ascii="Poppins" w:hAnsi="Poppins" w:cs="Poppins"/>
          <w:w w:val="116"/>
        </w:rPr>
        <w:t>c</w:t>
      </w:r>
      <w:r>
        <w:rPr>
          <w:rFonts w:ascii="Poppins" w:hAnsi="Poppins" w:cs="Poppins"/>
          <w:w w:val="101"/>
        </w:rPr>
        <w:t>h</w:t>
      </w:r>
      <w:r>
        <w:rPr>
          <w:rFonts w:ascii="Poppins" w:hAnsi="Poppins" w:cs="Poppins"/>
          <w:w w:val="112"/>
        </w:rPr>
        <w:t>a</w:t>
      </w:r>
      <w:r>
        <w:rPr>
          <w:rFonts w:ascii="Poppins" w:hAnsi="Poppins" w:cs="Poppins"/>
          <w:w w:val="101"/>
        </w:rPr>
        <w:t>n</w:t>
      </w:r>
      <w:r>
        <w:rPr>
          <w:rFonts w:ascii="Poppins" w:hAnsi="Poppins" w:cs="Poppins"/>
          <w:w w:val="108"/>
        </w:rPr>
        <w:t>g</w:t>
      </w:r>
      <w:r>
        <w:rPr>
          <w:rFonts w:ascii="Poppins" w:hAnsi="Poppins" w:cs="Poppins"/>
          <w:w w:val="104"/>
        </w:rPr>
        <w:t>e</w:t>
      </w:r>
      <w:r>
        <w:rPr>
          <w:rFonts w:ascii="Poppins" w:hAnsi="Poppins" w:cs="Poppins"/>
          <w:w w:val="58"/>
        </w:rPr>
        <w:t>.</w:t>
      </w:r>
      <w:r>
        <w:rPr>
          <w:rFonts w:ascii="Poppins" w:hAnsi="Poppins" w:cs="Poppins"/>
        </w:rPr>
        <w:t xml:space="preserve"> This document should not be considered as investment advice or a recommendation to buy or sell any securities.</w:t>
      </w:r>
    </w:p>
    <w:sectPr w:rsidR="008F2A8B" w:rsidRPr="00E248EF">
      <w:headerReference w:type="default" r:id="rId8"/>
      <w:footerReference w:type="default" r:id="rId9"/>
      <w:pgSz w:w="5940" w:h="8390"/>
      <w:pgMar w:top="820" w:right="0" w:bottom="1000" w:left="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6D924" w14:textId="77777777" w:rsidR="002431C5" w:rsidRDefault="002431C5">
      <w:r>
        <w:separator/>
      </w:r>
    </w:p>
  </w:endnote>
  <w:endnote w:type="continuationSeparator" w:id="0">
    <w:p w14:paraId="0E0ED823" w14:textId="77777777" w:rsidR="002431C5" w:rsidRDefault="00243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8EA4" w14:textId="77777777" w:rsidR="008F2A8B" w:rsidRDefault="00000000">
    <w:pPr>
      <w:pStyle w:val="BodyText"/>
      <w:spacing w:before="0" w:line="14" w:lineRule="auto"/>
      <w:rPr>
        <w:sz w:val="20"/>
      </w:rPr>
    </w:pPr>
    <w:r>
      <w:rPr>
        <w:noProof/>
      </w:rPr>
      <w:drawing>
        <wp:anchor distT="0" distB="0" distL="0" distR="0" simplePos="0" relativeHeight="251657728" behindDoc="1" locked="0" layoutInCell="1" allowOverlap="1" wp14:anchorId="6BDA658C" wp14:editId="3476912A">
          <wp:simplePos x="0" y="0"/>
          <wp:positionH relativeFrom="page">
            <wp:posOffset>210372</wp:posOffset>
          </wp:positionH>
          <wp:positionV relativeFrom="page">
            <wp:posOffset>4953000</wp:posOffset>
          </wp:positionV>
          <wp:extent cx="676534" cy="224028"/>
          <wp:effectExtent l="0" t="0" r="0" b="0"/>
          <wp:wrapNone/>
          <wp:docPr id="1141903768" name="image1.jpeg" descr="Ashika Grou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6534" cy="2240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3ABC1EA">
        <v:line id="_x0000_s1026" style="position:absolute;z-index:-15777280;mso-position-horizontal-relative:page;mso-position-vertical-relative:page" from="14.05pt,377.5pt" to="279.25pt,377.5pt" strokecolor="#7e7e7e" strokeweight=".5pt">
          <v:stroke dashstyle="3 1"/>
          <w10:wrap anchorx="page" anchory="page"/>
        </v:line>
      </w:pict>
    </w:r>
    <w:r>
      <w:pict w14:anchorId="2F3AF6B1"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1025" type="#_x0000_t202" style="position:absolute;margin-left:18.05pt;margin-top:367.95pt;width:254.15pt;height:46.8pt;z-index:-15776768;mso-position-horizontal-relative:page;mso-position-vertical-relative:page" filled="f" stroked="f">
          <v:textbox style="mso-next-textbox:#docshape5" inset="0,0,0,0">
            <w:txbxContent>
              <w:p w14:paraId="136AA2F6" w14:textId="77777777" w:rsidR="008F2A8B" w:rsidRDefault="00000000">
                <w:pPr>
                  <w:spacing w:before="25"/>
                  <w:ind w:left="20"/>
                  <w:rPr>
                    <w:rFonts w:ascii="Century Gothic"/>
                    <w:i/>
                    <w:sz w:val="10"/>
                  </w:rPr>
                </w:pPr>
                <w:r>
                  <w:rPr>
                    <w:rFonts w:ascii="Arial"/>
                    <w:b/>
                    <w:i/>
                    <w:color w:val="7E7E7E"/>
                    <w:w w:val="105"/>
                    <w:sz w:val="10"/>
                  </w:rPr>
                  <w:t>Source:</w:t>
                </w:r>
                <w:r>
                  <w:rPr>
                    <w:rFonts w:ascii="Arial"/>
                    <w:b/>
                    <w:i/>
                    <w:color w:val="7E7E7E"/>
                    <w:spacing w:val="-5"/>
                    <w:w w:val="105"/>
                    <w:sz w:val="10"/>
                  </w:rPr>
                  <w:t xml:space="preserve"> </w:t>
                </w:r>
                <w:r>
                  <w:rPr>
                    <w:rFonts w:ascii="Century Gothic"/>
                    <w:i/>
                    <w:color w:val="7E7E7E"/>
                    <w:w w:val="105"/>
                    <w:sz w:val="10"/>
                  </w:rPr>
                  <w:t>Business</w:t>
                </w:r>
                <w:r>
                  <w:rPr>
                    <w:rFonts w:ascii="Century Gothic"/>
                    <w:i/>
                    <w:color w:val="7E7E7E"/>
                    <w:spacing w:val="-4"/>
                    <w:w w:val="105"/>
                    <w:sz w:val="10"/>
                  </w:rPr>
                  <w:t xml:space="preserve"> </w:t>
                </w:r>
                <w:r>
                  <w:rPr>
                    <w:rFonts w:ascii="Century Gothic"/>
                    <w:i/>
                    <w:color w:val="7E7E7E"/>
                    <w:w w:val="105"/>
                    <w:sz w:val="10"/>
                  </w:rPr>
                  <w:t>Standard,</w:t>
                </w:r>
                <w:r>
                  <w:rPr>
                    <w:rFonts w:ascii="Century Gothic"/>
                    <w:i/>
                    <w:color w:val="7E7E7E"/>
                    <w:spacing w:val="-2"/>
                    <w:w w:val="105"/>
                    <w:sz w:val="10"/>
                  </w:rPr>
                  <w:t xml:space="preserve"> </w:t>
                </w:r>
                <w:r>
                  <w:rPr>
                    <w:rFonts w:ascii="Century Gothic"/>
                    <w:i/>
                    <w:color w:val="7E7E7E"/>
                    <w:w w:val="105"/>
                    <w:sz w:val="10"/>
                  </w:rPr>
                  <w:t>Financial</w:t>
                </w:r>
                <w:r>
                  <w:rPr>
                    <w:rFonts w:ascii="Century Gothic"/>
                    <w:i/>
                    <w:color w:val="7E7E7E"/>
                    <w:spacing w:val="2"/>
                    <w:w w:val="105"/>
                    <w:sz w:val="10"/>
                  </w:rPr>
                  <w:t xml:space="preserve"> </w:t>
                </w:r>
                <w:r>
                  <w:rPr>
                    <w:rFonts w:ascii="Century Gothic"/>
                    <w:i/>
                    <w:color w:val="7E7E7E"/>
                    <w:w w:val="105"/>
                    <w:sz w:val="10"/>
                  </w:rPr>
                  <w:t>Express</w:t>
                </w:r>
                <w:r>
                  <w:rPr>
                    <w:rFonts w:ascii="Century Gothic"/>
                    <w:i/>
                    <w:color w:val="7E7E7E"/>
                    <w:spacing w:val="-4"/>
                    <w:w w:val="105"/>
                    <w:sz w:val="10"/>
                  </w:rPr>
                  <w:t xml:space="preserve"> </w:t>
                </w:r>
                <w:r>
                  <w:rPr>
                    <w:rFonts w:ascii="Century Gothic"/>
                    <w:i/>
                    <w:color w:val="7E7E7E"/>
                    <w:w w:val="105"/>
                    <w:sz w:val="10"/>
                  </w:rPr>
                  <w:t>and</w:t>
                </w:r>
                <w:r>
                  <w:rPr>
                    <w:rFonts w:ascii="Century Gothic"/>
                    <w:i/>
                    <w:color w:val="7E7E7E"/>
                    <w:spacing w:val="-1"/>
                    <w:w w:val="105"/>
                    <w:sz w:val="10"/>
                  </w:rPr>
                  <w:t xml:space="preserve"> </w:t>
                </w:r>
                <w:r>
                  <w:rPr>
                    <w:rFonts w:ascii="Century Gothic"/>
                    <w:i/>
                    <w:color w:val="7E7E7E"/>
                    <w:w w:val="105"/>
                    <w:sz w:val="10"/>
                  </w:rPr>
                  <w:t>The</w:t>
                </w:r>
                <w:r>
                  <w:rPr>
                    <w:rFonts w:ascii="Century Gothic"/>
                    <w:i/>
                    <w:color w:val="7E7E7E"/>
                    <w:spacing w:val="-2"/>
                    <w:w w:val="105"/>
                    <w:sz w:val="10"/>
                  </w:rPr>
                  <w:t xml:space="preserve"> </w:t>
                </w:r>
                <w:r>
                  <w:rPr>
                    <w:rFonts w:ascii="Century Gothic"/>
                    <w:i/>
                    <w:color w:val="7E7E7E"/>
                    <w:w w:val="105"/>
                    <w:sz w:val="10"/>
                  </w:rPr>
                  <w:t>Economic</w:t>
                </w:r>
                <w:r>
                  <w:rPr>
                    <w:rFonts w:ascii="Century Gothic"/>
                    <w:i/>
                    <w:color w:val="7E7E7E"/>
                    <w:spacing w:val="-6"/>
                    <w:w w:val="105"/>
                    <w:sz w:val="10"/>
                  </w:rPr>
                  <w:t xml:space="preserve"> </w:t>
                </w:r>
                <w:r>
                  <w:rPr>
                    <w:rFonts w:ascii="Century Gothic"/>
                    <w:i/>
                    <w:color w:val="7E7E7E"/>
                    <w:spacing w:val="-4"/>
                    <w:w w:val="105"/>
                    <w:sz w:val="10"/>
                  </w:rPr>
                  <w:t>Times</w:t>
                </w:r>
              </w:p>
              <w:p w14:paraId="7CFA6A04" w14:textId="77777777" w:rsidR="008F2A8B" w:rsidRDefault="008F2A8B">
                <w:pPr>
                  <w:pStyle w:val="BodyText"/>
                  <w:spacing w:before="10"/>
                  <w:rPr>
                    <w:rFonts w:ascii="Century Gothic"/>
                    <w:i/>
                    <w:sz w:val="12"/>
                  </w:rPr>
                </w:pPr>
              </w:p>
              <w:p w14:paraId="2DC21391" w14:textId="77777777" w:rsidR="008F2A8B" w:rsidRDefault="00000000">
                <w:pPr>
                  <w:spacing w:line="160" w:lineRule="exact"/>
                  <w:ind w:left="3085"/>
                  <w:rPr>
                    <w:rFonts w:ascii="Arial"/>
                    <w:b/>
                    <w:sz w:val="14"/>
                  </w:rPr>
                </w:pPr>
                <w:r>
                  <w:rPr>
                    <w:rFonts w:ascii="Arial"/>
                    <w:b/>
                    <w:color w:val="464646"/>
                    <w:w w:val="105"/>
                    <w:sz w:val="14"/>
                  </w:rPr>
                  <w:t>Corporate</w:t>
                </w:r>
                <w:r>
                  <w:rPr>
                    <w:rFonts w:ascii="Arial"/>
                    <w:b/>
                    <w:color w:val="464646"/>
                    <w:spacing w:val="23"/>
                    <w:w w:val="105"/>
                    <w:sz w:val="14"/>
                  </w:rPr>
                  <w:t xml:space="preserve"> </w:t>
                </w:r>
                <w:r>
                  <w:rPr>
                    <w:rFonts w:ascii="Arial"/>
                    <w:b/>
                    <w:color w:val="464646"/>
                    <w:spacing w:val="-2"/>
                    <w:w w:val="105"/>
                    <w:sz w:val="14"/>
                  </w:rPr>
                  <w:t>Address:</w:t>
                </w:r>
              </w:p>
              <w:p w14:paraId="09755BC0" w14:textId="77777777" w:rsidR="008F2A8B" w:rsidRDefault="00000000">
                <w:pPr>
                  <w:ind w:left="3085"/>
                  <w:rPr>
                    <w:sz w:val="12"/>
                  </w:rPr>
                </w:pPr>
                <w:r>
                  <w:rPr>
                    <w:color w:val="7E7E7E"/>
                    <w:w w:val="90"/>
                    <w:sz w:val="12"/>
                  </w:rPr>
                  <w:t>Altimus,</w:t>
                </w:r>
                <w:r>
                  <w:rPr>
                    <w:color w:val="7E7E7E"/>
                    <w:spacing w:val="-1"/>
                    <w:w w:val="90"/>
                    <w:sz w:val="12"/>
                  </w:rPr>
                  <w:t xml:space="preserve"> </w:t>
                </w:r>
                <w:r>
                  <w:rPr>
                    <w:color w:val="7E7E7E"/>
                    <w:w w:val="90"/>
                    <w:sz w:val="12"/>
                  </w:rPr>
                  <w:t>Level 35, Dr. G.M.</w:t>
                </w:r>
                <w:r>
                  <w:rPr>
                    <w:color w:val="7E7E7E"/>
                    <w:spacing w:val="-4"/>
                    <w:w w:val="90"/>
                    <w:sz w:val="12"/>
                  </w:rPr>
                  <w:t xml:space="preserve"> </w:t>
                </w:r>
                <w:r>
                  <w:rPr>
                    <w:color w:val="7E7E7E"/>
                    <w:w w:val="90"/>
                    <w:sz w:val="12"/>
                  </w:rPr>
                  <w:t>Bhosale</w:t>
                </w:r>
                <w:r>
                  <w:rPr>
                    <w:color w:val="7E7E7E"/>
                    <w:sz w:val="12"/>
                  </w:rPr>
                  <w:t xml:space="preserve"> Marg,</w:t>
                </w:r>
                <w:r>
                  <w:rPr>
                    <w:color w:val="7E7E7E"/>
                    <w:spacing w:val="-4"/>
                    <w:sz w:val="12"/>
                  </w:rPr>
                  <w:t xml:space="preserve"> </w:t>
                </w:r>
                <w:r>
                  <w:rPr>
                    <w:color w:val="7E7E7E"/>
                    <w:sz w:val="12"/>
                  </w:rPr>
                  <w:t xml:space="preserve">Worli, </w:t>
                </w:r>
                <w:r>
                  <w:rPr>
                    <w:color w:val="7E7E7E"/>
                    <w:w w:val="107"/>
                    <w:sz w:val="12"/>
                  </w:rPr>
                  <w:t>Mum</w:t>
                </w:r>
                <w:r>
                  <w:rPr>
                    <w:color w:val="7E7E7E"/>
                    <w:w w:val="112"/>
                    <w:sz w:val="12"/>
                  </w:rPr>
                  <w:t>b</w:t>
                </w:r>
                <w:r>
                  <w:rPr>
                    <w:color w:val="7E7E7E"/>
                    <w:w w:val="116"/>
                    <w:sz w:val="12"/>
                  </w:rPr>
                  <w:t>a</w:t>
                </w:r>
                <w:r>
                  <w:rPr>
                    <w:color w:val="7E7E7E"/>
                    <w:w w:val="93"/>
                    <w:sz w:val="12"/>
                  </w:rPr>
                  <w:t>i</w:t>
                </w:r>
                <w:r>
                  <w:rPr>
                    <w:color w:val="7E7E7E"/>
                    <w:w w:val="58"/>
                    <w:sz w:val="12"/>
                  </w:rPr>
                  <w:t>,</w:t>
                </w:r>
                <w:r>
                  <w:rPr>
                    <w:color w:val="7E7E7E"/>
                    <w:sz w:val="12"/>
                  </w:rPr>
                  <w:t xml:space="preserve"> </w:t>
                </w:r>
                <w:r>
                  <w:rPr>
                    <w:color w:val="7E7E7E"/>
                    <w:w w:val="108"/>
                    <w:sz w:val="12"/>
                  </w:rPr>
                  <w:t>Maha</w:t>
                </w:r>
                <w:r>
                  <w:rPr>
                    <w:color w:val="7E7E7E"/>
                    <w:w w:val="89"/>
                    <w:sz w:val="12"/>
                  </w:rPr>
                  <w:t>r</w:t>
                </w:r>
                <w:r>
                  <w:rPr>
                    <w:color w:val="7E7E7E"/>
                    <w:w w:val="114"/>
                    <w:sz w:val="12"/>
                  </w:rPr>
                  <w:t>a</w:t>
                </w:r>
                <w:r>
                  <w:rPr>
                    <w:color w:val="7E7E7E"/>
                    <w:sz w:val="12"/>
                  </w:rPr>
                  <w:t>sh</w:t>
                </w:r>
                <w:r>
                  <w:rPr>
                    <w:color w:val="7E7E7E"/>
                    <w:spacing w:val="-1"/>
                    <w:sz w:val="12"/>
                  </w:rPr>
                  <w:t>t</w:t>
                </w:r>
                <w:r>
                  <w:rPr>
                    <w:color w:val="7E7E7E"/>
                    <w:w w:val="89"/>
                    <w:sz w:val="12"/>
                  </w:rPr>
                  <w:t>r</w:t>
                </w:r>
                <w:r>
                  <w:rPr>
                    <w:color w:val="7E7E7E"/>
                    <w:w w:val="114"/>
                    <w:sz w:val="12"/>
                  </w:rPr>
                  <w:t>a</w:t>
                </w:r>
                <w:r>
                  <w:rPr>
                    <w:color w:val="7E7E7E"/>
                    <w:w w:val="56"/>
                    <w:sz w:val="12"/>
                  </w:rPr>
                  <w:t>,</w:t>
                </w:r>
                <w:r>
                  <w:rPr>
                    <w:color w:val="7E7E7E"/>
                    <w:spacing w:val="-7"/>
                    <w:w w:val="99"/>
                    <w:sz w:val="12"/>
                  </w:rPr>
                  <w:t xml:space="preserve"> </w:t>
                </w:r>
                <w:r>
                  <w:rPr>
                    <w:color w:val="7E7E7E"/>
                    <w:sz w:val="12"/>
                  </w:rPr>
                  <w:t>India</w:t>
                </w:r>
                <w:r>
                  <w:rPr>
                    <w:color w:val="7E7E7E"/>
                    <w:spacing w:val="-3"/>
                    <w:sz w:val="12"/>
                  </w:rPr>
                  <w:t xml:space="preserve"> </w:t>
                </w:r>
                <w:r>
                  <w:rPr>
                    <w:color w:val="7E7E7E"/>
                    <w:sz w:val="12"/>
                  </w:rPr>
                  <w:t>400018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6D663" w14:textId="77777777" w:rsidR="002431C5" w:rsidRDefault="002431C5">
      <w:r>
        <w:separator/>
      </w:r>
    </w:p>
  </w:footnote>
  <w:footnote w:type="continuationSeparator" w:id="0">
    <w:p w14:paraId="34A6158D" w14:textId="77777777" w:rsidR="002431C5" w:rsidRDefault="002431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5504D" w14:textId="58BD34EC" w:rsidR="008F2A8B" w:rsidRDefault="00000000">
    <w:pPr>
      <w:pStyle w:val="BodyText"/>
      <w:spacing w:before="0" w:line="14" w:lineRule="auto"/>
      <w:rPr>
        <w:sz w:val="20"/>
      </w:rPr>
    </w:pPr>
    <w:r>
      <w:pict w14:anchorId="3C5389CE"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1027" type="#_x0000_t202" style="position:absolute;margin-left:12.2pt;margin-top:12.6pt;width:259.2pt;height:26.7pt;z-index:-15778304;mso-position-horizontal-relative:page;mso-position-vertical-relative:page" filled="f" stroked="f">
          <v:textbox style="mso-next-textbox:#docshape4" inset="0,0,0,0">
            <w:txbxContent>
              <w:p w14:paraId="110D2C68" w14:textId="77777777" w:rsidR="008F2A8B" w:rsidRPr="00E248EF" w:rsidRDefault="00000000">
                <w:pPr>
                  <w:spacing w:before="28" w:line="242" w:lineRule="exact"/>
                  <w:ind w:left="20"/>
                  <w:rPr>
                    <w:rFonts w:ascii="Poppins" w:hAnsi="Poppins" w:cs="Poppins"/>
                    <w:sz w:val="20"/>
                  </w:rPr>
                </w:pPr>
                <w:r w:rsidRPr="00E248EF">
                  <w:rPr>
                    <w:rFonts w:ascii="Poppins" w:hAnsi="Poppins" w:cs="Poppins"/>
                    <w:color w:val="FFFFFF"/>
                    <w:spacing w:val="-2"/>
                    <w:sz w:val="20"/>
                  </w:rPr>
                  <w:t>Equity</w:t>
                </w:r>
                <w:r w:rsidRPr="00E248EF">
                  <w:rPr>
                    <w:rFonts w:ascii="Poppins" w:hAnsi="Poppins" w:cs="Poppins"/>
                    <w:color w:val="FFFFFF"/>
                    <w:spacing w:val="-10"/>
                    <w:sz w:val="20"/>
                  </w:rPr>
                  <w:t xml:space="preserve"> </w:t>
                </w:r>
                <w:r w:rsidRPr="00E248EF">
                  <w:rPr>
                    <w:rFonts w:ascii="Poppins" w:hAnsi="Poppins" w:cs="Poppins"/>
                    <w:color w:val="FFFFFF"/>
                    <w:spacing w:val="-2"/>
                    <w:sz w:val="20"/>
                  </w:rPr>
                  <w:t>Capital</w:t>
                </w:r>
                <w:r w:rsidRPr="00E248EF">
                  <w:rPr>
                    <w:rFonts w:ascii="Poppins" w:hAnsi="Poppins" w:cs="Poppins"/>
                    <w:color w:val="FFFFFF"/>
                    <w:spacing w:val="-5"/>
                    <w:sz w:val="20"/>
                  </w:rPr>
                  <w:t xml:space="preserve"> </w:t>
                </w:r>
                <w:r w:rsidRPr="00E248EF">
                  <w:rPr>
                    <w:rFonts w:ascii="Poppins" w:hAnsi="Poppins" w:cs="Poppins"/>
                    <w:color w:val="FFFFFF"/>
                    <w:spacing w:val="-2"/>
                    <w:sz w:val="20"/>
                  </w:rPr>
                  <w:t>Market</w:t>
                </w:r>
                <w:r w:rsidRPr="00E248EF">
                  <w:rPr>
                    <w:rFonts w:ascii="Poppins" w:hAnsi="Poppins" w:cs="Poppins"/>
                    <w:color w:val="FFFFFF"/>
                    <w:spacing w:val="-7"/>
                    <w:sz w:val="20"/>
                  </w:rPr>
                  <w:t xml:space="preserve"> </w:t>
                </w:r>
                <w:r w:rsidRPr="00E248EF">
                  <w:rPr>
                    <w:rFonts w:ascii="Poppins" w:hAnsi="Poppins" w:cs="Poppins"/>
                    <w:color w:val="FFFFFF"/>
                    <w:spacing w:val="-2"/>
                    <w:sz w:val="20"/>
                  </w:rPr>
                  <w:t>Updates</w:t>
                </w:r>
                <w:r w:rsidRPr="00E248EF">
                  <w:rPr>
                    <w:rFonts w:ascii="Poppins" w:hAnsi="Poppins" w:cs="Poppins"/>
                    <w:color w:val="FFFFFF"/>
                    <w:spacing w:val="-5"/>
                    <w:sz w:val="20"/>
                  </w:rPr>
                  <w:t xml:space="preserve"> </w:t>
                </w:r>
                <w:r w:rsidRPr="00E248EF">
                  <w:rPr>
                    <w:rFonts w:ascii="Poppins" w:hAnsi="Poppins" w:cs="Poppins"/>
                    <w:color w:val="FFFFFF"/>
                    <w:spacing w:val="-2"/>
                    <w:sz w:val="20"/>
                  </w:rPr>
                  <w:t>(</w:t>
                </w:r>
                <w:r w:rsidRPr="00E248EF">
                  <w:rPr>
                    <w:rFonts w:ascii="Poppins" w:hAnsi="Poppins" w:cs="Poppins"/>
                    <w:color w:val="FFFFFF"/>
                    <w:spacing w:val="-2"/>
                    <w:sz w:val="20"/>
                  </w:rPr>
                  <w:fldChar w:fldCharType="begin"/>
                </w:r>
                <w:r w:rsidRPr="00E248EF">
                  <w:rPr>
                    <w:rFonts w:ascii="Poppins" w:hAnsi="Poppins" w:cs="Poppins"/>
                    <w:color w:val="FFFFFF"/>
                    <w:spacing w:val="-2"/>
                    <w:sz w:val="20"/>
                  </w:rPr>
                  <w:instrText xml:space="preserve"> PAGE </w:instrText>
                </w:r>
                <w:r w:rsidRPr="00E248EF">
                  <w:rPr>
                    <w:rFonts w:ascii="Poppins" w:hAnsi="Poppins" w:cs="Poppins"/>
                    <w:color w:val="FFFFFF"/>
                    <w:spacing w:val="-2"/>
                    <w:sz w:val="20"/>
                  </w:rPr>
                  <w:fldChar w:fldCharType="separate"/>
                </w:r>
                <w:r w:rsidRPr="00E248EF">
                  <w:rPr>
                    <w:rFonts w:ascii="Poppins" w:hAnsi="Poppins" w:cs="Poppins"/>
                    <w:color w:val="FFFFFF"/>
                    <w:spacing w:val="-2"/>
                    <w:sz w:val="20"/>
                  </w:rPr>
                  <w:t>2</w:t>
                </w:r>
                <w:r w:rsidRPr="00E248EF">
                  <w:rPr>
                    <w:rFonts w:ascii="Poppins" w:hAnsi="Poppins" w:cs="Poppins"/>
                    <w:color w:val="FFFFFF"/>
                    <w:spacing w:val="-2"/>
                    <w:sz w:val="20"/>
                  </w:rPr>
                  <w:fldChar w:fldCharType="end"/>
                </w:r>
                <w:r w:rsidRPr="00E248EF">
                  <w:rPr>
                    <w:rFonts w:ascii="Poppins" w:hAnsi="Poppins" w:cs="Poppins"/>
                    <w:color w:val="FFFFFF"/>
                    <w:spacing w:val="-14"/>
                    <w:sz w:val="20"/>
                  </w:rPr>
                  <w:t xml:space="preserve"> </w:t>
                </w:r>
                <w:r w:rsidRPr="00E248EF">
                  <w:rPr>
                    <w:rFonts w:ascii="Poppins" w:hAnsi="Poppins" w:cs="Poppins"/>
                    <w:color w:val="FFFFFF"/>
                    <w:spacing w:val="-2"/>
                    <w:sz w:val="20"/>
                  </w:rPr>
                  <w:t>/</w:t>
                </w:r>
                <w:r w:rsidRPr="00E248EF">
                  <w:rPr>
                    <w:rFonts w:ascii="Poppins" w:hAnsi="Poppins" w:cs="Poppins"/>
                    <w:color w:val="FFFFFF"/>
                    <w:spacing w:val="-11"/>
                    <w:sz w:val="20"/>
                  </w:rPr>
                  <w:t xml:space="preserve"> </w:t>
                </w:r>
                <w:r w:rsidRPr="00E248EF">
                  <w:rPr>
                    <w:rFonts w:ascii="Poppins" w:hAnsi="Poppins" w:cs="Poppins"/>
                    <w:color w:val="FFFFFF"/>
                    <w:spacing w:val="-5"/>
                    <w:sz w:val="20"/>
                  </w:rPr>
                  <w:fldChar w:fldCharType="begin"/>
                </w:r>
                <w:r w:rsidRPr="00E248EF">
                  <w:rPr>
                    <w:rFonts w:ascii="Poppins" w:hAnsi="Poppins" w:cs="Poppins"/>
                    <w:color w:val="FFFFFF"/>
                    <w:spacing w:val="-5"/>
                    <w:sz w:val="20"/>
                  </w:rPr>
                  <w:instrText xml:space="preserve"> NUMPAGES </w:instrText>
                </w:r>
                <w:r w:rsidRPr="00E248EF">
                  <w:rPr>
                    <w:rFonts w:ascii="Poppins" w:hAnsi="Poppins" w:cs="Poppins"/>
                    <w:color w:val="FFFFFF"/>
                    <w:spacing w:val="-5"/>
                    <w:sz w:val="20"/>
                  </w:rPr>
                  <w:fldChar w:fldCharType="separate"/>
                </w:r>
                <w:r w:rsidRPr="00E248EF">
                  <w:rPr>
                    <w:rFonts w:ascii="Poppins" w:hAnsi="Poppins" w:cs="Poppins"/>
                    <w:color w:val="FFFFFF"/>
                    <w:spacing w:val="-5"/>
                    <w:sz w:val="20"/>
                  </w:rPr>
                  <w:t>2</w:t>
                </w:r>
                <w:r w:rsidRPr="00E248EF">
                  <w:rPr>
                    <w:rFonts w:ascii="Poppins" w:hAnsi="Poppins" w:cs="Poppins"/>
                    <w:color w:val="FFFFFF"/>
                    <w:spacing w:val="-5"/>
                    <w:sz w:val="20"/>
                  </w:rPr>
                  <w:fldChar w:fldCharType="end"/>
                </w:r>
                <w:r w:rsidRPr="00E248EF">
                  <w:rPr>
                    <w:rFonts w:ascii="Poppins" w:hAnsi="Poppins" w:cs="Poppins"/>
                    <w:color w:val="FFFFFF"/>
                    <w:spacing w:val="-5"/>
                    <w:sz w:val="20"/>
                  </w:rPr>
                  <w:t>)</w:t>
                </w:r>
              </w:p>
              <w:p w14:paraId="416D5E6F" w14:textId="70EB248D" w:rsidR="008F2A8B" w:rsidRPr="00E248EF" w:rsidRDefault="0014639B" w:rsidP="0014639B">
                <w:pPr>
                  <w:spacing w:line="218" w:lineRule="exact"/>
                  <w:ind w:left="20"/>
                  <w:rPr>
                    <w:rFonts w:ascii="Poppins" w:hAnsi="Poppins" w:cs="Poppins"/>
                    <w:sz w:val="18"/>
                  </w:rPr>
                </w:pPr>
                <w:proofErr w:type="gramStart"/>
                <w:r w:rsidRPr="00E248EF">
                  <w:rPr>
                    <w:rFonts w:ascii="Poppins" w:hAnsi="Poppins" w:cs="Poppins"/>
                    <w:color w:val="FFFFFF"/>
                    <w:w w:val="95"/>
                    <w:sz w:val="18"/>
                  </w:rPr>
                  <w:t xml:space="preserve">Regulatory Scrutiny, Strategic Investments, Divestment Halt</w:t>
                </w:r>
              </w:p>
            </w:txbxContent>
          </v:textbox>
          <w10:wrap anchorx="page" anchory="page"/>
        </v:shape>
      </w:pict>
    </w:r>
    <w:r>
      <w:pict w14:anchorId="211FBDC6">
        <v:group id="docshapegroup1" o:spid="_x0000_s1029" style="position:absolute;margin-left:0;margin-top:0;width:297pt;height:41.8pt;z-index:-15779328;mso-position-horizontal-relative:page;mso-position-vertical-relative:page" coordsize="5940,836">
          <v:rect id="docshape2" o:spid="_x0000_s1031" style="position:absolute;width:5940;height:836" fillcolor="#1f487c" stroked="f"/>
          <v:line id="_x0000_s1030" style="position:absolute" from="0,830" to="5940,830" strokecolor="#7e7e7e" strokeweight=".5pt">
            <v:stroke dashstyle="3 1"/>
          </v:line>
          <w10:wrap anchorx="page" anchory="page"/>
        </v:group>
      </w:pict>
    </w:r>
    <w:r>
      <w:pict w14:anchorId="59C02B8C">
        <v:shape id="docshape3" o:spid="_x0000_s1028" type="#_x0000_t202" style="position:absolute;margin-left:233.55pt;margin-top:9.9pt;width:51.55pt;height:18.45pt;z-index:-15778816;mso-position-horizontal-relative:page;mso-position-vertical-relative:page" filled="f" stroked="f">
          <v:textbox style="mso-next-textbox:#docshape3" inset="0,0,0,0">
            <w:txbxContent>
              <w:p w14:paraId="04169F20" w14:textId="78BF1937" w:rsidR="008F2A8B" w:rsidRPr="00E248EF" w:rsidRDefault="00000000">
                <w:pPr>
                  <w:spacing w:before="25" w:line="276" w:lineRule="auto"/>
                  <w:ind w:left="20" w:right="10" w:firstLine="247"/>
                  <w:rPr>
                    <w:rFonts w:ascii="Poppins" w:hAnsi="Poppins" w:cs="Poppins"/>
                    <w:sz w:val="12"/>
                  </w:rPr>
                </w:pPr>
                <w:r w:rsidRPr="00E248EF">
                  <w:rPr>
                    <w:rFonts w:ascii="Poppins" w:hAnsi="Poppins" w:cs="Poppins"/>
                    <w:color w:val="FFFFFF"/>
                    <w:spacing w:val="-2"/>
                    <w:w w:val="105"/>
                    <w:sz w:val="12"/>
                  </w:rPr>
                  <w:t>Newsletter</w:t>
                </w:r>
                <w:r w:rsidRPr="00E248EF">
                  <w:rPr>
                    <w:rFonts w:ascii="Poppins" w:hAnsi="Poppins" w:cs="Poppins"/>
                    <w:color w:val="FFFFFF"/>
                    <w:spacing w:val="-11"/>
                    <w:w w:val="105"/>
                    <w:sz w:val="12"/>
                  </w:rPr>
                  <w:t xml:space="preserve"> </w:t>
                </w:r>
                <w:r w:rsidRPr="00E248EF">
                  <w:rPr>
                    <w:rFonts w:ascii="Poppins" w:hAnsi="Poppins" w:cs="Poppins"/>
                    <w:color w:val="FFFFFF"/>
                    <w:spacing w:val="-2"/>
                    <w:w w:val="105"/>
                    <w:sz w:val="12"/>
                  </w:rPr>
                  <w:t>–</w:t>
                </w:r>
                <w:r w:rsidRPr="00E248EF">
                  <w:rPr>
                    <w:rFonts w:ascii="Poppins" w:hAnsi="Poppins" w:cs="Poppins"/>
                    <w:color w:val="FFFFFF"/>
                    <w:spacing w:val="40"/>
                    <w:w w:val="105"/>
                    <w:sz w:val="12"/>
                  </w:rPr>
                  <w:t xml:space="preserve"> </w:t>
                </w:r>
                <w:r w:rsidR="0014639B" w:rsidRPr="00E248EF">
                  <w:rPr>
                    <w:rFonts w:ascii="Poppins" w:hAnsi="Poppins" w:cs="Poppins"/>
                    <w:color w:val="FFFFFF"/>
                    <w:w w:val="105"/>
                    <w:sz w:val="12"/>
                  </w:rPr>
                  <w:t xml:space="preserve">March 14, 2026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42C8"/>
    <w:multiLevelType w:val="hybridMultilevel"/>
    <w:tmpl w:val="67BADE0C"/>
    <w:lvl w:ilvl="0" w:tplc="40090001">
      <w:start w:val="1"/>
      <w:numFmt w:val="bullet"/>
      <w:lvlText w:val=""/>
      <w:lvlJc w:val="left"/>
      <w:pPr>
        <w:ind w:left="10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4" w:hanging="360"/>
      </w:pPr>
      <w:rPr>
        <w:rFonts w:ascii="Wingdings" w:hAnsi="Wingdings" w:hint="default"/>
      </w:rPr>
    </w:lvl>
  </w:abstractNum>
  <w:abstractNum w:abstractNumId="1" w15:restartNumberingAfterBreak="0">
    <w:nsid w:val="07E86DB5"/>
    <w:multiLevelType w:val="hybridMultilevel"/>
    <w:tmpl w:val="2FC2A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909E3"/>
    <w:multiLevelType w:val="hybridMultilevel"/>
    <w:tmpl w:val="0A782332"/>
    <w:lvl w:ilvl="0" w:tplc="40090001">
      <w:start w:val="1"/>
      <w:numFmt w:val="bullet"/>
      <w:lvlText w:val=""/>
      <w:lvlJc w:val="left"/>
      <w:pPr>
        <w:ind w:left="10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4" w:hanging="360"/>
      </w:pPr>
      <w:rPr>
        <w:rFonts w:ascii="Wingdings" w:hAnsi="Wingdings" w:hint="default"/>
      </w:rPr>
    </w:lvl>
  </w:abstractNum>
  <w:abstractNum w:abstractNumId="3" w15:restartNumberingAfterBreak="0">
    <w:nsid w:val="5D636B32"/>
    <w:multiLevelType w:val="hybridMultilevel"/>
    <w:tmpl w:val="5D52A956"/>
    <w:lvl w:ilvl="0" w:tplc="40090001">
      <w:start w:val="1"/>
      <w:numFmt w:val="bullet"/>
      <w:lvlText w:val=""/>
      <w:lvlJc w:val="left"/>
      <w:pPr>
        <w:ind w:left="6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12" w:hanging="360"/>
      </w:pPr>
      <w:rPr>
        <w:rFonts w:ascii="Wingdings" w:hAnsi="Wingdings" w:hint="default"/>
      </w:rPr>
    </w:lvl>
  </w:abstractNum>
  <w:abstractNum w:abstractNumId="4" w15:restartNumberingAfterBreak="0">
    <w:nsid w:val="6E4D4CF8"/>
    <w:multiLevelType w:val="hybridMultilevel"/>
    <w:tmpl w:val="F99A3EF6"/>
    <w:lvl w:ilvl="0" w:tplc="CE483C36">
      <w:numFmt w:val="bullet"/>
      <w:lvlText w:val="•"/>
      <w:lvlJc w:val="left"/>
      <w:pPr>
        <w:ind w:left="493" w:hanging="140"/>
      </w:pPr>
      <w:rPr>
        <w:rFonts w:ascii="Arial" w:eastAsia="Arial" w:hAnsi="Arial" w:cs="Arial" w:hint="default"/>
        <w:b w:val="0"/>
        <w:bCs w:val="0"/>
        <w:i w:val="0"/>
        <w:iCs w:val="0"/>
        <w:color w:val="1F487C"/>
        <w:w w:val="99"/>
        <w:sz w:val="20"/>
        <w:szCs w:val="20"/>
        <w:lang w:val="en-US" w:eastAsia="en-US" w:bidi="ar-SA"/>
      </w:rPr>
    </w:lvl>
    <w:lvl w:ilvl="1" w:tplc="6D6AE0E0">
      <w:numFmt w:val="bullet"/>
      <w:lvlText w:val="•"/>
      <w:lvlJc w:val="left"/>
      <w:pPr>
        <w:ind w:left="1044" w:hanging="140"/>
      </w:pPr>
      <w:rPr>
        <w:rFonts w:hint="default"/>
        <w:lang w:val="en-US" w:eastAsia="en-US" w:bidi="ar-SA"/>
      </w:rPr>
    </w:lvl>
    <w:lvl w:ilvl="2" w:tplc="846EFC5E">
      <w:numFmt w:val="bullet"/>
      <w:lvlText w:val="•"/>
      <w:lvlJc w:val="left"/>
      <w:pPr>
        <w:ind w:left="1588" w:hanging="140"/>
      </w:pPr>
      <w:rPr>
        <w:rFonts w:hint="default"/>
        <w:lang w:val="en-US" w:eastAsia="en-US" w:bidi="ar-SA"/>
      </w:rPr>
    </w:lvl>
    <w:lvl w:ilvl="3" w:tplc="60C0266A">
      <w:numFmt w:val="bullet"/>
      <w:lvlText w:val="•"/>
      <w:lvlJc w:val="left"/>
      <w:pPr>
        <w:ind w:left="2132" w:hanging="140"/>
      </w:pPr>
      <w:rPr>
        <w:rFonts w:hint="default"/>
        <w:lang w:val="en-US" w:eastAsia="en-US" w:bidi="ar-SA"/>
      </w:rPr>
    </w:lvl>
    <w:lvl w:ilvl="4" w:tplc="0ABC4982">
      <w:numFmt w:val="bullet"/>
      <w:lvlText w:val="•"/>
      <w:lvlJc w:val="left"/>
      <w:pPr>
        <w:ind w:left="2676" w:hanging="140"/>
      </w:pPr>
      <w:rPr>
        <w:rFonts w:hint="default"/>
        <w:lang w:val="en-US" w:eastAsia="en-US" w:bidi="ar-SA"/>
      </w:rPr>
    </w:lvl>
    <w:lvl w:ilvl="5" w:tplc="6A8E4EF6">
      <w:numFmt w:val="bullet"/>
      <w:lvlText w:val="•"/>
      <w:lvlJc w:val="left"/>
      <w:pPr>
        <w:ind w:left="3220" w:hanging="140"/>
      </w:pPr>
      <w:rPr>
        <w:rFonts w:hint="default"/>
        <w:lang w:val="en-US" w:eastAsia="en-US" w:bidi="ar-SA"/>
      </w:rPr>
    </w:lvl>
    <w:lvl w:ilvl="6" w:tplc="B07E485C">
      <w:numFmt w:val="bullet"/>
      <w:lvlText w:val="•"/>
      <w:lvlJc w:val="left"/>
      <w:pPr>
        <w:ind w:left="3764" w:hanging="140"/>
      </w:pPr>
      <w:rPr>
        <w:rFonts w:hint="default"/>
        <w:lang w:val="en-US" w:eastAsia="en-US" w:bidi="ar-SA"/>
      </w:rPr>
    </w:lvl>
    <w:lvl w:ilvl="7" w:tplc="8878FEB2">
      <w:numFmt w:val="bullet"/>
      <w:lvlText w:val="•"/>
      <w:lvlJc w:val="left"/>
      <w:pPr>
        <w:ind w:left="4308" w:hanging="140"/>
      </w:pPr>
      <w:rPr>
        <w:rFonts w:hint="default"/>
        <w:lang w:val="en-US" w:eastAsia="en-US" w:bidi="ar-SA"/>
      </w:rPr>
    </w:lvl>
    <w:lvl w:ilvl="8" w:tplc="8F8EA140">
      <w:numFmt w:val="bullet"/>
      <w:lvlText w:val="•"/>
      <w:lvlJc w:val="left"/>
      <w:pPr>
        <w:ind w:left="4852" w:hanging="140"/>
      </w:pPr>
      <w:rPr>
        <w:rFonts w:hint="default"/>
        <w:lang w:val="en-US" w:eastAsia="en-US" w:bidi="ar-SA"/>
      </w:rPr>
    </w:lvl>
  </w:abstractNum>
  <w:num w:numId="1" w16cid:durableId="1100417652">
    <w:abstractNumId w:val="4"/>
  </w:num>
  <w:num w:numId="2" w16cid:durableId="2102287209">
    <w:abstractNumId w:val="2"/>
  </w:num>
  <w:num w:numId="3" w16cid:durableId="1512178120">
    <w:abstractNumId w:val="1"/>
  </w:num>
  <w:num w:numId="4" w16cid:durableId="257102995">
    <w:abstractNumId w:val="0"/>
  </w:num>
  <w:num w:numId="5" w16cid:durableId="1504665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2A8B"/>
    <w:rsid w:val="00011AD9"/>
    <w:rsid w:val="00061945"/>
    <w:rsid w:val="00067E96"/>
    <w:rsid w:val="0014639B"/>
    <w:rsid w:val="00157EAB"/>
    <w:rsid w:val="001D1027"/>
    <w:rsid w:val="002431C5"/>
    <w:rsid w:val="00276DF2"/>
    <w:rsid w:val="003E126A"/>
    <w:rsid w:val="004F59D8"/>
    <w:rsid w:val="0051382F"/>
    <w:rsid w:val="00560E94"/>
    <w:rsid w:val="005E1F9E"/>
    <w:rsid w:val="00627767"/>
    <w:rsid w:val="0075162F"/>
    <w:rsid w:val="0080760E"/>
    <w:rsid w:val="0085688E"/>
    <w:rsid w:val="008F2A8B"/>
    <w:rsid w:val="009174EC"/>
    <w:rsid w:val="0097173D"/>
    <w:rsid w:val="00990FA9"/>
    <w:rsid w:val="009B125D"/>
    <w:rsid w:val="00AA5FA8"/>
    <w:rsid w:val="00B06CAA"/>
    <w:rsid w:val="00B224EC"/>
    <w:rsid w:val="00B76FA3"/>
    <w:rsid w:val="00B94133"/>
    <w:rsid w:val="00C00A4F"/>
    <w:rsid w:val="00CA5589"/>
    <w:rsid w:val="00E248EF"/>
    <w:rsid w:val="00F3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0E6CE2"/>
  <w15:docId w15:val="{23131380-70C5-4CBC-8708-2FCA7C51E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ind w:left="493"/>
      <w:outlineLvl w:val="0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before="28" w:line="242" w:lineRule="exact"/>
      <w:ind w:left="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0"/>
      <w:ind w:left="493" w:hanging="14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B06CAA"/>
    <w:rPr>
      <w:rFonts w:ascii="Arial" w:eastAsia="Arial" w:hAnsi="Arial" w:cs="Arial"/>
      <w:b/>
      <w:bCs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06C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6CAA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B06C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6CAA"/>
    <w:rPr>
      <w:rFonts w:ascii="Verdana" w:eastAsia="Verdana" w:hAnsi="Verdana" w:cs="Verdana"/>
    </w:rPr>
  </w:style>
  <w:style w:type="paragraph" w:customStyle="1" w:styleId="newstitle">
    <w:name w:val="newstitle"/>
    <w:basedOn w:val="Normal"/>
    <w:link w:val="newstitleChar"/>
    <w:qFormat/>
    <w:rsid w:val="00AA5FA8"/>
    <w:pPr>
      <w:keepNext/>
      <w:spacing w:before="91"/>
      <w:ind w:left="306"/>
    </w:pPr>
    <w:rPr>
      <w:rFonts w:ascii="Poppins" w:eastAsia="Arial" w:hAnsi="Poppins" w:cs="Poppins"/>
      <w:b/>
      <w:bCs/>
      <w:color w:val="1F497D" w:themeColor="text2"/>
      <w:sz w:val="16"/>
      <w:szCs w:val="16"/>
    </w:rPr>
  </w:style>
  <w:style w:type="character" w:customStyle="1" w:styleId="newstitleChar">
    <w:name w:val="newstitle Char"/>
    <w:basedOn w:val="DefaultParagraphFont"/>
    <w:link w:val="newstitle"/>
    <w:rsid w:val="00AA5FA8"/>
    <w:rPr>
      <w:rFonts w:ascii="Poppins" w:eastAsia="Arial" w:hAnsi="Poppins" w:cs="Poppins"/>
      <w:b/>
      <w:bCs/>
      <w:color w:val="1F497D" w:themeColor="text2"/>
      <w:sz w:val="16"/>
      <w:szCs w:val="16"/>
    </w:rPr>
  </w:style>
  <w:style w:type="paragraph" w:customStyle="1" w:styleId="newbody">
    <w:name w:val="newbody"/>
    <w:basedOn w:val="Normal"/>
    <w:link w:val="newbodyChar"/>
    <w:qFormat/>
    <w:rsid w:val="00AA5FA8"/>
    <w:pPr>
      <w:spacing w:before="91"/>
      <w:ind w:left="306"/>
    </w:pPr>
    <w:rPr>
      <w:rFonts w:ascii="Poppins" w:eastAsia="Arial" w:hAnsi="Poppins" w:cs="Poppins"/>
      <w:sz w:val="14"/>
      <w:szCs w:val="14"/>
    </w:rPr>
  </w:style>
  <w:style w:type="character" w:customStyle="1" w:styleId="newbodyChar">
    <w:name w:val="newbody Char"/>
    <w:basedOn w:val="DefaultParagraphFont"/>
    <w:link w:val="newbody"/>
    <w:rsid w:val="00AA5FA8"/>
    <w:rPr>
      <w:rFonts w:ascii="Poppins" w:eastAsia="Arial" w:hAnsi="Poppins" w:cs="Poppins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Yash Punmiya</cp:lastModifiedBy>
  <cp:revision>12</cp:revision>
  <dcterms:created xsi:type="dcterms:W3CDTF">2026-03-14T14:14:00Z</dcterms:created>
  <dcterms:modified xsi:type="dcterms:W3CDTF">2026-03-14T12:37:00Z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2026-03-14T00:00:00Z</vt:filetime>
  </property>
  <property fmtid="{D5CDD505-2E9C-101B-9397-08002B2CF9AE}" pid="5" name="Producer">
    <vt:lpwstr>Microsoft® PowerPoint® LTSC</vt:lpwstr>
  </property>
</Properties>
</file>