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02C63" w14:textId="0DBC61B8" w:rsidR="00C00A4F" w:rsidRDefault="00000000" w:rsidP="00C00A4F">
      <w:pPr>
        <w:pStyle w:val="Heading1"/>
        <w:spacing w:before="186"/>
        <w:ind w:left="304"/>
        <w:rPr>
          <w:color w:val="1F487C"/>
          <w:spacing w:val="-2"/>
          <w:w w:val="105"/>
        </w:rPr>
      </w:pPr>
      <w:r>
        <w:rPr>
          <w:color w:val="1F487C"/>
          <w:w w:val="105"/>
        </w:rPr>
        <w:t>Executive</w:t>
      </w:r>
      <w:r>
        <w:rPr>
          <w:color w:val="1F487C"/>
          <w:spacing w:val="-8"/>
          <w:w w:val="105"/>
        </w:rPr>
        <w:t xml:space="preserve"> </w:t>
      </w:r>
      <w:r>
        <w:rPr>
          <w:color w:val="1F487C"/>
          <w:spacing w:val="-2"/>
          <w:w w:val="105"/>
        </w:rPr>
        <w:t xml:space="preserve">Overview:</w:t>
      </w:r>
    </w:p>
    <w:p w14:paraId="2F907858" w14:textId="77777777" w:rsidR="00C00A4F" w:rsidRPr="00C00A4F" w:rsidRDefault="00C00A4F" w:rsidP="00627767">
      <w:pPr>
        <w:pStyle w:val="Heading1"/>
        <w:ind w:left="304"/>
        <w:rPr>
          <w:b w:val="0"/>
          <w:bCs w:val="0"/>
          <w:spacing w:val="-2"/>
          <w:w w:val="105"/>
        </w:rPr>
      </w:pPr>
      <w:r w:rsidRPr="00C00A4F">
        <w:rPr>
          <w:b w:val="0"/>
          <w:bCs w:val="0"/>
          <w:spacing w:val="-2"/>
          <w:w w:val="105"/>
        </w:rPr>
        <w:t xml:space="preserve"/>
      </w:r>
    </w:p>
    <w:p w14:paraId="546595BE" w14:textId="77777777" w:rsidR="00C00A4F" w:rsidRPr="00C00A4F" w:rsidRDefault="00C00A4F" w:rsidP="00627767">
      <w:pPr>
        <w:pStyle w:val="Heading1"/>
        <w:numPr>
          <w:ilvl w:val="0"/>
          <w:numId w:val="5"/>
        </w:numPr>
        <w:ind w:left="663" w:hanging="357"/>
        <w:rPr>
          <w:b w:val="0"/>
          <w:bCs w:val="0"/>
          <w:spacing w:val="-2"/>
          <w:w w:val="105"/>
        </w:rPr>
      </w:pPr>
      <w:proofErr w:type="gramStart"/>
      <w:r w:rsidRPr="00C00A4F">
        <w:rPr>
          <w:b w:val="0"/>
          <w:bCs w:val="0"/>
          <w:spacing w:val="-2"/>
          <w:w w:val="105"/>
        </w:rPr>
        <w:t xml:space="preserve">Indian equity markets experienced significant volatility, marking their worst week in years.</w:t>
      </w:r>
    </w:p>
    <w:p w14:paraId="74B7E78A" w14:textId="42E8AE16" w:rsidR="00B06CAA" w:rsidRPr="00627767" w:rsidRDefault="00C00A4F" w:rsidP="00627767">
      <w:pPr>
        <w:pStyle w:val="Heading1"/>
        <w:ind w:left="304"/>
        <w:rPr>
          <w:b w:val="0"/>
          <w:bCs w:val="0"/>
          <w:spacing w:val="-2"/>
          <w:w w:val="105"/>
        </w:rPr>
      </w:pPr>
      <w:r w:rsidRPr="00C00A4F">
        <w:rPr>
          <w:b w:val="0"/>
          <w:bCs w:val="0"/>
          <w:spacing w:val="-2"/>
          <w:w w:val="105"/>
        </w:rPr>
        <w:t xml:space="preserve"/>
      </w:r>
    </w:p>
    <w:p w14:paraId="546595BE" w14:textId="77777777" w:rsidR="00C00A4F" w:rsidRPr="00C00A4F" w:rsidRDefault="00C00A4F" w:rsidP="00627767">
      <w:pPr>
        <w:pStyle w:val="Heading1"/>
        <w:numPr>
          <w:ilvl w:val="0"/>
          <w:numId w:val="5"/>
        </w:numPr>
        <w:ind w:left="663" w:hanging="357"/>
        <w:rPr>
          <w:b w:val="0"/>
          <w:bCs w:val="0"/>
          <w:spacing w:val="-2"/>
          <w:w w:val="105"/>
        </w:rPr>
      </w:pPr>
      <w:proofErr w:type="gramStart"/>
      <w:r w:rsidRPr="00C00A4F">
        <w:rPr>
          <w:b w:val="0"/>
          <w:bCs w:val="0"/>
          <w:spacing w:val="-2"/>
          <w:w w:val="105"/>
        </w:rPr>
        <w:t xml:space="preserve">The Real Estate Investment Trust (Reit) market expanded sixfold, driven by new listings and price appreciation.</w:t>
      </w:r>
    </w:p>
    <w:p w14:paraId="74B7E78A" w14:textId="42E8AE16" w:rsidR="00B06CAA" w:rsidRPr="00627767" w:rsidRDefault="00C00A4F" w:rsidP="00627767">
      <w:pPr>
        <w:pStyle w:val="Heading1"/>
        <w:ind w:left="304"/>
        <w:rPr>
          <w:b w:val="0"/>
          <w:bCs w:val="0"/>
          <w:spacing w:val="-2"/>
          <w:w w:val="105"/>
        </w:rPr>
      </w:pPr>
      <w:r w:rsidRPr="00C00A4F">
        <w:rPr>
          <w:b w:val="0"/>
          <w:bCs w:val="0"/>
          <w:spacing w:val="-2"/>
          <w:w w:val="105"/>
        </w:rPr>
        <w:t xml:space="preserve"/>
      </w:r>
    </w:p>
    <w:p w14:paraId="546595BE" w14:textId="77777777" w:rsidR="00C00A4F" w:rsidRPr="00C00A4F" w:rsidRDefault="00C00A4F" w:rsidP="00627767">
      <w:pPr>
        <w:pStyle w:val="Heading1"/>
        <w:numPr>
          <w:ilvl w:val="0"/>
          <w:numId w:val="5"/>
        </w:numPr>
        <w:ind w:left="663" w:hanging="357"/>
        <w:rPr>
          <w:b w:val="0"/>
          <w:bCs w:val="0"/>
          <w:spacing w:val="-2"/>
          <w:w w:val="105"/>
        </w:rPr>
      </w:pPr>
      <w:proofErr w:type="gramStart"/>
      <w:r w:rsidRPr="00C00A4F">
        <w:rPr>
          <w:b w:val="0"/>
          <w:bCs w:val="0"/>
          <w:spacing w:val="-2"/>
          <w:w w:val="105"/>
        </w:rPr>
        <w:t xml:space="preserve">Micro lenders are strategically diversifying into secured loans to enhance asset quality and mitigate risks.</w:t>
      </w:r>
    </w:p>
    <w:p w14:paraId="74B7E78A" w14:textId="42E8AE16" w:rsidR="00B06CAA" w:rsidRPr="00627767" w:rsidRDefault="00C00A4F" w:rsidP="00627767">
      <w:pPr>
        <w:pStyle w:val="Heading1"/>
        <w:ind w:left="304"/>
        <w:rPr>
          <w:b w:val="0"/>
          <w:bCs w:val="0"/>
          <w:spacing w:val="-2"/>
          <w:w w:val="105"/>
        </w:rPr>
      </w:pPr>
      <w:r w:rsidRPr="00C00A4F">
        <w:rPr>
          <w:b w:val="0"/>
          <w:bCs w:val="0"/>
          <w:spacing w:val="-2"/>
          <w:w w:val="105"/>
        </w:rPr>
        <w:t xml:space="preserve"/>
      </w:r>
    </w:p>
    <w:p w14:paraId="546595BE" w14:textId="77777777" w:rsidR="00C00A4F" w:rsidRPr="00C00A4F" w:rsidRDefault="00C00A4F" w:rsidP="00627767">
      <w:pPr>
        <w:pStyle w:val="Heading1"/>
        <w:numPr>
          <w:ilvl w:val="0"/>
          <w:numId w:val="5"/>
        </w:numPr>
        <w:ind w:left="663" w:hanging="357"/>
        <w:rPr>
          <w:b w:val="0"/>
          <w:bCs w:val="0"/>
          <w:spacing w:val="-2"/>
          <w:w w:val="105"/>
        </w:rPr>
      </w:pPr>
      <w:proofErr w:type="gramStart"/>
      <w:r w:rsidRPr="00C00A4F">
        <w:rPr>
          <w:b w:val="0"/>
          <w:bCs w:val="0"/>
          <w:spacing w:val="-2"/>
          <w:w w:val="105"/>
        </w:rPr>
        <w:t xml:space="preserve">SEBI introduced new regulations for mutual fund intraday borrowings, impacting capital market operations.</w:t>
      </w:r>
    </w:p>
    <w:p w14:paraId="74B7E78A" w14:textId="42E8AE16" w:rsidR="00B06CAA" w:rsidRPr="00627767" w:rsidRDefault="00C00A4F" w:rsidP="00627767">
      <w:pPr>
        <w:pStyle w:val="Heading1"/>
        <w:ind w:left="304"/>
        <w:rPr>
          <w:b w:val="0"/>
          <w:bCs w:val="0"/>
          <w:spacing w:val="-2"/>
          <w:w w:val="105"/>
        </w:rPr>
      </w:pPr>
      <w:r w:rsidRPr="00C00A4F">
        <w:rPr>
          <w:b w:val="0"/>
          <w:bCs w:val="0"/>
          <w:spacing w:val="-2"/>
          <w:w w:val="105"/>
        </w:rPr>
        <w:t xml:space="preserve"/>
      </w:r>
    </w:p>
    <w:p w14:paraId="3BF872CA" w14:textId="2CD44789" w:rsidR="00B06CAA" w:rsidRDefault="00B06CAA" w:rsidP="00B06CAA">
      <w:pPr>
        <w:pStyle w:val="Heading1"/>
        <w:spacing w:before="186"/>
        <w:ind w:left="304"/>
        <w:rPr>
          <w:color w:val="1F487C"/>
          <w:w w:val="105"/>
        </w:rPr>
      </w:pPr>
      <w:r>
        <w:rPr>
          <w:color w:val="1F487C"/>
          <w:w w:val="105"/>
        </w:rPr>
        <w:t>Details</w:t>
      </w:r>
      <w:r w:rsidR="00B94133">
        <w:rPr>
          <w:color w:val="1F487C"/>
          <w:w w:val="105"/>
        </w:rPr>
        <w:t>:</w:t>
      </w:r>
    </w:p>
    <w:p w14:paraId="06E568EC" w14:textId="339D75CC" w:rsidR="00B06CAA" w:rsidRPr="00276DF2" w:rsidRDefault="00C00A4F" w:rsidP="00276DF2">
      <w:pPr>
        <w:spacing w:before="91"/>
        <w:ind w:left="306"/>
        <w:rPr>
          <w:rFonts w:ascii="Arial" w:eastAsia="Arial" w:hAnsi="Arial" w:cs="Arial"/>
          <w:sz w:val="14"/>
          <w:szCs w:val="14"/>
        </w:rPr>
      </w:pPr>
      <w:r w:rsidRPr="00276DF2">
        <w:rPr>
          <w:rFonts w:ascii="Arial" w:eastAsia="Arial" w:hAnsi="Arial" w:cs="Arial"/>
          <w:sz w:val="14"/>
          <w:szCs w:val="14"/>
        </w:rPr>
        <w:t xml:space="preserve"/>
      </w:r>
      <w:r w:rsidRPr="00276DF2">
        <w:rPr>
          <w:rFonts w:ascii="Arial" w:eastAsia="Arial" w:hAnsi="Arial" w:cs="Arial"/>
          <w:sz w:val="14"/>
          <w:szCs w:val="14"/>
        </w:rPr>
        <w:br/>
      </w:r>
      <w:proofErr w:type="gramStart"/>
      <w:r w:rsidRPr="00627767">
        <w:rPr>
          <w:rFonts w:ascii="Arial" w:eastAsia="Arial" w:hAnsi="Arial" w:cs="Arial"/>
          <w:b/>
          <w:bCs/>
          <w:color w:val="1F497D" w:themeColor="text2"/>
          <w:sz w:val="16"/>
          <w:szCs w:val="16"/>
        </w:rPr>
        <w:t xml:space="preserve">Godrej Properties Acquires 2.5-Acre Housing Project in Coimbatore</w:t>
      </w:r>
      <w:r w:rsidRPr="00627767">
        <w:rPr>
          <w:rFonts w:ascii="Arial" w:eastAsia="Arial" w:hAnsi="Arial" w:cs="Arial"/>
          <w:color w:val="1F497D" w:themeColor="text2"/>
          <w:sz w:val="14"/>
          <w:szCs w:val="14"/>
        </w:rPr>
        <w:br/>
      </w:r>
      <w:proofErr w:type="gramStart"/>
      <w:r w:rsidRPr="00276DF2">
        <w:rPr>
          <w:rFonts w:ascii="Arial" w:eastAsia="Arial" w:hAnsi="Arial" w:cs="Arial"/>
          <w:sz w:val="14"/>
          <w:szCs w:val="14"/>
        </w:rPr>
        <w:t xml:space="preserve">Godrej Properties has acquired a 2.5-acre land parcel in Coimbatore for a premium housing project. This acquisition is projected to generate a revenue potential of ₹400 crore, expanding their regional footprint.</w:t>
      </w:r>
      <w:r w:rsidRPr="00276DF2">
        <w:rPr>
          <w:rFonts w:ascii="Arial" w:eastAsia="Arial" w:hAnsi="Arial" w:cs="Arial"/>
          <w:sz w:val="14"/>
          <w:szCs w:val="14"/>
        </w:rPr>
        <w:br/>
        <w:t xml:space="preserve"/>
      </w:r>
      <w:r w:rsidRPr="00276DF2">
        <w:rPr>
          <w:rFonts w:ascii="Arial" w:eastAsia="Arial" w:hAnsi="Arial" w:cs="Arial"/>
          <w:sz w:val="14"/>
          <w:szCs w:val="14"/>
        </w:rPr>
        <w:br/>
      </w:r>
      <w:proofErr w:type="gramStart"/>
      <w:r w:rsidRPr="00627767">
        <w:rPr>
          <w:rFonts w:ascii="Arial" w:eastAsia="Arial" w:hAnsi="Arial" w:cs="Arial"/>
          <w:b/>
          <w:bCs/>
          <w:color w:val="1F497D" w:themeColor="text2"/>
          <w:sz w:val="16"/>
          <w:szCs w:val="16"/>
        </w:rPr>
        <w:t xml:space="preserve">India's REIT Market Expands Sixfold with New Listings</w:t>
      </w:r>
      <w:r w:rsidRPr="00627767">
        <w:rPr>
          <w:rFonts w:ascii="Arial" w:eastAsia="Arial" w:hAnsi="Arial" w:cs="Arial"/>
          <w:color w:val="1F497D" w:themeColor="text2"/>
          <w:sz w:val="14"/>
          <w:szCs w:val="14"/>
        </w:rPr>
        <w:br/>
      </w:r>
      <w:proofErr w:type="gramStart"/>
      <w:r w:rsidRPr="00276DF2">
        <w:rPr>
          <w:rFonts w:ascii="Arial" w:eastAsia="Arial" w:hAnsi="Arial" w:cs="Arial"/>
          <w:sz w:val="14"/>
          <w:szCs w:val="14"/>
        </w:rPr>
        <w:t xml:space="preserve">India's Real Estate Investment Trust (Reit) market has grown over six-fold since FY20, reaching ₹1,726 billion. This significant expansion is fueled by new listings and consistent unit price appreciation.</w:t>
      </w:r>
      <w:r w:rsidRPr="00276DF2">
        <w:rPr>
          <w:rFonts w:ascii="Arial" w:eastAsia="Arial" w:hAnsi="Arial" w:cs="Arial"/>
          <w:sz w:val="14"/>
          <w:szCs w:val="14"/>
        </w:rPr>
        <w:br/>
        <w:t xml:space="preserve"/>
      </w:r>
      <w:r w:rsidRPr="00276DF2">
        <w:rPr>
          <w:rFonts w:ascii="Arial" w:eastAsia="Arial" w:hAnsi="Arial" w:cs="Arial"/>
          <w:sz w:val="14"/>
          <w:szCs w:val="14"/>
        </w:rPr>
        <w:br/>
      </w:r>
      <w:proofErr w:type="gramStart"/>
      <w:r w:rsidRPr="00627767">
        <w:rPr>
          <w:rFonts w:ascii="Arial" w:eastAsia="Arial" w:hAnsi="Arial" w:cs="Arial"/>
          <w:b/>
          <w:bCs/>
          <w:color w:val="1F497D" w:themeColor="text2"/>
          <w:sz w:val="16"/>
          <w:szCs w:val="16"/>
        </w:rPr>
        <w:t xml:space="preserve">SolarSquare CEO Details Ambitious Solarization Expansion Plans</w:t>
      </w:r>
      <w:r w:rsidRPr="00627767">
        <w:rPr>
          <w:rFonts w:ascii="Arial" w:eastAsia="Arial" w:hAnsi="Arial" w:cs="Arial"/>
          <w:color w:val="1F497D" w:themeColor="text2"/>
          <w:sz w:val="14"/>
          <w:szCs w:val="14"/>
        </w:rPr>
        <w:br/>
      </w:r>
      <w:proofErr w:type="gramStart"/>
      <w:r w:rsidRPr="00276DF2">
        <w:rPr>
          <w:rFonts w:ascii="Arial" w:eastAsia="Arial" w:hAnsi="Arial" w:cs="Arial"/>
          <w:sz w:val="14"/>
          <w:szCs w:val="14"/>
        </w:rPr>
        <w:t xml:space="preserve">SolarSquare, a residential solar company, has solarized 3 million homes and aims for 70 million more. The CEO highlighted the company's growth, supported by recent fundraises and market expansion.</w:t>
      </w:r>
      <w:r w:rsidRPr="00276DF2">
        <w:rPr>
          <w:rFonts w:ascii="Arial" w:eastAsia="Arial" w:hAnsi="Arial" w:cs="Arial"/>
          <w:sz w:val="14"/>
          <w:szCs w:val="14"/>
        </w:rPr>
        <w:br/>
        <w:t xml:space="preserve"/>
      </w:r>
      <w:r w:rsidRPr="00276DF2">
        <w:rPr>
          <w:rFonts w:ascii="Arial" w:eastAsia="Arial" w:hAnsi="Arial" w:cs="Arial"/>
          <w:sz w:val="14"/>
          <w:szCs w:val="14"/>
        </w:rPr>
        <w:br/>
      </w:r>
      <w:proofErr w:type="gramStart"/>
      <w:r w:rsidRPr="00627767">
        <w:rPr>
          <w:rFonts w:ascii="Arial" w:eastAsia="Arial" w:hAnsi="Arial" w:cs="Arial"/>
          <w:b/>
          <w:bCs/>
          <w:color w:val="1F497D" w:themeColor="text2"/>
          <w:sz w:val="16"/>
          <w:szCs w:val="16"/>
        </w:rPr>
        <w:t xml:space="preserve">SIF Assets Approach ₹10,000 Crore Amid New Scheme Launches</w:t>
      </w:r>
      <w:r w:rsidRPr="00627767">
        <w:rPr>
          <w:rFonts w:ascii="Arial" w:eastAsia="Arial" w:hAnsi="Arial" w:cs="Arial"/>
          <w:color w:val="1F497D" w:themeColor="text2"/>
          <w:sz w:val="14"/>
          <w:szCs w:val="14"/>
        </w:rPr>
        <w:br/>
      </w:r>
      <w:proofErr w:type="gramStart"/>
      <w:r w:rsidRPr="00276DF2">
        <w:rPr>
          <w:rFonts w:ascii="Arial" w:eastAsia="Arial" w:hAnsi="Arial" w:cs="Arial"/>
          <w:sz w:val="14"/>
          <w:szCs w:val="14"/>
        </w:rPr>
        <w:t xml:space="preserve">SIF's assets under management are nearing ₹10,000 crore, driven by the launch of new investment schemes. This reflects growing investor confidence and significant inflows into their diverse offerings.</w:t>
      </w:r>
      <w:r w:rsidRPr="00276DF2">
        <w:rPr>
          <w:rFonts w:ascii="Arial" w:eastAsia="Arial" w:hAnsi="Arial" w:cs="Arial"/>
          <w:sz w:val="14"/>
          <w:szCs w:val="14"/>
        </w:rPr>
        <w:br/>
        <w:t xml:space="preserve"/>
      </w:r>
      <w:r w:rsidRPr="00276DF2">
        <w:rPr>
          <w:rFonts w:ascii="Arial" w:eastAsia="Arial" w:hAnsi="Arial" w:cs="Arial"/>
          <w:sz w:val="14"/>
          <w:szCs w:val="14"/>
        </w:rPr>
        <w:br/>
      </w:r>
      <w:proofErr w:type="gramStart"/>
      <w:r w:rsidRPr="00627767">
        <w:rPr>
          <w:rFonts w:ascii="Arial" w:eastAsia="Arial" w:hAnsi="Arial" w:cs="Arial"/>
          <w:b/>
          <w:bCs/>
          <w:color w:val="1F497D" w:themeColor="text2"/>
          <w:sz w:val="16"/>
          <w:szCs w:val="16"/>
        </w:rPr>
        <w:t xml:space="preserve">SEBI Imposes New Conditions on Mutual Fund Intraday Borrowings</w:t>
      </w:r>
      <w:r w:rsidRPr="00627767">
        <w:rPr>
          <w:rFonts w:ascii="Arial" w:eastAsia="Arial" w:hAnsi="Arial" w:cs="Arial"/>
          <w:color w:val="1F497D" w:themeColor="text2"/>
          <w:sz w:val="14"/>
          <w:szCs w:val="14"/>
        </w:rPr>
        <w:br/>
      </w:r>
      <w:proofErr w:type="gramStart"/>
      <w:r w:rsidRPr="00276DF2">
        <w:rPr>
          <w:rFonts w:ascii="Arial" w:eastAsia="Arial" w:hAnsi="Arial" w:cs="Arial"/>
          <w:sz w:val="14"/>
          <w:szCs w:val="14"/>
        </w:rPr>
        <w:t xml:space="preserve">SEBI has introduced new regulations for mutual funds regarding intraday borrowings. These conditions aim to enhance market stability and ensure prudent risk management practices within capital markets.</w:t>
      </w:r>
      <w:r w:rsidRPr="00276DF2">
        <w:rPr>
          <w:rFonts w:ascii="Arial" w:eastAsia="Arial" w:hAnsi="Arial" w:cs="Arial"/>
          <w:sz w:val="14"/>
          <w:szCs w:val="14"/>
        </w:rPr>
        <w:br/>
        <w:t xml:space="preserve"/>
      </w:r>
      <w:r w:rsidRPr="00276DF2">
        <w:rPr>
          <w:rFonts w:ascii="Arial" w:eastAsia="Arial" w:hAnsi="Arial" w:cs="Arial"/>
          <w:sz w:val="14"/>
          <w:szCs w:val="14"/>
        </w:rPr>
        <w:br/>
      </w:r>
      <w:proofErr w:type="gramStart"/>
      <w:r w:rsidRPr="00627767">
        <w:rPr>
          <w:rFonts w:ascii="Arial" w:eastAsia="Arial" w:hAnsi="Arial" w:cs="Arial"/>
          <w:b/>
          <w:bCs/>
          <w:color w:val="1F497D" w:themeColor="text2"/>
          <w:sz w:val="16"/>
          <w:szCs w:val="16"/>
        </w:rPr>
        <w:t xml:space="preserve">Micro Lenders Shift Towards Secured Loans to Mitigate Risks</w:t>
      </w:r>
      <w:r w:rsidRPr="00627767">
        <w:rPr>
          <w:rFonts w:ascii="Arial" w:eastAsia="Arial" w:hAnsi="Arial" w:cs="Arial"/>
          <w:color w:val="1F497D" w:themeColor="text2"/>
          <w:sz w:val="14"/>
          <w:szCs w:val="14"/>
        </w:rPr>
        <w:br/>
      </w:r>
      <w:proofErr w:type="gramStart"/>
      <w:r w:rsidRPr="00276DF2">
        <w:rPr>
          <w:rFonts w:ascii="Arial" w:eastAsia="Arial" w:hAnsi="Arial" w:cs="Arial"/>
          <w:sz w:val="14"/>
          <w:szCs w:val="14"/>
        </w:rPr>
        <w:t xml:space="preserve">Microfinance institutions are increasingly diversifying their portfolios by offering secured loans. This strategic shift aims to reduce asset quality pressures and enhance the stability of their lending operations.</w:t>
      </w:r>
      <w:r w:rsidRPr="00276DF2">
        <w:rPr>
          <w:rFonts w:ascii="Arial" w:eastAsia="Arial" w:hAnsi="Arial" w:cs="Arial"/>
          <w:sz w:val="14"/>
          <w:szCs w:val="14"/>
        </w:rPr>
        <w:br/>
        <w:t xml:space="preserve"/>
      </w:r>
      <w:r w:rsidRPr="00276DF2">
        <w:rPr>
          <w:rFonts w:ascii="Arial" w:eastAsia="Arial" w:hAnsi="Arial" w:cs="Arial"/>
          <w:sz w:val="14"/>
          <w:szCs w:val="14"/>
        </w:rPr>
        <w:br/>
      </w:r>
      <w:proofErr w:type="gramStart"/>
      <w:r w:rsidRPr="00627767">
        <w:rPr>
          <w:rFonts w:ascii="Arial" w:eastAsia="Arial" w:hAnsi="Arial" w:cs="Arial"/>
          <w:b/>
          <w:bCs/>
          <w:color w:val="1F497D" w:themeColor="text2"/>
          <w:sz w:val="16"/>
          <w:szCs w:val="16"/>
        </w:rPr>
        <w:t xml:space="preserve">Bundelkhand Acquires 21,000 Acres for Industrial Development</w:t>
      </w:r>
      <w:r w:rsidRPr="00627767">
        <w:rPr>
          <w:rFonts w:ascii="Arial" w:eastAsia="Arial" w:hAnsi="Arial" w:cs="Arial"/>
          <w:color w:val="1F497D" w:themeColor="text2"/>
          <w:sz w:val="14"/>
          <w:szCs w:val="14"/>
        </w:rPr>
        <w:br/>
      </w:r>
      <w:proofErr w:type="gramStart"/>
      <w:r w:rsidRPr="00276DF2">
        <w:rPr>
          <w:rFonts w:ascii="Arial" w:eastAsia="Arial" w:hAnsi="Arial" w:cs="Arial"/>
          <w:sz w:val="14"/>
          <w:szCs w:val="14"/>
        </w:rPr>
        <w:t xml:space="preserve">The Uttar Pradesh government has acquired 21,000 acres in the Bundelkhand arid zone for industrial development. This initiative aims to boost economic growth and create employment opportunities in the region.</w:t>
      </w:r>
      <w:r w:rsidRPr="00276DF2">
        <w:rPr>
          <w:rFonts w:ascii="Arial" w:eastAsia="Arial" w:hAnsi="Arial" w:cs="Arial"/>
          <w:sz w:val="14"/>
          <w:szCs w:val="14"/>
        </w:rPr>
        <w:br/>
        <w:t xml:space="preserve"/>
      </w:r>
    </w:p>
    <w:p w14:paraId="7DB5A143" w14:textId="77777777" w:rsidR="00B06CAA" w:rsidRDefault="00B06CAA" w:rsidP="00B06CAA"/>
    <w:p w14:paraId="22666C2A" w14:textId="77777777" w:rsidR="00B06CAA" w:rsidRPr="00B06CAA" w:rsidRDefault="00B06CAA" w:rsidP="00B06CAA">
      <w:pPr>
        <w:sectPr w:rsidR="00B06CAA" w:rsidRPr="00B06CAA">
          <w:headerReference w:type="default" r:id="rId7"/>
          <w:footerReference w:type="default" r:id="rId8"/>
          <w:type w:val="continuous"/>
          <w:pgSz w:w="5940" w:h="8390"/>
          <w:pgMar w:top="820" w:right="0" w:bottom="1000" w:left="0" w:header="0" w:footer="802" w:gutter="0"/>
          <w:pgNumType w:start="1"/>
          <w:cols w:space="720"/>
        </w:sectPr>
      </w:pPr>
    </w:p>
    <w:p w14:paraId="3BB50986" w14:textId="77777777" w:rsidR="008F2A8B" w:rsidRDefault="008F2A8B">
      <w:pPr>
        <w:pStyle w:val="BodyText"/>
        <w:spacing w:before="3"/>
        <w:rPr>
          <w:sz w:val="20"/>
        </w:rPr>
      </w:pPr>
    </w:p>
    <w:p w14:paraId="7197DD1D" w14:textId="77777777" w:rsidR="00B06CAA" w:rsidRDefault="00B06CAA">
      <w:pPr>
        <w:pStyle w:val="BodyText"/>
        <w:spacing w:before="3"/>
        <w:rPr>
          <w:sz w:val="20"/>
        </w:rPr>
      </w:pPr>
    </w:p>
    <w:p w14:paraId="305F75DC" w14:textId="77777777" w:rsidR="00B06CAA" w:rsidRDefault="00B06CAA">
      <w:pPr>
        <w:pStyle w:val="BodyText"/>
        <w:spacing w:before="3"/>
        <w:rPr>
          <w:sz w:val="20"/>
        </w:rPr>
      </w:pPr>
    </w:p>
    <w:p w14:paraId="0656FDF5" w14:textId="77777777" w:rsidR="00B06CAA" w:rsidRDefault="00B06CAA">
      <w:pPr>
        <w:pStyle w:val="BodyText"/>
        <w:spacing w:before="3"/>
        <w:rPr>
          <w:sz w:val="20"/>
        </w:rPr>
      </w:pPr>
    </w:p>
    <w:p w14:paraId="46EA529B" w14:textId="77777777" w:rsidR="00B06CAA" w:rsidRDefault="00B06CAA">
      <w:pPr>
        <w:pStyle w:val="BodyText"/>
        <w:spacing w:before="3"/>
        <w:rPr>
          <w:sz w:val="20"/>
        </w:rPr>
      </w:pPr>
    </w:p>
    <w:p w14:paraId="2E95B35D" w14:textId="77777777" w:rsidR="00B06CAA" w:rsidRDefault="00B06CAA">
      <w:pPr>
        <w:pStyle w:val="BodyText"/>
        <w:spacing w:before="3"/>
        <w:rPr>
          <w:sz w:val="20"/>
        </w:rPr>
      </w:pPr>
    </w:p>
    <w:p w14:paraId="1135D505" w14:textId="77777777" w:rsidR="00B06CAA" w:rsidRDefault="00B06CAA">
      <w:pPr>
        <w:pStyle w:val="BodyText"/>
        <w:spacing w:before="3"/>
        <w:rPr>
          <w:sz w:val="20"/>
        </w:rPr>
      </w:pPr>
    </w:p>
    <w:p w14:paraId="1A333730" w14:textId="77777777" w:rsidR="00B06CAA" w:rsidRDefault="00B06CAA">
      <w:pPr>
        <w:pStyle w:val="BodyText"/>
        <w:spacing w:before="3"/>
        <w:rPr>
          <w:sz w:val="20"/>
        </w:rPr>
      </w:pPr>
    </w:p>
    <w:p w14:paraId="5323A25F" w14:textId="77777777" w:rsidR="00B06CAA" w:rsidRDefault="00B06CAA">
      <w:pPr>
        <w:pStyle w:val="BodyText"/>
        <w:spacing w:before="3"/>
        <w:rPr>
          <w:sz w:val="20"/>
        </w:rPr>
      </w:pPr>
    </w:p>
    <w:p w14:paraId="7097F286" w14:textId="77777777" w:rsidR="00B06CAA" w:rsidRDefault="00B06CAA">
      <w:pPr>
        <w:pStyle w:val="BodyText"/>
        <w:spacing w:before="3"/>
        <w:rPr>
          <w:sz w:val="20"/>
        </w:rPr>
      </w:pPr>
    </w:p>
    <w:p w14:paraId="7FAC7218" w14:textId="77777777" w:rsidR="00B06CAA" w:rsidRDefault="00B06CAA">
      <w:pPr>
        <w:pStyle w:val="BodyText"/>
        <w:spacing w:before="3"/>
        <w:rPr>
          <w:sz w:val="20"/>
        </w:rPr>
      </w:pPr>
    </w:p>
    <w:p w14:paraId="008B29C3" w14:textId="77777777" w:rsidR="00B06CAA" w:rsidRDefault="00B06CAA">
      <w:pPr>
        <w:pStyle w:val="BodyText"/>
        <w:spacing w:before="3"/>
        <w:rPr>
          <w:sz w:val="20"/>
        </w:rPr>
      </w:pPr>
    </w:p>
    <w:p w14:paraId="74767B80" w14:textId="77777777" w:rsidR="00B06CAA" w:rsidRDefault="00B06CAA">
      <w:pPr>
        <w:pStyle w:val="BodyText"/>
        <w:spacing w:before="3"/>
        <w:rPr>
          <w:sz w:val="20"/>
        </w:rPr>
      </w:pPr>
    </w:p>
    <w:p w14:paraId="6A6E208D" w14:textId="77777777" w:rsidR="00B06CAA" w:rsidRDefault="00B06CAA">
      <w:pPr>
        <w:pStyle w:val="BodyText"/>
        <w:spacing w:before="3"/>
        <w:rPr>
          <w:sz w:val="20"/>
        </w:rPr>
      </w:pPr>
    </w:p>
    <w:p w14:paraId="42869201" w14:textId="77777777" w:rsidR="00B06CAA" w:rsidRDefault="00B06CAA">
      <w:pPr>
        <w:pStyle w:val="BodyText"/>
        <w:spacing w:before="3"/>
        <w:rPr>
          <w:sz w:val="20"/>
        </w:rPr>
      </w:pPr>
    </w:p>
    <w:p w14:paraId="61AA6E44" w14:textId="77777777" w:rsidR="00B06CAA" w:rsidRDefault="00B06CAA">
      <w:pPr>
        <w:pStyle w:val="BodyText"/>
        <w:spacing w:before="3"/>
        <w:rPr>
          <w:sz w:val="20"/>
        </w:rPr>
      </w:pPr>
    </w:p>
    <w:p w14:paraId="749D8829" w14:textId="77777777" w:rsidR="00B06CAA" w:rsidRDefault="00B06CAA">
      <w:pPr>
        <w:pStyle w:val="BodyText"/>
        <w:spacing w:before="3"/>
        <w:rPr>
          <w:sz w:val="20"/>
        </w:rPr>
      </w:pPr>
    </w:p>
    <w:p w14:paraId="1DFC856F" w14:textId="77777777" w:rsidR="00B06CAA" w:rsidRDefault="00B06CAA">
      <w:pPr>
        <w:pStyle w:val="BodyText"/>
        <w:spacing w:before="3"/>
        <w:rPr>
          <w:sz w:val="20"/>
        </w:rPr>
      </w:pPr>
    </w:p>
    <w:p w14:paraId="06E095E1" w14:textId="77777777" w:rsidR="00B06CAA" w:rsidRDefault="00B06CAA">
      <w:pPr>
        <w:pStyle w:val="BodyText"/>
        <w:spacing w:before="3"/>
        <w:rPr>
          <w:sz w:val="20"/>
        </w:rPr>
      </w:pPr>
    </w:p>
    <w:p w14:paraId="3B6C8B35" w14:textId="77777777" w:rsidR="00B06CAA" w:rsidRDefault="00B06CAA">
      <w:pPr>
        <w:pStyle w:val="BodyText"/>
        <w:spacing w:before="3"/>
        <w:rPr>
          <w:sz w:val="20"/>
        </w:rPr>
      </w:pPr>
    </w:p>
    <w:p w14:paraId="08C33EF2" w14:textId="77777777" w:rsidR="00B06CAA" w:rsidRDefault="00B06CAA">
      <w:pPr>
        <w:pStyle w:val="BodyText"/>
        <w:spacing w:before="3"/>
        <w:rPr>
          <w:sz w:val="20"/>
        </w:rPr>
      </w:pPr>
    </w:p>
    <w:p w14:paraId="2B3B25BC" w14:textId="77777777" w:rsidR="008F2A8B" w:rsidRDefault="00000000">
      <w:pPr>
        <w:tabs>
          <w:tab w:val="left" w:pos="381"/>
          <w:tab w:val="left" w:pos="5939"/>
        </w:tabs>
        <w:rPr>
          <w:rFonts w:ascii="Arial"/>
          <w:b/>
          <w:sz w:val="16"/>
        </w:rPr>
      </w:pPr>
      <w:r>
        <w:rPr>
          <w:noProof/>
        </w:rPr>
        <w:drawing>
          <wp:anchor distT="0" distB="0" distL="0" distR="0" simplePos="0" relativeHeight="487540224" behindDoc="1" locked="0" layoutInCell="1" allowOverlap="1" wp14:anchorId="13363845" wp14:editId="22197D25">
            <wp:simplePos x="0" y="0"/>
            <wp:positionH relativeFrom="page">
              <wp:posOffset>0</wp:posOffset>
            </wp:positionH>
            <wp:positionV relativeFrom="paragraph">
              <wp:posOffset>-69572</wp:posOffset>
            </wp:positionV>
            <wp:extent cx="3771899" cy="276353"/>
            <wp:effectExtent l="0" t="0" r="0" b="0"/>
            <wp:wrapNone/>
            <wp:docPr id="100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1899" cy="2763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color w:val="005464"/>
          <w:sz w:val="16"/>
          <w:shd w:val="clear" w:color="auto" w:fill="F1F1F1"/>
        </w:rPr>
        <w:tab/>
      </w:r>
      <w:r>
        <w:rPr>
          <w:rFonts w:ascii="Arial"/>
          <w:b/>
          <w:color w:val="005464"/>
          <w:spacing w:val="-2"/>
          <w:w w:val="110"/>
          <w:sz w:val="16"/>
          <w:shd w:val="clear" w:color="auto" w:fill="F1F1F1"/>
        </w:rPr>
        <w:t>Disclaimer</w:t>
      </w:r>
      <w:r>
        <w:rPr>
          <w:rFonts w:ascii="Arial"/>
          <w:b/>
          <w:color w:val="005464"/>
          <w:sz w:val="16"/>
          <w:shd w:val="clear" w:color="auto" w:fill="F1F1F1"/>
        </w:rPr>
        <w:tab/>
      </w:r>
    </w:p>
    <w:p w14:paraId="17235EC9" w14:textId="77777777" w:rsidR="008F2A8B" w:rsidRDefault="00000000">
      <w:pPr>
        <w:pStyle w:val="BodyText"/>
        <w:spacing w:before="67" w:line="225" w:lineRule="auto"/>
        <w:ind w:left="394" w:right="337"/>
        <w:jc w:val="both"/>
      </w:pPr>
      <w:r>
        <w:t>This research summary is based on publicly available news sources and</w:t>
      </w:r>
      <w:r>
        <w:rPr>
          <w:spacing w:val="40"/>
        </w:rPr>
        <w:t xml:space="preserve"> </w:t>
      </w:r>
      <w:r>
        <w:t xml:space="preserve">is intended solely for informational purposes. While reasonable care has been taken to ensure </w:t>
      </w:r>
      <w:r>
        <w:rPr>
          <w:w w:val="110"/>
        </w:rPr>
        <w:t>a</w:t>
      </w:r>
      <w:r>
        <w:rPr>
          <w:spacing w:val="-2"/>
          <w:w w:val="114"/>
        </w:rPr>
        <w:t>c</w:t>
      </w:r>
      <w:r>
        <w:rPr>
          <w:w w:val="114"/>
        </w:rPr>
        <w:t>c</w:t>
      </w:r>
      <w:r>
        <w:rPr>
          <w:spacing w:val="-1"/>
          <w:w w:val="94"/>
        </w:rPr>
        <w:t>ur</w:t>
      </w:r>
      <w:r>
        <w:rPr>
          <w:w w:val="110"/>
        </w:rPr>
        <w:t>a</w:t>
      </w:r>
      <w:r>
        <w:rPr>
          <w:spacing w:val="-2"/>
          <w:w w:val="114"/>
        </w:rPr>
        <w:t>c</w:t>
      </w:r>
      <w:r>
        <w:rPr>
          <w:spacing w:val="-1"/>
          <w:w w:val="93"/>
        </w:rPr>
        <w:t>y</w:t>
      </w:r>
      <w:r>
        <w:rPr>
          <w:spacing w:val="-1"/>
          <w:w w:val="53"/>
        </w:rPr>
        <w:t>,</w:t>
      </w:r>
      <w:r>
        <w:rPr>
          <w:spacing w:val="-1"/>
          <w:w w:val="99"/>
        </w:rPr>
        <w:t xml:space="preserve"> </w:t>
      </w:r>
      <w:r>
        <w:t xml:space="preserve">the information may be incomplete or subject to </w:t>
      </w:r>
      <w:r>
        <w:rPr>
          <w:w w:val="116"/>
        </w:rPr>
        <w:t>c</w:t>
      </w:r>
      <w:r>
        <w:rPr>
          <w:w w:val="101"/>
        </w:rPr>
        <w:t>h</w:t>
      </w:r>
      <w:r>
        <w:rPr>
          <w:w w:val="112"/>
        </w:rPr>
        <w:t>a</w:t>
      </w:r>
      <w:r>
        <w:rPr>
          <w:w w:val="101"/>
        </w:rPr>
        <w:t>n</w:t>
      </w:r>
      <w:r>
        <w:rPr>
          <w:w w:val="108"/>
        </w:rPr>
        <w:t>g</w:t>
      </w:r>
      <w:r>
        <w:rPr>
          <w:w w:val="104"/>
        </w:rPr>
        <w:t>e</w:t>
      </w:r>
      <w:r>
        <w:rPr>
          <w:w w:val="58"/>
        </w:rPr>
        <w:t>.</w:t>
      </w:r>
      <w:r>
        <w:t xml:space="preserve"> This document should not be considered as investment advice or a recommendation to buy or sell any securities.</w:t>
      </w:r>
    </w:p>
    <w:sectPr w:rsidR="008F2A8B">
      <w:pgSz w:w="5940" w:h="8390"/>
      <w:pgMar w:top="820" w:right="0" w:bottom="1000" w:left="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E4BE4" w14:textId="77777777" w:rsidR="00560E94" w:rsidRDefault="00560E94">
      <w:r>
        <w:separator/>
      </w:r>
    </w:p>
  </w:endnote>
  <w:endnote w:type="continuationSeparator" w:id="0">
    <w:p w14:paraId="0936DB5D" w14:textId="77777777" w:rsidR="00560E94" w:rsidRDefault="00560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8EA4" w14:textId="77777777" w:rsidR="008F2A8B" w:rsidRDefault="00000000">
    <w:pPr>
      <w:pStyle w:val="BodyText"/>
      <w:spacing w:before="0" w:line="14" w:lineRule="auto"/>
      <w:rPr>
        <w:sz w:val="20"/>
      </w:rPr>
    </w:pPr>
    <w:r>
      <w:rPr>
        <w:noProof/>
      </w:rPr>
      <w:drawing>
        <wp:anchor distT="0" distB="0" distL="0" distR="0" simplePos="0" relativeHeight="251657728" behindDoc="1" locked="0" layoutInCell="1" allowOverlap="1" wp14:anchorId="6BDA658C" wp14:editId="3476912A">
          <wp:simplePos x="0" y="0"/>
          <wp:positionH relativeFrom="page">
            <wp:posOffset>210372</wp:posOffset>
          </wp:positionH>
          <wp:positionV relativeFrom="page">
            <wp:posOffset>4953000</wp:posOffset>
          </wp:positionV>
          <wp:extent cx="676534" cy="224028"/>
          <wp:effectExtent l="0" t="0" r="0" b="0"/>
          <wp:wrapNone/>
          <wp:docPr id="1141903768" name="image1.jpeg" descr="Ashika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6534" cy="22402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43ABC1EA">
        <v:line id="_x0000_s1026" style="position:absolute;z-index:-15777280;mso-position-horizontal-relative:page;mso-position-vertical-relative:page" from="14.05pt,377.5pt" to="279.25pt,377.5pt" strokecolor="#7e7e7e" strokeweight=".5pt">
          <v:stroke dashstyle="3 1"/>
          <w10:wrap anchorx="page" anchory="page"/>
        </v:line>
      </w:pict>
    </w:r>
    <w:r>
      <w:pict w14:anchorId="2F3AF6B1">
        <v:shapetype id="_x0000_t202" coordsize="21600,21600" o:spt="202" path="m,l,21600r21600,l21600,xe">
          <v:stroke joinstyle="miter"/>
          <v:path gradientshapeok="t" o:connecttype="rect"/>
        </v:shapetype>
        <v:shape id="docshape5" o:spid="_x0000_s1025" type="#_x0000_t202" style="position:absolute;margin-left:18.05pt;margin-top:367.95pt;width:254.15pt;height:46.8pt;z-index:-15776768;mso-position-horizontal-relative:page;mso-position-vertical-relative:page" filled="f" stroked="f">
          <v:textbox style="mso-next-textbox:#docshape5" inset="0,0,0,0">
            <w:txbxContent>
              <w:p w14:paraId="136AA2F6" w14:textId="77777777" w:rsidR="008F2A8B" w:rsidRDefault="00000000">
                <w:pPr>
                  <w:spacing w:before="25"/>
                  <w:ind w:left="20"/>
                  <w:rPr>
                    <w:rFonts w:ascii="Century Gothic"/>
                    <w:i/>
                    <w:sz w:val="10"/>
                  </w:rPr>
                </w:pPr>
                <w:r>
                  <w:rPr>
                    <w:rFonts w:ascii="Arial"/>
                    <w:b/>
                    <w:i/>
                    <w:color w:val="7E7E7E"/>
                    <w:w w:val="105"/>
                    <w:sz w:val="10"/>
                  </w:rPr>
                  <w:t>Source:</w:t>
                </w:r>
                <w:r>
                  <w:rPr>
                    <w:rFonts w:ascii="Arial"/>
                    <w:b/>
                    <w:i/>
                    <w:color w:val="7E7E7E"/>
                    <w:spacing w:val="-5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Business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Standard,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Financial</w:t>
                </w:r>
                <w:r>
                  <w:rPr>
                    <w:rFonts w:ascii="Century Gothic"/>
                    <w:i/>
                    <w:color w:val="7E7E7E"/>
                    <w:spacing w:val="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Express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and</w:t>
                </w:r>
                <w:r>
                  <w:rPr>
                    <w:rFonts w:ascii="Century Gothic"/>
                    <w:i/>
                    <w:color w:val="7E7E7E"/>
                    <w:spacing w:val="-1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The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Economic</w:t>
                </w:r>
                <w:r>
                  <w:rPr>
                    <w:rFonts w:ascii="Century Gothic"/>
                    <w:i/>
                    <w:color w:val="7E7E7E"/>
                    <w:spacing w:val="-6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>Times</w:t>
                </w:r>
              </w:p>
              <w:p w14:paraId="7CFA6A04" w14:textId="77777777" w:rsidR="008F2A8B" w:rsidRDefault="008F2A8B">
                <w:pPr>
                  <w:pStyle w:val="BodyText"/>
                  <w:spacing w:before="10"/>
                  <w:rPr>
                    <w:rFonts w:ascii="Century Gothic"/>
                    <w:i/>
                    <w:sz w:val="12"/>
                  </w:rPr>
                </w:pPr>
              </w:p>
              <w:p w14:paraId="2DC21391" w14:textId="77777777" w:rsidR="008F2A8B" w:rsidRDefault="00000000">
                <w:pPr>
                  <w:spacing w:line="160" w:lineRule="exact"/>
                  <w:ind w:left="3085"/>
                  <w:rPr>
                    <w:rFonts w:ascii="Arial"/>
                    <w:b/>
                    <w:sz w:val="14"/>
                  </w:rPr>
                </w:pPr>
                <w:r>
                  <w:rPr>
                    <w:rFonts w:ascii="Arial"/>
                    <w:b/>
                    <w:color w:val="464646"/>
                    <w:w w:val="105"/>
                    <w:sz w:val="14"/>
                  </w:rPr>
                  <w:t>Corporate</w:t>
                </w:r>
                <w:r>
                  <w:rPr>
                    <w:rFonts w:ascii="Arial"/>
                    <w:b/>
                    <w:color w:val="464646"/>
                    <w:spacing w:val="23"/>
                    <w:w w:val="105"/>
                    <w:sz w:val="14"/>
                  </w:rPr>
                  <w:t xml:space="preserve"> </w:t>
                </w:r>
                <w:r>
                  <w:rPr>
                    <w:rFonts w:ascii="Arial"/>
                    <w:b/>
                    <w:color w:val="464646"/>
                    <w:spacing w:val="-2"/>
                    <w:w w:val="105"/>
                    <w:sz w:val="14"/>
                  </w:rPr>
                  <w:t>Address:</w:t>
                </w:r>
              </w:p>
              <w:p w14:paraId="09755BC0" w14:textId="77777777" w:rsidR="008F2A8B" w:rsidRDefault="00000000">
                <w:pPr>
                  <w:ind w:left="3085"/>
                  <w:rPr>
                    <w:sz w:val="12"/>
                  </w:rPr>
                </w:pPr>
                <w:r>
                  <w:rPr>
                    <w:color w:val="7E7E7E"/>
                    <w:w w:val="90"/>
                    <w:sz w:val="12"/>
                  </w:rPr>
                  <w:t>Altimus,</w:t>
                </w:r>
                <w:r>
                  <w:rPr>
                    <w:color w:val="7E7E7E"/>
                    <w:spacing w:val="-1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Level 35, Dr. G.M.</w:t>
                </w:r>
                <w:r>
                  <w:rPr>
                    <w:color w:val="7E7E7E"/>
                    <w:spacing w:val="-4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Bhosale</w:t>
                </w:r>
                <w:r>
                  <w:rPr>
                    <w:color w:val="7E7E7E"/>
                    <w:sz w:val="12"/>
                  </w:rPr>
                  <w:t xml:space="preserve"> Marg,</w:t>
                </w:r>
                <w:r>
                  <w:rPr>
                    <w:color w:val="7E7E7E"/>
                    <w:spacing w:val="-4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 xml:space="preserve">Worli, </w:t>
                </w:r>
                <w:r>
                  <w:rPr>
                    <w:color w:val="7E7E7E"/>
                    <w:w w:val="107"/>
                    <w:sz w:val="12"/>
                  </w:rPr>
                  <w:t>Mum</w:t>
                </w:r>
                <w:r>
                  <w:rPr>
                    <w:color w:val="7E7E7E"/>
                    <w:w w:val="112"/>
                    <w:sz w:val="12"/>
                  </w:rPr>
                  <w:t>b</w:t>
                </w:r>
                <w:r>
                  <w:rPr>
                    <w:color w:val="7E7E7E"/>
                    <w:w w:val="116"/>
                    <w:sz w:val="12"/>
                  </w:rPr>
                  <w:t>a</w:t>
                </w:r>
                <w:r>
                  <w:rPr>
                    <w:color w:val="7E7E7E"/>
                    <w:w w:val="93"/>
                    <w:sz w:val="12"/>
                  </w:rPr>
                  <w:t>i</w:t>
                </w:r>
                <w:r>
                  <w:rPr>
                    <w:color w:val="7E7E7E"/>
                    <w:w w:val="58"/>
                    <w:sz w:val="12"/>
                  </w:rPr>
                  <w:t>,</w:t>
                </w:r>
                <w:r>
                  <w:rPr>
                    <w:color w:val="7E7E7E"/>
                    <w:sz w:val="12"/>
                  </w:rPr>
                  <w:t xml:space="preserve"> </w:t>
                </w:r>
                <w:r>
                  <w:rPr>
                    <w:color w:val="7E7E7E"/>
                    <w:w w:val="108"/>
                    <w:sz w:val="12"/>
                  </w:rPr>
                  <w:t>Maha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sz w:val="12"/>
                  </w:rPr>
                  <w:t>sh</w:t>
                </w:r>
                <w:r>
                  <w:rPr>
                    <w:color w:val="7E7E7E"/>
                    <w:spacing w:val="-1"/>
                    <w:sz w:val="12"/>
                  </w:rPr>
                  <w:t>t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w w:val="56"/>
                    <w:sz w:val="12"/>
                  </w:rPr>
                  <w:t>,</w:t>
                </w:r>
                <w:r>
                  <w:rPr>
                    <w:color w:val="7E7E7E"/>
                    <w:spacing w:val="-7"/>
                    <w:w w:val="99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India</w:t>
                </w:r>
                <w:r>
                  <w:rPr>
                    <w:color w:val="7E7E7E"/>
                    <w:spacing w:val="-3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400018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0A1B6" w14:textId="77777777" w:rsidR="00560E94" w:rsidRDefault="00560E94">
      <w:r>
        <w:separator/>
      </w:r>
    </w:p>
  </w:footnote>
  <w:footnote w:type="continuationSeparator" w:id="0">
    <w:p w14:paraId="5B348FE4" w14:textId="77777777" w:rsidR="00560E94" w:rsidRDefault="00560E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5504D" w14:textId="77777777" w:rsidR="008F2A8B" w:rsidRDefault="00000000">
    <w:pPr>
      <w:pStyle w:val="BodyText"/>
      <w:spacing w:before="0" w:line="14" w:lineRule="auto"/>
      <w:rPr>
        <w:sz w:val="20"/>
      </w:rPr>
    </w:pPr>
    <w:r>
      <w:pict w14:anchorId="211FBDC6">
        <v:group id="docshapegroup1" o:spid="_x0000_s1029" style="position:absolute;margin-left:0;margin-top:0;width:297pt;height:41.8pt;z-index:-15779328;mso-position-horizontal-relative:page;mso-position-vertical-relative:page" coordsize="5940,836">
          <v:rect id="docshape2" o:spid="_x0000_s1031" style="position:absolute;width:5940;height:836" fillcolor="#1f487c" stroked="f"/>
          <v:line id="_x0000_s1030" style="position:absolute" from="0,830" to="5940,830" strokecolor="#7e7e7e" strokeweight=".5pt">
            <v:stroke dashstyle="3 1"/>
          </v:line>
          <w10:wrap anchorx="page" anchory="page"/>
        </v:group>
      </w:pict>
    </w:r>
    <w:r>
      <w:pict w14:anchorId="59C02B8C">
        <v:shapetype id="_x0000_t202" coordsize="21600,21600" o:spt="202" path="m,l,21600r21600,l21600,xe">
          <v:stroke joinstyle="miter"/>
          <v:path gradientshapeok="t" o:connecttype="rect"/>
        </v:shapetype>
        <v:shape id="docshape3" o:spid="_x0000_s1028" type="#_x0000_t202" style="position:absolute;margin-left:233.55pt;margin-top:9.9pt;width:51.55pt;height:18.45pt;z-index:-15778816;mso-position-horizontal-relative:page;mso-position-vertical-relative:page" filled="f" stroked="f">
          <v:textbox style="mso-next-textbox:#docshape3" inset="0,0,0,0">
            <w:txbxContent>
              <w:p w14:paraId="04169F20" w14:textId="12462CE6" w:rsidR="008F2A8B" w:rsidRDefault="00000000">
                <w:pPr>
                  <w:spacing w:before="25" w:line="276" w:lineRule="auto"/>
                  <w:ind w:left="20" w:right="10" w:firstLine="247"/>
                  <w:rPr>
                    <w:rFonts w:ascii="Trebuchet MS" w:hAnsi="Trebuchet MS"/>
                    <w:sz w:val="12"/>
                  </w:rPr>
                </w:pPr>
                <w:r>
                  <w:rPr>
                    <w:color w:val="FFFFFF"/>
                    <w:spacing w:val="-2"/>
                    <w:w w:val="105"/>
                    <w:sz w:val="12"/>
                  </w:rPr>
                  <w:t>Newsletter</w:t>
                </w:r>
                <w:r>
                  <w:rPr>
                    <w:color w:val="FFFFFF"/>
                    <w:spacing w:val="-11"/>
                    <w:w w:val="105"/>
                    <w:sz w:val="12"/>
                  </w:rPr>
                  <w:t xml:space="preserve"> </w:t>
                </w:r>
                <w:r>
                  <w:rPr>
                    <w:rFonts w:ascii="Trebuchet MS" w:hAnsi="Trebuchet MS"/>
                    <w:color w:val="FFFFFF"/>
                    <w:spacing w:val="-2"/>
                    <w:w w:val="105"/>
                    <w:sz w:val="12"/>
                  </w:rPr>
                  <w:t>–</w:t>
                </w:r>
                <w:r>
                  <w:rPr>
                    <w:rFonts w:ascii="Trebuchet MS" w:hAnsi="Trebuchet MS"/>
                    <w:color w:val="FFFFFF"/>
                    <w:spacing w:val="40"/>
                    <w:w w:val="105"/>
                    <w:sz w:val="12"/>
                  </w:rPr>
                  <w:t xml:space="preserve"> </w:t>
                </w:r>
                <w:r w:rsidR="00B06CAA">
                  <w:rPr>
                    <w:rFonts w:ascii="Trebuchet MS" w:hAnsi="Trebuchet MS"/>
                    <w:color w:val="FFFFFF"/>
                    <w:w w:val="105"/>
                    <w:sz w:val="12"/>
                  </w:rPr>
                  <w:t>Date</w:t>
                </w:r>
                <w:r w:rsidR="00C00A4F">
                  <w:rPr>
                    <w:rFonts w:ascii="Trebuchet MS" w:hAnsi="Trebuchet MS"/>
                    <w:color w:val="FFFFFF"/>
                    <w:w w:val="105"/>
                    <w:sz w:val="12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C5389CE">
        <v:shape id="docshape4" o:spid="_x0000_s1027" type="#_x0000_t202" style="position:absolute;margin-left:12.2pt;margin-top:12.6pt;width:214.2pt;height:26.7pt;z-index:-15778304;mso-position-horizontal-relative:page;mso-position-vertical-relative:page" filled="f" stroked="f">
          <v:textbox style="mso-next-textbox:#docshape4" inset="0,0,0,0">
            <w:txbxContent>
              <w:p w14:paraId="110D2C68" w14:textId="77777777" w:rsidR="008F2A8B" w:rsidRDefault="00000000">
                <w:pPr>
                  <w:spacing w:before="28" w:line="242" w:lineRule="exact"/>
                  <w:ind w:left="20"/>
                  <w:rPr>
                    <w:sz w:val="20"/>
                  </w:rPr>
                </w:pPr>
                <w:r>
                  <w:rPr>
                    <w:color w:val="FFFFFF"/>
                    <w:spacing w:val="-2"/>
                    <w:sz w:val="20"/>
                  </w:rPr>
                  <w:t>Equity</w:t>
                </w:r>
                <w:r>
                  <w:rPr>
                    <w:color w:val="FFFFFF"/>
                    <w:spacing w:val="-10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Capital</w:t>
                </w:r>
                <w:r>
                  <w:rPr>
                    <w:color w:val="FFFFFF"/>
                    <w:spacing w:val="-5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Market</w:t>
                </w:r>
                <w:r>
                  <w:rPr>
                    <w:color w:val="FFFFFF"/>
                    <w:spacing w:val="-7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Updates</w:t>
                </w:r>
                <w:r>
                  <w:rPr>
                    <w:color w:val="FFFFFF"/>
                    <w:spacing w:val="-5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(</w:t>
                </w:r>
                <w:r>
                  <w:rPr>
                    <w:color w:val="FFFFFF"/>
                    <w:spacing w:val="-2"/>
                    <w:sz w:val="20"/>
                  </w:rPr>
                  <w:fldChar w:fldCharType="begin"/>
                </w:r>
                <w:r>
                  <w:rPr>
                    <w:color w:val="FFFFFF"/>
                    <w:spacing w:val="-2"/>
                    <w:sz w:val="20"/>
                  </w:rPr>
                  <w:instrText xml:space="preserve"> PAGE </w:instrText>
                </w:r>
                <w:r>
                  <w:rPr>
                    <w:color w:val="FFFFFF"/>
                    <w:spacing w:val="-2"/>
                    <w:sz w:val="20"/>
                  </w:rPr>
                  <w:fldChar w:fldCharType="separate"/>
                </w:r>
                <w:r>
                  <w:rPr>
                    <w:color w:val="FFFFFF"/>
                    <w:spacing w:val="-2"/>
                    <w:sz w:val="20"/>
                  </w:rPr>
                  <w:t>2</w:t>
                </w:r>
                <w:r>
                  <w:rPr>
                    <w:color w:val="FFFFFF"/>
                    <w:spacing w:val="-2"/>
                    <w:sz w:val="20"/>
                  </w:rPr>
                  <w:fldChar w:fldCharType="end"/>
                </w:r>
                <w:r>
                  <w:rPr>
                    <w:color w:val="FFFFFF"/>
                    <w:spacing w:val="-14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/</w:t>
                </w:r>
                <w:r>
                  <w:rPr>
                    <w:color w:val="FFFFFF"/>
                    <w:spacing w:val="-11"/>
                    <w:sz w:val="20"/>
                  </w:rPr>
                  <w:t xml:space="preserve"> </w:t>
                </w:r>
                <w:r>
                  <w:rPr>
                    <w:color w:val="FFFFFF"/>
                    <w:spacing w:val="-5"/>
                    <w:sz w:val="20"/>
                  </w:rPr>
                  <w:fldChar w:fldCharType="begin"/>
                </w:r>
                <w:r>
                  <w:rPr>
                    <w:color w:val="FFFFFF"/>
                    <w:spacing w:val="-5"/>
                    <w:sz w:val="20"/>
                  </w:rPr>
                  <w:instrText xml:space="preserve"> NUMPAGES </w:instrText>
                </w:r>
                <w:r>
                  <w:rPr>
                    <w:color w:val="FFFFFF"/>
                    <w:spacing w:val="-5"/>
                    <w:sz w:val="20"/>
                  </w:rPr>
                  <w:fldChar w:fldCharType="separate"/>
                </w:r>
                <w:r>
                  <w:rPr>
                    <w:color w:val="FFFFFF"/>
                    <w:spacing w:val="-5"/>
                    <w:sz w:val="20"/>
                  </w:rPr>
                  <w:t>2</w:t>
                </w:r>
                <w:r>
                  <w:rPr>
                    <w:color w:val="FFFFFF"/>
                    <w:spacing w:val="-5"/>
                    <w:sz w:val="20"/>
                  </w:rPr>
                  <w:fldChar w:fldCharType="end"/>
                </w:r>
                <w:r>
                  <w:rPr>
                    <w:color w:val="FFFFFF"/>
                    <w:spacing w:val="-5"/>
                    <w:sz w:val="20"/>
                  </w:rPr>
                  <w:t>)</w:t>
                </w:r>
              </w:p>
              <w:p w14:paraId="416D5E6F" w14:textId="77777777" w:rsidR="008F2A8B" w:rsidRDefault="00000000">
                <w:pPr>
                  <w:spacing w:line="218" w:lineRule="exact"/>
                  <w:ind w:left="20"/>
                  <w:rPr>
                    <w:sz w:val="18"/>
                  </w:rPr>
                </w:pPr>
                <w:r>
                  <w:rPr>
                    <w:color w:val="FFFFFF"/>
                    <w:w w:val="95"/>
                    <w:sz w:val="18"/>
                  </w:rPr>
                  <w:t>M&amp;A</w:t>
                </w:r>
                <w:r>
                  <w:rPr>
                    <w:color w:val="FFFFFF"/>
                    <w:spacing w:val="2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Momentum,</w:t>
                </w:r>
                <w:r>
                  <w:rPr>
                    <w:color w:val="FFFFFF"/>
                    <w:spacing w:val="-1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AI</w:t>
                </w:r>
                <w:r>
                  <w:rPr>
                    <w:color w:val="FFFFFF"/>
                    <w:spacing w:val="3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Bets</w:t>
                </w:r>
                <w:r>
                  <w:rPr>
                    <w:color w:val="FFFFFF"/>
                    <w:spacing w:val="5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&amp;</w:t>
                </w:r>
                <w:r>
                  <w:rPr>
                    <w:color w:val="FFFFFF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Macro</w:t>
                </w:r>
                <w:r>
                  <w:rPr>
                    <w:color w:val="FFFFFF"/>
                    <w:spacing w:val="1"/>
                    <w:sz w:val="18"/>
                  </w:rPr>
                  <w:t xml:space="preserve"> </w:t>
                </w:r>
                <w:r>
                  <w:rPr>
                    <w:color w:val="FFFFFF"/>
                    <w:spacing w:val="-2"/>
                    <w:w w:val="95"/>
                    <w:sz w:val="18"/>
                  </w:rPr>
                  <w:t>Repositioning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42C8"/>
    <w:multiLevelType w:val="hybridMultilevel"/>
    <w:tmpl w:val="67BADE0C"/>
    <w:lvl w:ilvl="0" w:tplc="40090001">
      <w:start w:val="1"/>
      <w:numFmt w:val="bullet"/>
      <w:lvlText w:val=""/>
      <w:lvlJc w:val="left"/>
      <w:pPr>
        <w:ind w:left="10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4" w:hanging="360"/>
      </w:pPr>
      <w:rPr>
        <w:rFonts w:ascii="Wingdings" w:hAnsi="Wingdings" w:hint="default"/>
      </w:rPr>
    </w:lvl>
  </w:abstractNum>
  <w:abstractNum w:abstractNumId="1" w15:restartNumberingAfterBreak="0">
    <w:nsid w:val="07E86DB5"/>
    <w:multiLevelType w:val="hybridMultilevel"/>
    <w:tmpl w:val="2FC2A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909E3"/>
    <w:multiLevelType w:val="hybridMultilevel"/>
    <w:tmpl w:val="0A782332"/>
    <w:lvl w:ilvl="0" w:tplc="40090001">
      <w:start w:val="1"/>
      <w:numFmt w:val="bullet"/>
      <w:lvlText w:val=""/>
      <w:lvlJc w:val="left"/>
      <w:pPr>
        <w:ind w:left="10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4" w:hanging="360"/>
      </w:pPr>
      <w:rPr>
        <w:rFonts w:ascii="Wingdings" w:hAnsi="Wingdings" w:hint="default"/>
      </w:rPr>
    </w:lvl>
  </w:abstractNum>
  <w:abstractNum w:abstractNumId="3" w15:restartNumberingAfterBreak="0">
    <w:nsid w:val="5D636B32"/>
    <w:multiLevelType w:val="hybridMultilevel"/>
    <w:tmpl w:val="5D52A956"/>
    <w:lvl w:ilvl="0" w:tplc="40090001">
      <w:start w:val="1"/>
      <w:numFmt w:val="bullet"/>
      <w:lvlText w:val=""/>
      <w:lvlJc w:val="left"/>
      <w:pPr>
        <w:ind w:left="6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24" w:hanging="360"/>
      </w:pPr>
      <w:rPr>
        <w:rFonts w:ascii="Wingdings" w:hAnsi="Wingdings" w:hint="default"/>
      </w:rPr>
    </w:lvl>
  </w:abstractNum>
  <w:abstractNum w:abstractNumId="4" w15:restartNumberingAfterBreak="0">
    <w:nsid w:val="6E4D4CF8"/>
    <w:multiLevelType w:val="hybridMultilevel"/>
    <w:tmpl w:val="F99A3EF6"/>
    <w:lvl w:ilvl="0" w:tplc="CE483C36">
      <w:numFmt w:val="bullet"/>
      <w:lvlText w:val="•"/>
      <w:lvlJc w:val="left"/>
      <w:pPr>
        <w:ind w:left="493" w:hanging="140"/>
      </w:pPr>
      <w:rPr>
        <w:rFonts w:ascii="Arial" w:eastAsia="Arial" w:hAnsi="Arial" w:cs="Arial" w:hint="default"/>
        <w:b w:val="0"/>
        <w:bCs w:val="0"/>
        <w:i w:val="0"/>
        <w:iCs w:val="0"/>
        <w:color w:val="1F487C"/>
        <w:w w:val="99"/>
        <w:sz w:val="20"/>
        <w:szCs w:val="20"/>
        <w:lang w:val="en-US" w:eastAsia="en-US" w:bidi="ar-SA"/>
      </w:rPr>
    </w:lvl>
    <w:lvl w:ilvl="1" w:tplc="6D6AE0E0">
      <w:numFmt w:val="bullet"/>
      <w:lvlText w:val="•"/>
      <w:lvlJc w:val="left"/>
      <w:pPr>
        <w:ind w:left="1044" w:hanging="140"/>
      </w:pPr>
      <w:rPr>
        <w:rFonts w:hint="default"/>
        <w:lang w:val="en-US" w:eastAsia="en-US" w:bidi="ar-SA"/>
      </w:rPr>
    </w:lvl>
    <w:lvl w:ilvl="2" w:tplc="846EFC5E">
      <w:numFmt w:val="bullet"/>
      <w:lvlText w:val="•"/>
      <w:lvlJc w:val="left"/>
      <w:pPr>
        <w:ind w:left="1588" w:hanging="140"/>
      </w:pPr>
      <w:rPr>
        <w:rFonts w:hint="default"/>
        <w:lang w:val="en-US" w:eastAsia="en-US" w:bidi="ar-SA"/>
      </w:rPr>
    </w:lvl>
    <w:lvl w:ilvl="3" w:tplc="60C0266A">
      <w:numFmt w:val="bullet"/>
      <w:lvlText w:val="•"/>
      <w:lvlJc w:val="left"/>
      <w:pPr>
        <w:ind w:left="2132" w:hanging="140"/>
      </w:pPr>
      <w:rPr>
        <w:rFonts w:hint="default"/>
        <w:lang w:val="en-US" w:eastAsia="en-US" w:bidi="ar-SA"/>
      </w:rPr>
    </w:lvl>
    <w:lvl w:ilvl="4" w:tplc="0ABC4982">
      <w:numFmt w:val="bullet"/>
      <w:lvlText w:val="•"/>
      <w:lvlJc w:val="left"/>
      <w:pPr>
        <w:ind w:left="2676" w:hanging="140"/>
      </w:pPr>
      <w:rPr>
        <w:rFonts w:hint="default"/>
        <w:lang w:val="en-US" w:eastAsia="en-US" w:bidi="ar-SA"/>
      </w:rPr>
    </w:lvl>
    <w:lvl w:ilvl="5" w:tplc="6A8E4EF6">
      <w:numFmt w:val="bullet"/>
      <w:lvlText w:val="•"/>
      <w:lvlJc w:val="left"/>
      <w:pPr>
        <w:ind w:left="3220" w:hanging="140"/>
      </w:pPr>
      <w:rPr>
        <w:rFonts w:hint="default"/>
        <w:lang w:val="en-US" w:eastAsia="en-US" w:bidi="ar-SA"/>
      </w:rPr>
    </w:lvl>
    <w:lvl w:ilvl="6" w:tplc="B07E485C">
      <w:numFmt w:val="bullet"/>
      <w:lvlText w:val="•"/>
      <w:lvlJc w:val="left"/>
      <w:pPr>
        <w:ind w:left="3764" w:hanging="140"/>
      </w:pPr>
      <w:rPr>
        <w:rFonts w:hint="default"/>
        <w:lang w:val="en-US" w:eastAsia="en-US" w:bidi="ar-SA"/>
      </w:rPr>
    </w:lvl>
    <w:lvl w:ilvl="7" w:tplc="8878FEB2">
      <w:numFmt w:val="bullet"/>
      <w:lvlText w:val="•"/>
      <w:lvlJc w:val="left"/>
      <w:pPr>
        <w:ind w:left="4308" w:hanging="140"/>
      </w:pPr>
      <w:rPr>
        <w:rFonts w:hint="default"/>
        <w:lang w:val="en-US" w:eastAsia="en-US" w:bidi="ar-SA"/>
      </w:rPr>
    </w:lvl>
    <w:lvl w:ilvl="8" w:tplc="8F8EA140">
      <w:numFmt w:val="bullet"/>
      <w:lvlText w:val="•"/>
      <w:lvlJc w:val="left"/>
      <w:pPr>
        <w:ind w:left="4852" w:hanging="140"/>
      </w:pPr>
      <w:rPr>
        <w:rFonts w:hint="default"/>
        <w:lang w:val="en-US" w:eastAsia="en-US" w:bidi="ar-SA"/>
      </w:rPr>
    </w:lvl>
  </w:abstractNum>
  <w:num w:numId="1" w16cid:durableId="1100417652">
    <w:abstractNumId w:val="4"/>
  </w:num>
  <w:num w:numId="2" w16cid:durableId="2102287209">
    <w:abstractNumId w:val="2"/>
  </w:num>
  <w:num w:numId="3" w16cid:durableId="1512178120">
    <w:abstractNumId w:val="1"/>
  </w:num>
  <w:num w:numId="4" w16cid:durableId="257102995">
    <w:abstractNumId w:val="0"/>
  </w:num>
  <w:num w:numId="5" w16cid:durableId="15046659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F2A8B"/>
    <w:rsid w:val="00011AD9"/>
    <w:rsid w:val="00061945"/>
    <w:rsid w:val="00067E96"/>
    <w:rsid w:val="00157EAB"/>
    <w:rsid w:val="00276DF2"/>
    <w:rsid w:val="004F59D8"/>
    <w:rsid w:val="0051382F"/>
    <w:rsid w:val="00560E94"/>
    <w:rsid w:val="005E1F9E"/>
    <w:rsid w:val="00627767"/>
    <w:rsid w:val="0075162F"/>
    <w:rsid w:val="008F2A8B"/>
    <w:rsid w:val="009174EC"/>
    <w:rsid w:val="0097173D"/>
    <w:rsid w:val="009B125D"/>
    <w:rsid w:val="00B06CAA"/>
    <w:rsid w:val="00B94133"/>
    <w:rsid w:val="00C00A4F"/>
    <w:rsid w:val="00CA5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0E6CE2"/>
  <w15:docId w15:val="{23131380-70C5-4CBC-8708-2FCA7C51E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ind w:left="493"/>
      <w:outlineLvl w:val="0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7"/>
    </w:pPr>
    <w:rPr>
      <w:sz w:val="14"/>
      <w:szCs w:val="14"/>
    </w:rPr>
  </w:style>
  <w:style w:type="paragraph" w:styleId="Title">
    <w:name w:val="Title"/>
    <w:basedOn w:val="Normal"/>
    <w:uiPriority w:val="10"/>
    <w:qFormat/>
    <w:pPr>
      <w:spacing w:before="28" w:line="242" w:lineRule="exact"/>
      <w:ind w:left="2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0"/>
      <w:ind w:left="493" w:hanging="1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06CAA"/>
    <w:rPr>
      <w:rFonts w:ascii="Arial" w:eastAsia="Arial" w:hAnsi="Arial" w:cs="Arial"/>
      <w:b/>
      <w:bCs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06CAA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06CAA"/>
    <w:rPr>
      <w:rFonts w:ascii="Verdana" w:eastAsia="Verdana" w:hAnsi="Verdana" w:cs="Verdan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Yash Punmiya</cp:lastModifiedBy>
  <cp:revision>8</cp:revision>
  <dcterms:created xsi:type="dcterms:W3CDTF">2026-03-14T14:14:00Z</dcterms:created>
  <dcterms:modified xsi:type="dcterms:W3CDTF">2026-03-14T11:59:00Z</dcterms:modified>
  <dc:creator/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2026-03-14T00:00:00Z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PowerPoint® LTSC</vt:lpwstr>
  </property>
</Properties>
</file>