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4F81BD"/>
        </w:rPr>
        <w:t>Equity Capital Market Updates</w:t>
      </w:r>
    </w:p>
    <w:p>
      <w:r>
        <w:rPr>
          <w:color w:val="7F7F7F"/>
        </w:rPr>
        <w:t>M&amp;A Momentum, AI Bets &amp; Macro Repositioning</w:t>
        <w:br/>
      </w:r>
    </w:p>
    <w:p>
      <w:pPr>
        <w:pStyle w:val="Heading1"/>
      </w:pPr>
      <w:r>
        <w:t>Executive Overview:</w:t>
      </w:r>
    </w:p>
    <w:p>
      <w:pPr>
        <w:pStyle w:val="ListBullet"/>
      </w:pPr>
      <w:r>
        <w:t>The Indian real estate investment trust (REIT) market has seen substantial growth, expanding sixfold since FY20, driven by new listings and strong unit price appreciation.</w:t>
      </w:r>
    </w:p>
    <w:p>
      <w:pPr>
        <w:pStyle w:val="ListBullet"/>
      </w:pPr>
      <w:r>
        <w:t>Despite this, the broader equity market is experiencing significant selling pressure, with major indices breaching key support levels amid global volatility and rising oil prices.</w:t>
      </w:r>
    </w:p>
    <w:p>
      <w:pPr>
        <w:pStyle w:val="ListBullet"/>
      </w:pPr>
      <w:r>
        <w:t>Institutional capital remains robust, with Systematic Investment Funds (SIFs) nearing R10K crore in assets and new schemes rolling out, alongside strong IPO activity evidenced by InnoVision's 130% oversubscription.</w:t>
      </w:r>
    </w:p>
    <w:p>
      <w:pPr>
        <w:pStyle w:val="ListBullet"/>
      </w:pPr>
      <w:r>
        <w:t>Regulatory measures, such as Sebi's new conditions for intraday borrowings by MFs, are influencing market operations and liquidity.</w:t>
      </w:r>
    </w:p>
    <w:p>
      <w:pPr>
        <w:pStyle w:val="ListBullet"/>
      </w:pPr>
      <w:r>
        <w:t>M&amp;A activity continues in the real estate sector, with notable project acquisitions like Godrej Properties' purchase in Coimbatore.</w:t>
      </w:r>
    </w:p>
    <w:p>
      <w:r>
        <w:br/>
      </w:r>
    </w:p>
    <w:p>
      <w:pPr>
        <w:pStyle w:val="Heading1"/>
      </w:pPr>
      <w:r>
        <w:t>Details:</w:t>
      </w:r>
    </w:p>
    <w:p>
      <w:pPr>
        <w:pStyle w:val="Heading2"/>
      </w:pPr>
      <w:r>
        <w:rPr>
          <w:color w:val="1F4E79"/>
          <w:sz w:val="24"/>
        </w:rPr>
        <w:t>Reit market expands sixfold since FY20 on new listings, price growth</w:t>
      </w:r>
    </w:p>
    <w:p>
      <w:r>
        <w:t>India's Real Estate Investment Trust (REIT) market has grown over six-fold, from R271 billion in FY20 to R1,726 billion in the first nine months of FY26.</w:t>
      </w:r>
    </w:p>
    <w:p>
      <w:r>
        <w:t>This expansion is attributed to a surge in new listings and consistent unit price appreciation across existing REITs, with four recording over 20% Y-o-Y growth.</w:t>
      </w:r>
    </w:p>
    <w:p>
      <w:r>
        <w:t>The regulatory framework is evolving to enable broader equity market participation, with expectations for accelerated portfolio expansion and new listings, potentially including SM REITs exceeding $75 billion.</w:t>
      </w:r>
    </w:p>
    <w:p>
      <w:pPr>
        <w:jc w:val="center"/>
      </w:pPr>
      <w:r>
        <w:t>________________________________________________________________________________</w:t>
      </w:r>
    </w:p>
    <w:p>
      <w:pPr>
        <w:pStyle w:val="Heading2"/>
      </w:pPr>
      <w:r>
        <w:rPr>
          <w:color w:val="1F4E79"/>
          <w:sz w:val="24"/>
        </w:rPr>
        <w:t>Goodrej Properties buys project in Coimbatore</w:t>
      </w:r>
    </w:p>
    <w:p>
      <w:r>
        <w:t>Godrej Properties has acquired a new residential project in Coimbatore, Tamil Nadu, spanning 5.3 acres.</w:t>
      </w:r>
    </w:p>
    <w:p>
      <w:r>
        <w:t>The project, with an estimated developable area of 1.3 million square feet, has an approximate revenue potential of R1,000 crore.</w:t>
      </w:r>
    </w:p>
    <w:p>
      <w:r>
        <w:t>This acquisition marks the company's first project in the Coimbatore market, aligning with its strategy to expand its portfolio.</w:t>
      </w:r>
    </w:p>
    <w:p>
      <w:pPr>
        <w:jc w:val="center"/>
      </w:pPr>
      <w:r>
        <w:t>________________________________________________________________________________</w:t>
      </w:r>
    </w:p>
    <w:p>
      <w:pPr>
        <w:pStyle w:val="Heading2"/>
      </w:pPr>
      <w:r>
        <w:rPr>
          <w:color w:val="1F4E79"/>
          <w:sz w:val="24"/>
        </w:rPr>
        <w:t>SICAI Logisitics Limited: BASIS OF ALLOTMENT</w:t>
      </w:r>
    </w:p>
    <w:p>
      <w:r>
        <w:t>SICAI Logisitics Limited has completed the allotment of 1,77,10,247 Equity Shares for its Initial Public Offering (IPO).</w:t>
      </w:r>
    </w:p>
    <w:p>
      <w:r>
        <w:t>The public issue was subscribed 1.90 times overall, with retail individual investors subscribing 1.71 times and qualified institutional buyers 2.76 times.</w:t>
      </w:r>
    </w:p>
    <w:p>
      <w:r>
        <w:t>The shares were allotted at an issue price of R48 per share, including a premium of R38.</w:t>
      </w:r>
    </w:p>
    <w:p>
      <w:pPr>
        <w:jc w:val="center"/>
      </w:pPr>
      <w:r>
        <w:t>________________________________________________________________________________</w:t>
      </w:r>
    </w:p>
    <w:p>
      <w:pPr>
        <w:pStyle w:val="Heading2"/>
      </w:pPr>
      <w:r>
        <w:rPr>
          <w:color w:val="1F4E79"/>
          <w:sz w:val="24"/>
        </w:rPr>
        <w:t>SIF assets near R10K cr as more schemes roll out</w:t>
      </w:r>
    </w:p>
    <w:p>
      <w:r>
        <w:t>Systematic Investment Fund (SIF) assets under management (AUM) are nearing R10,000 crore, reflecting robust institutional capital flow.</w:t>
      </w:r>
    </w:p>
    <w:p>
      <w:r>
        <w:t>This growth is driven by the launch of new SIF schemes and steady unit price appreciation.</w:t>
      </w:r>
    </w:p>
    <w:p>
      <w:r>
        <w:t>The expansion signifies increased investor confidence and participation in structured investment products within the ECM.</w:t>
      </w:r>
    </w:p>
    <w:p>
      <w:pPr>
        <w:jc w:val="center"/>
      </w:pPr>
      <w:r>
        <w:t>________________________________________________________________________________</w:t>
      </w:r>
    </w:p>
    <w:p>
      <w:pPr>
        <w:pStyle w:val="Heading2"/>
      </w:pPr>
      <w:r>
        <w:rPr>
          <w:color w:val="1F4E79"/>
          <w:sz w:val="24"/>
        </w:rPr>
        <w:t>Sebi sets conditions for intraday borrowings by MFs</w:t>
      </w:r>
    </w:p>
    <w:p>
      <w:r>
        <w:t>Sebi has introduced new regulations for mutual funds regarding intraday borrowings, aiming to enhance market stability and transparency.</w:t>
      </w:r>
    </w:p>
    <w:p>
      <w:r>
        <w:t>The conditions specify limits and reporting requirements for short-term financing obtained by MFs for liquidity management.</w:t>
      </w:r>
    </w:p>
    <w:p>
      <w:r>
        <w:t>This move is expected to impact fund management strategies and potentially influence the cost of capital for MFs.</w:t>
      </w:r>
    </w:p>
    <w:p>
      <w:pPr>
        <w:jc w:val="center"/>
      </w:pPr>
      <w:r>
        <w:t>________________________________________________________________________________</w:t>
      </w:r>
    </w:p>
    <w:p>
      <w:pPr>
        <w:pStyle w:val="Heading2"/>
      </w:pPr>
      <w:r>
        <w:rPr>
          <w:color w:val="1F4E79"/>
          <w:sz w:val="24"/>
        </w:rPr>
        <w:t>InnoVision IPO subscribed 130 pc</w:t>
      </w:r>
    </w:p>
    <w:p>
      <w:r>
        <w:t>The Initial Public Offering (IPO) of InnoVision has been oversubscribed by 130 percent, demonstrating strong investor demand.</w:t>
      </w:r>
    </w:p>
    <w:p>
      <w:r>
        <w:t>The IPO received bids for over 1.3 times the number of shares offered, indicating significant market interest in the company.</w:t>
      </w:r>
    </w:p>
    <w:p>
      <w:r>
        <w:t>The successful subscription highlights a positive sentiment for new listings in the Equity Capital Markets.</w:t>
      </w:r>
    </w:p>
    <w:p>
      <w:pPr>
        <w:jc w:val="center"/>
      </w:pPr>
      <w:r>
        <w:t>________________________________________________________________________________</w:t>
      </w:r>
    </w:p>
    <w:p>
      <w:pPr>
        <w:pStyle w:val="Heading2"/>
      </w:pPr>
      <w:r>
        <w:rPr>
          <w:color w:val="1F4E79"/>
          <w:sz w:val="24"/>
        </w:rPr>
        <w:t>Selling pressure may worsen as indices breach key levels</w:t>
      </w:r>
    </w:p>
    <w:p>
      <w:r>
        <w:t>Indian equity indices are facing intensified selling pressure, with key benchmarks like the Nifty 50 breaching critical support levels.</w:t>
      </w:r>
    </w:p>
    <w:p>
      <w:r>
        <w:t>The market sentiment is bearish, influenced by global volatility, rising crude oil prices, and the ongoing West Asia conflict.</w:t>
      </w:r>
    </w:p>
    <w:p>
      <w:r>
        <w:t>Analysts warn of potential further declines if these macro headwinds persist, advising caution for investors.</w:t>
      </w:r>
    </w:p>
    <w:p>
      <w:pPr>
        <w:jc w:val="center"/>
      </w:pPr>
      <w:r>
        <w:t>________________________________________________________________________________</w:t>
      </w:r>
    </w:p>
    <w:p>
      <w:r>
        <w:br w:type="page"/>
      </w:r>
    </w:p>
    <w:p>
      <w:pPr>
        <w:pStyle w:val="Heading1"/>
      </w:pPr>
      <w:r>
        <w:t>Disclaimer</w:t>
      </w:r>
    </w:p>
    <w:p>
      <w:r>
        <w:t>This research summary is based on publicly available news sources and is intended solely for informational purposes. While reasonable care has been taken to ensure accuracy, the information may be incomplete or subject to change. This document should not be considered as investment advice or a recommendation to buy or sell any securities.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