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186"/>
        <w:ind w:left="304"/>
      </w:pPr>
      <w:r>
        <w:rPr/>
        <w:pict>
          <v:group style="position:absolute;margin-left:0pt;margin-top:5.106239pt;width:297pt;height:132.5pt;mso-position-horizontal-relative:page;mso-position-vertical-relative:paragraph;z-index:-15778304" id="docshapegroup6" coordorigin="0,102" coordsize="5940,2650">
            <v:shape style="position:absolute;left:0;top:102;width:5940;height:2650" type="#_x0000_t75" id="docshape7" stroked="false">
              <v:imagedata r:id="rId7" o:title=""/>
            </v:shape>
            <v:rect style="position:absolute;left:0;top:114;width:5940;height:2532" id="docshape8" filled="true" fillcolor="#f1f1f1" stroked="false">
              <v:fill type="solid"/>
            </v:rect>
            <w10:wrap type="none"/>
          </v:group>
        </w:pict>
      </w:r>
      <w:r>
        <w:rPr>
          <w:color w:val="1F487C"/>
          <w:w w:val="105"/>
        </w:rPr>
        <w:t>Executive</w:t>
      </w:r>
      <w:r>
        <w:rPr>
          <w:color w:val="1F487C"/>
          <w:spacing w:val="-8"/>
          <w:w w:val="105"/>
        </w:rPr>
        <w:t> </w:t>
      </w:r>
      <w:r>
        <w:rPr>
          <w:color w:val="1F487C"/>
          <w:spacing w:val="-2"/>
          <w:w w:val="105"/>
        </w:rPr>
        <w:t>Overview:</w:t>
      </w:r>
    </w:p>
    <w:p>
      <w:pPr>
        <w:pStyle w:val="ListParagraph"/>
        <w:numPr>
          <w:ilvl w:val="0"/>
          <w:numId w:val="1"/>
        </w:numPr>
        <w:tabs>
          <w:tab w:pos="494" w:val="left" w:leader="none"/>
        </w:tabs>
        <w:spacing w:line="232" w:lineRule="auto" w:before="151" w:after="0"/>
        <w:ind w:left="493" w:right="470" w:hanging="140"/>
        <w:jc w:val="both"/>
        <w:rPr>
          <w:sz w:val="16"/>
        </w:rPr>
      </w:pPr>
      <w:r>
        <w:rPr>
          <w:rFonts w:ascii="Arial" w:hAnsi="Arial"/>
          <w:b/>
          <w:color w:val="1F487C"/>
          <w:sz w:val="16"/>
        </w:rPr>
        <w:t>Deal</w:t>
      </w:r>
      <w:r>
        <w:rPr>
          <w:rFonts w:ascii="Arial" w:hAnsi="Arial"/>
          <w:b/>
          <w:color w:val="1F487C"/>
          <w:spacing w:val="40"/>
          <w:sz w:val="16"/>
        </w:rPr>
        <w:t> </w:t>
      </w:r>
      <w:r>
        <w:rPr>
          <w:rFonts w:ascii="Arial" w:hAnsi="Arial"/>
          <w:b/>
          <w:color w:val="1F487C"/>
          <w:sz w:val="16"/>
        </w:rPr>
        <w:t>activity</w:t>
      </w:r>
      <w:r>
        <w:rPr>
          <w:rFonts w:ascii="Arial" w:hAnsi="Arial"/>
          <w:b/>
          <w:color w:val="1F487C"/>
          <w:spacing w:val="40"/>
          <w:sz w:val="16"/>
        </w:rPr>
        <w:t> </w:t>
      </w:r>
      <w:r>
        <w:rPr>
          <w:rFonts w:ascii="Arial" w:hAnsi="Arial"/>
          <w:b/>
          <w:color w:val="1F487C"/>
          <w:sz w:val="16"/>
        </w:rPr>
        <w:t>is</w:t>
      </w:r>
      <w:r>
        <w:rPr>
          <w:rFonts w:ascii="Arial" w:hAnsi="Arial"/>
          <w:b/>
          <w:color w:val="1F487C"/>
          <w:spacing w:val="40"/>
          <w:sz w:val="16"/>
        </w:rPr>
        <w:t> </w:t>
      </w:r>
      <w:r>
        <w:rPr>
          <w:rFonts w:ascii="Arial" w:hAnsi="Arial"/>
          <w:b/>
          <w:color w:val="1F487C"/>
          <w:sz w:val="16"/>
        </w:rPr>
        <w:t>accelerating</w:t>
      </w:r>
      <w:r>
        <w:rPr>
          <w:rFonts w:ascii="Arial" w:hAnsi="Arial"/>
          <w:b/>
          <w:color w:val="1F487C"/>
          <w:spacing w:val="40"/>
          <w:sz w:val="16"/>
        </w:rPr>
        <w:t> </w:t>
      </w:r>
      <w:r>
        <w:rPr>
          <w:sz w:val="16"/>
        </w:rPr>
        <w:t>across</w:t>
      </w:r>
      <w:r>
        <w:rPr>
          <w:spacing w:val="40"/>
          <w:sz w:val="16"/>
        </w:rPr>
        <w:t> </w:t>
      </w:r>
      <w:r>
        <w:rPr>
          <w:sz w:val="16"/>
        </w:rPr>
        <w:t>RE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commercial assets, with strategic consolidation and joint developments gaining</w:t>
      </w:r>
      <w:r>
        <w:rPr>
          <w:spacing w:val="-12"/>
          <w:sz w:val="16"/>
        </w:rPr>
        <w:t> </w:t>
      </w:r>
      <w:r>
        <w:rPr>
          <w:sz w:val="16"/>
        </w:rPr>
        <w:t>momentum.</w:t>
      </w:r>
    </w:p>
    <w:p>
      <w:pPr>
        <w:pStyle w:val="Heading1"/>
        <w:numPr>
          <w:ilvl w:val="0"/>
          <w:numId w:val="1"/>
        </w:numPr>
        <w:tabs>
          <w:tab w:pos="494" w:val="left" w:leader="none"/>
        </w:tabs>
        <w:spacing w:line="225" w:lineRule="exact" w:before="30" w:after="0"/>
        <w:ind w:left="493" w:right="0" w:hanging="140"/>
        <w:jc w:val="left"/>
      </w:pPr>
      <w:r>
        <w:rPr>
          <w:color w:val="1F487C"/>
          <w:w w:val="110"/>
        </w:rPr>
        <w:t>Institutional</w:t>
      </w:r>
      <w:r>
        <w:rPr>
          <w:color w:val="1F487C"/>
          <w:spacing w:val="75"/>
          <w:w w:val="150"/>
        </w:rPr>
        <w:t> </w:t>
      </w:r>
      <w:r>
        <w:rPr>
          <w:color w:val="1F487C"/>
          <w:w w:val="110"/>
        </w:rPr>
        <w:t>capital</w:t>
      </w:r>
      <w:r>
        <w:rPr>
          <w:color w:val="1F487C"/>
          <w:spacing w:val="76"/>
          <w:w w:val="150"/>
        </w:rPr>
        <w:t> </w:t>
      </w:r>
      <w:r>
        <w:rPr>
          <w:color w:val="1F487C"/>
          <w:w w:val="110"/>
        </w:rPr>
        <w:t>is</w:t>
      </w:r>
      <w:r>
        <w:rPr>
          <w:color w:val="1F487C"/>
          <w:spacing w:val="74"/>
          <w:w w:val="150"/>
        </w:rPr>
        <w:t> </w:t>
      </w:r>
      <w:r>
        <w:rPr>
          <w:color w:val="1F487C"/>
          <w:w w:val="110"/>
        </w:rPr>
        <w:t>rotating</w:t>
      </w:r>
      <w:r>
        <w:rPr>
          <w:color w:val="1F487C"/>
          <w:spacing w:val="74"/>
          <w:w w:val="150"/>
        </w:rPr>
        <w:t> </w:t>
      </w:r>
      <w:r>
        <w:rPr>
          <w:color w:val="1F487C"/>
          <w:w w:val="110"/>
        </w:rPr>
        <w:t>toward</w:t>
      </w:r>
      <w:r>
        <w:rPr>
          <w:color w:val="1F487C"/>
          <w:spacing w:val="73"/>
          <w:w w:val="150"/>
        </w:rPr>
        <w:t> </w:t>
      </w:r>
      <w:r>
        <w:rPr>
          <w:color w:val="1F487C"/>
          <w:w w:val="110"/>
        </w:rPr>
        <w:t>AI</w:t>
      </w:r>
      <w:r>
        <w:rPr>
          <w:color w:val="1F487C"/>
          <w:spacing w:val="75"/>
          <w:w w:val="150"/>
        </w:rPr>
        <w:t> </w:t>
      </w:r>
      <w:r>
        <w:rPr>
          <w:color w:val="1F487C"/>
          <w:w w:val="110"/>
        </w:rPr>
        <w:t>and</w:t>
      </w:r>
      <w:r>
        <w:rPr>
          <w:color w:val="1F487C"/>
          <w:spacing w:val="74"/>
          <w:w w:val="150"/>
        </w:rPr>
        <w:t> </w:t>
      </w:r>
      <w:r>
        <w:rPr>
          <w:color w:val="1F487C"/>
          <w:spacing w:val="-2"/>
          <w:w w:val="110"/>
        </w:rPr>
        <w:t>digital</w:t>
      </w:r>
    </w:p>
    <w:p>
      <w:pPr>
        <w:spacing w:line="189" w:lineRule="exact" w:before="0"/>
        <w:ind w:left="493" w:right="0" w:firstLine="0"/>
        <w:jc w:val="left"/>
        <w:rPr>
          <w:sz w:val="16"/>
        </w:rPr>
      </w:pPr>
      <w:r>
        <w:rPr>
          <w:rFonts w:ascii="Arial"/>
          <w:b/>
          <w:color w:val="1F487C"/>
          <w:spacing w:val="-2"/>
          <w:w w:val="108"/>
          <w:sz w:val="16"/>
        </w:rPr>
        <w:t>i</w:t>
      </w:r>
      <w:r>
        <w:rPr>
          <w:rFonts w:ascii="Arial"/>
          <w:b/>
          <w:color w:val="1F487C"/>
          <w:spacing w:val="-2"/>
          <w:w w:val="112"/>
          <w:sz w:val="16"/>
        </w:rPr>
        <w:t>n</w:t>
      </w:r>
      <w:r>
        <w:rPr>
          <w:rFonts w:ascii="Arial"/>
          <w:b/>
          <w:color w:val="1F487C"/>
          <w:spacing w:val="-3"/>
          <w:w w:val="112"/>
          <w:sz w:val="16"/>
        </w:rPr>
        <w:t>f</w:t>
      </w:r>
      <w:r>
        <w:rPr>
          <w:rFonts w:ascii="Arial"/>
          <w:b/>
          <w:color w:val="1F487C"/>
          <w:spacing w:val="-2"/>
          <w:w w:val="112"/>
          <w:sz w:val="16"/>
        </w:rPr>
        <w:t>r</w:t>
      </w:r>
      <w:r>
        <w:rPr>
          <w:rFonts w:ascii="Arial"/>
          <w:b/>
          <w:color w:val="1F487C"/>
          <w:spacing w:val="-4"/>
          <w:w w:val="124"/>
          <w:sz w:val="16"/>
        </w:rPr>
        <w:t>a</w:t>
      </w:r>
      <w:r>
        <w:rPr>
          <w:rFonts w:ascii="Arial"/>
          <w:b/>
          <w:color w:val="1F487C"/>
          <w:spacing w:val="-3"/>
          <w:w w:val="102"/>
          <w:sz w:val="16"/>
        </w:rPr>
        <w:t>s</w:t>
      </w:r>
      <w:r>
        <w:rPr>
          <w:rFonts w:ascii="Arial"/>
          <w:b/>
          <w:color w:val="1F487C"/>
          <w:spacing w:val="-3"/>
          <w:w w:val="124"/>
          <w:sz w:val="16"/>
        </w:rPr>
        <w:t>t</w:t>
      </w:r>
      <w:r>
        <w:rPr>
          <w:rFonts w:ascii="Arial"/>
          <w:b/>
          <w:color w:val="1F487C"/>
          <w:spacing w:val="-2"/>
          <w:w w:val="112"/>
          <w:sz w:val="16"/>
        </w:rPr>
        <w:t>ruc</w:t>
      </w:r>
      <w:r>
        <w:rPr>
          <w:rFonts w:ascii="Arial"/>
          <w:b/>
          <w:color w:val="1F487C"/>
          <w:spacing w:val="-3"/>
          <w:w w:val="124"/>
          <w:sz w:val="16"/>
        </w:rPr>
        <w:t>t</w:t>
      </w:r>
      <w:r>
        <w:rPr>
          <w:rFonts w:ascii="Arial"/>
          <w:b/>
          <w:color w:val="1F487C"/>
          <w:spacing w:val="-2"/>
          <w:w w:val="112"/>
          <w:sz w:val="16"/>
        </w:rPr>
        <w:t>ur</w:t>
      </w:r>
      <w:r>
        <w:rPr>
          <w:rFonts w:ascii="Arial"/>
          <w:b/>
          <w:color w:val="1F487C"/>
          <w:spacing w:val="-4"/>
          <w:w w:val="112"/>
          <w:sz w:val="16"/>
        </w:rPr>
        <w:t>e</w:t>
      </w:r>
      <w:r>
        <w:rPr>
          <w:color w:val="1F487C"/>
          <w:spacing w:val="-2"/>
          <w:w w:val="60"/>
          <w:sz w:val="16"/>
        </w:rPr>
        <w:t>.</w:t>
      </w:r>
    </w:p>
    <w:p>
      <w:pPr>
        <w:pStyle w:val="ListParagraph"/>
        <w:numPr>
          <w:ilvl w:val="0"/>
          <w:numId w:val="1"/>
        </w:numPr>
        <w:tabs>
          <w:tab w:pos="494" w:val="left" w:leader="none"/>
        </w:tabs>
        <w:spacing w:line="230" w:lineRule="auto" w:before="38" w:after="0"/>
        <w:ind w:left="493" w:right="471" w:hanging="140"/>
        <w:jc w:val="both"/>
        <w:rPr>
          <w:sz w:val="16"/>
        </w:rPr>
      </w:pPr>
      <w:r>
        <w:rPr>
          <w:rFonts w:ascii="Arial" w:hAnsi="Arial"/>
          <w:b/>
          <w:color w:val="1F487C"/>
          <w:w w:val="105"/>
          <w:sz w:val="16"/>
        </w:rPr>
        <w:t>RBI-driven liquidity support and strong Q3 earnings (~14.7% YoY)</w:t>
      </w:r>
      <w:r>
        <w:rPr>
          <w:rFonts w:ascii="Arial" w:hAnsi="Arial"/>
          <w:b/>
          <w:color w:val="1F487C"/>
          <w:w w:val="105"/>
          <w:sz w:val="16"/>
        </w:rPr>
        <w:t> </w:t>
      </w:r>
      <w:r>
        <w:rPr>
          <w:w w:val="105"/>
          <w:sz w:val="16"/>
        </w:rPr>
        <w:t>are</w:t>
      </w:r>
      <w:r>
        <w:rPr>
          <w:w w:val="105"/>
          <w:sz w:val="16"/>
        </w:rPr>
        <w:t> reinforcing</w:t>
      </w:r>
      <w:r>
        <w:rPr>
          <w:w w:val="105"/>
          <w:sz w:val="16"/>
        </w:rPr>
        <w:t> balance</w:t>
      </w:r>
      <w:r>
        <w:rPr>
          <w:w w:val="105"/>
          <w:sz w:val="16"/>
        </w:rPr>
        <w:t> sheet</w:t>
      </w:r>
      <w:r>
        <w:rPr>
          <w:w w:val="105"/>
          <w:sz w:val="16"/>
        </w:rPr>
        <w:t> strength</w:t>
      </w:r>
      <w:r>
        <w:rPr>
          <w:w w:val="105"/>
          <w:sz w:val="16"/>
        </w:rPr>
        <w:t> and</w:t>
      </w:r>
      <w:r>
        <w:rPr>
          <w:w w:val="105"/>
          <w:sz w:val="16"/>
        </w:rPr>
        <w:t> creating conditions for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incremental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M&amp;A.</w:t>
      </w:r>
    </w:p>
    <w:p>
      <w:pPr>
        <w:pStyle w:val="ListParagraph"/>
        <w:numPr>
          <w:ilvl w:val="0"/>
          <w:numId w:val="1"/>
        </w:numPr>
        <w:tabs>
          <w:tab w:pos="494" w:val="left" w:leader="none"/>
        </w:tabs>
        <w:spacing w:line="240" w:lineRule="auto" w:before="34" w:after="0"/>
        <w:ind w:left="493" w:right="0" w:hanging="140"/>
        <w:jc w:val="both"/>
        <w:rPr>
          <w:sz w:val="16"/>
        </w:rPr>
      </w:pPr>
      <w:r>
        <w:rPr>
          <w:rFonts w:ascii="Arial" w:hAnsi="Arial"/>
          <w:b/>
          <w:color w:val="1F487C"/>
          <w:sz w:val="16"/>
        </w:rPr>
        <w:t>Policy</w:t>
      </w:r>
      <w:r>
        <w:rPr>
          <w:rFonts w:ascii="Arial" w:hAnsi="Arial"/>
          <w:b/>
          <w:color w:val="1F487C"/>
          <w:spacing w:val="-5"/>
          <w:sz w:val="16"/>
        </w:rPr>
        <w:t> </w:t>
      </w:r>
      <w:r>
        <w:rPr>
          <w:rFonts w:ascii="Arial" w:hAnsi="Arial"/>
          <w:b/>
          <w:color w:val="1F487C"/>
          <w:sz w:val="16"/>
        </w:rPr>
        <w:t>recalibration</w:t>
      </w:r>
      <w:r>
        <w:rPr>
          <w:rFonts w:ascii="Arial" w:hAnsi="Arial"/>
          <w:b/>
          <w:color w:val="1F487C"/>
          <w:spacing w:val="-11"/>
          <w:sz w:val="16"/>
        </w:rPr>
        <w:t> </w:t>
      </w:r>
      <w:r>
        <w:rPr>
          <w:sz w:val="16"/>
        </w:rPr>
        <w:t>(FTA tariff</w:t>
      </w:r>
      <w:r>
        <w:rPr>
          <w:spacing w:val="-1"/>
          <w:sz w:val="16"/>
        </w:rPr>
        <w:t> </w:t>
      </w:r>
      <w:r>
        <w:rPr>
          <w:sz w:val="16"/>
        </w:rPr>
        <w:t>cuts,</w:t>
      </w:r>
      <w:r>
        <w:rPr>
          <w:spacing w:val="-4"/>
          <w:sz w:val="16"/>
        </w:rPr>
        <w:t> </w:t>
      </w:r>
      <w:r>
        <w:rPr>
          <w:sz w:val="16"/>
        </w:rPr>
        <w:t>GDP</w:t>
      </w:r>
      <w:r>
        <w:rPr>
          <w:spacing w:val="-4"/>
          <w:sz w:val="16"/>
        </w:rPr>
        <w:t> </w:t>
      </w:r>
      <w:r>
        <w:rPr>
          <w:sz w:val="16"/>
        </w:rPr>
        <w:t>base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revision)</w:t>
      </w:r>
    </w:p>
    <w:p>
      <w:pPr>
        <w:pStyle w:val="BodyText"/>
        <w:spacing w:before="9"/>
        <w:rPr>
          <w:sz w:val="34"/>
        </w:rPr>
      </w:pPr>
    </w:p>
    <w:p>
      <w:pPr>
        <w:pStyle w:val="Heading1"/>
        <w:ind w:left="354"/>
      </w:pPr>
      <w:r>
        <w:rPr>
          <w:color w:val="1F487C"/>
          <w:spacing w:val="-2"/>
          <w:w w:val="105"/>
        </w:rPr>
        <w:t>Details:</w:t>
      </w:r>
    </w:p>
    <w:p>
      <w:pPr>
        <w:spacing w:line="242" w:lineRule="auto" w:before="78"/>
        <w:ind w:left="400" w:right="284" w:firstLine="5"/>
        <w:jc w:val="left"/>
        <w:rPr>
          <w:sz w:val="16"/>
        </w:rPr>
      </w:pPr>
      <w:r>
        <w:rPr>
          <w:rFonts w:ascii="Arial" w:hAnsi="Arial"/>
          <w:b/>
          <w:color w:val="1F487C"/>
          <w:sz w:val="16"/>
        </w:rPr>
        <w:t>BLS </w:t>
      </w:r>
      <w:r>
        <w:rPr>
          <w:rFonts w:ascii="Arial" w:hAnsi="Arial"/>
          <w:b/>
          <w:color w:val="1F487C"/>
          <w:spacing w:val="-1"/>
          <w:w w:val="58"/>
          <w:sz w:val="16"/>
        </w:rPr>
        <w:t>E</w:t>
      </w:r>
      <w:r>
        <w:rPr>
          <w:rFonts w:ascii="Arial" w:hAnsi="Arial"/>
          <w:b/>
          <w:color w:val="1F487C"/>
          <w:w w:val="152"/>
          <w:sz w:val="16"/>
        </w:rPr>
        <w:t>-</w:t>
      </w:r>
      <w:r>
        <w:rPr>
          <w:rFonts w:ascii="Arial" w:hAnsi="Arial"/>
          <w:b/>
          <w:color w:val="1F487C"/>
          <w:w w:val="105"/>
          <w:sz w:val="16"/>
        </w:rPr>
        <w:t>Services </w:t>
      </w:r>
      <w:r>
        <w:rPr>
          <w:rFonts w:ascii="Trebuchet MS" w:hAnsi="Trebuchet MS"/>
          <w:b/>
          <w:color w:val="1F487C"/>
          <w:w w:val="105"/>
          <w:sz w:val="16"/>
        </w:rPr>
        <w:t>to Acquire</w:t>
      </w:r>
      <w:r>
        <w:rPr>
          <w:rFonts w:ascii="Trebuchet MS" w:hAnsi="Trebuchet MS"/>
          <w:b/>
          <w:color w:val="1F487C"/>
          <w:spacing w:val="-1"/>
          <w:w w:val="105"/>
          <w:sz w:val="16"/>
        </w:rPr>
        <w:t> </w:t>
      </w:r>
      <w:r>
        <w:rPr>
          <w:rFonts w:ascii="Trebuchet MS" w:hAnsi="Trebuchet MS"/>
          <w:b/>
          <w:color w:val="1F487C"/>
          <w:w w:val="105"/>
          <w:sz w:val="16"/>
        </w:rPr>
        <w:t>Atayati Technologies</w:t>
      </w:r>
      <w:r>
        <w:rPr>
          <w:rFonts w:ascii="Trebuchet MS" w:hAnsi="Trebuchet MS"/>
          <w:b/>
          <w:color w:val="1F487C"/>
          <w:spacing w:val="-1"/>
          <w:w w:val="105"/>
          <w:sz w:val="16"/>
        </w:rPr>
        <w:t> </w:t>
      </w:r>
      <w:r>
        <w:rPr>
          <w:rFonts w:ascii="Trebuchet MS" w:hAnsi="Trebuchet MS"/>
          <w:b/>
          <w:color w:val="1F487C"/>
          <w:w w:val="105"/>
          <w:sz w:val="16"/>
        </w:rPr>
        <w:t>for ₹154 Crore </w:t>
      </w:r>
      <w:r>
        <w:rPr>
          <w:sz w:val="16"/>
        </w:rPr>
        <w:t>BLS</w:t>
      </w:r>
      <w:r>
        <w:rPr>
          <w:spacing w:val="-14"/>
          <w:sz w:val="16"/>
        </w:rPr>
        <w:t> </w:t>
      </w:r>
      <w:r>
        <w:rPr>
          <w:sz w:val="16"/>
        </w:rPr>
        <w:t>E-Services</w:t>
      </w:r>
      <w:r>
        <w:rPr>
          <w:spacing w:val="-15"/>
          <w:sz w:val="16"/>
        </w:rPr>
        <w:t> </w:t>
      </w:r>
      <w:r>
        <w:rPr>
          <w:sz w:val="16"/>
        </w:rPr>
        <w:t>will</w:t>
      </w:r>
      <w:r>
        <w:rPr>
          <w:spacing w:val="-11"/>
          <w:sz w:val="16"/>
        </w:rPr>
        <w:t> </w:t>
      </w:r>
      <w:r>
        <w:rPr>
          <w:sz w:val="16"/>
        </w:rPr>
        <w:t>acquire</w:t>
      </w:r>
      <w:r>
        <w:rPr>
          <w:spacing w:val="-14"/>
          <w:sz w:val="16"/>
        </w:rPr>
        <w:t> </w:t>
      </w:r>
      <w:r>
        <w:rPr>
          <w:sz w:val="16"/>
        </w:rPr>
        <w:t>a</w:t>
      </w:r>
      <w:r>
        <w:rPr>
          <w:spacing w:val="-16"/>
          <w:sz w:val="16"/>
        </w:rPr>
        <w:t> </w:t>
      </w:r>
      <w:r>
        <w:rPr>
          <w:sz w:val="16"/>
        </w:rPr>
        <w:t>100%</w:t>
      </w:r>
      <w:r>
        <w:rPr>
          <w:spacing w:val="-15"/>
          <w:sz w:val="16"/>
        </w:rPr>
        <w:t> </w:t>
      </w:r>
      <w:r>
        <w:rPr>
          <w:sz w:val="16"/>
        </w:rPr>
        <w:t>stake</w:t>
      </w:r>
      <w:r>
        <w:rPr>
          <w:spacing w:val="-16"/>
          <w:sz w:val="16"/>
        </w:rPr>
        <w:t> </w:t>
      </w:r>
      <w:r>
        <w:rPr>
          <w:sz w:val="16"/>
        </w:rPr>
        <w:t>in</w:t>
      </w:r>
      <w:r>
        <w:rPr>
          <w:spacing w:val="-12"/>
          <w:sz w:val="16"/>
        </w:rPr>
        <w:t> </w:t>
      </w:r>
      <w:r>
        <w:rPr>
          <w:sz w:val="16"/>
        </w:rPr>
        <w:t>fintech</w:t>
      </w:r>
      <w:r>
        <w:rPr>
          <w:spacing w:val="-15"/>
          <w:sz w:val="16"/>
        </w:rPr>
        <w:t> </w:t>
      </w:r>
      <w:r>
        <w:rPr>
          <w:sz w:val="16"/>
        </w:rPr>
        <w:t>firm</w:t>
      </w:r>
      <w:r>
        <w:rPr>
          <w:spacing w:val="-13"/>
          <w:sz w:val="16"/>
        </w:rPr>
        <w:t> </w:t>
      </w:r>
      <w:r>
        <w:rPr>
          <w:sz w:val="16"/>
        </w:rPr>
        <w:t>Atayati </w:t>
      </w:r>
      <w:r>
        <w:rPr>
          <w:w w:val="105"/>
          <w:sz w:val="16"/>
        </w:rPr>
        <w:t>Technologies</w:t>
      </w:r>
      <w:r>
        <w:rPr>
          <w:spacing w:val="-17"/>
          <w:w w:val="105"/>
          <w:sz w:val="16"/>
        </w:rPr>
        <w:t> </w:t>
      </w:r>
      <w:r>
        <w:rPr>
          <w:w w:val="105"/>
          <w:sz w:val="16"/>
        </w:rPr>
        <w:t>for</w:t>
      </w:r>
      <w:r>
        <w:rPr>
          <w:spacing w:val="-10"/>
          <w:w w:val="105"/>
          <w:sz w:val="16"/>
        </w:rPr>
        <w:t> </w:t>
      </w:r>
      <w:r>
        <w:rPr>
          <w:rFonts w:ascii="Trebuchet MS" w:hAnsi="Trebuchet MS"/>
          <w:b/>
          <w:w w:val="105"/>
          <w:sz w:val="16"/>
        </w:rPr>
        <w:t>₹154</w:t>
      </w:r>
      <w:r>
        <w:rPr>
          <w:rFonts w:ascii="Trebuchet MS" w:hAnsi="Trebuchet MS"/>
          <w:b/>
          <w:spacing w:val="-17"/>
          <w:w w:val="105"/>
          <w:sz w:val="16"/>
        </w:rPr>
        <w:t> </w:t>
      </w:r>
      <w:r>
        <w:rPr>
          <w:rFonts w:ascii="Arial" w:hAnsi="Arial"/>
          <w:b/>
          <w:w w:val="105"/>
          <w:sz w:val="14"/>
        </w:rPr>
        <w:t>crore </w:t>
      </w:r>
      <w:r>
        <w:rPr>
          <w:w w:val="105"/>
          <w:sz w:val="16"/>
        </w:rPr>
        <w:t>in</w:t>
      </w:r>
      <w:r>
        <w:rPr>
          <w:spacing w:val="-11"/>
          <w:w w:val="105"/>
          <w:sz w:val="16"/>
        </w:rPr>
        <w:t> </w:t>
      </w:r>
      <w:r>
        <w:rPr>
          <w:w w:val="105"/>
          <w:sz w:val="16"/>
        </w:rPr>
        <w:t>an</w:t>
      </w:r>
      <w:r>
        <w:rPr>
          <w:spacing w:val="-11"/>
          <w:w w:val="105"/>
          <w:sz w:val="16"/>
        </w:rPr>
        <w:t> </w:t>
      </w:r>
      <w:r>
        <w:rPr>
          <w:w w:val="105"/>
          <w:sz w:val="16"/>
        </w:rPr>
        <w:t>all-cash</w:t>
      </w:r>
      <w:r>
        <w:rPr>
          <w:spacing w:val="-12"/>
          <w:w w:val="105"/>
          <w:sz w:val="16"/>
        </w:rPr>
        <w:t> </w:t>
      </w:r>
      <w:r>
        <w:rPr>
          <w:w w:val="105"/>
          <w:sz w:val="16"/>
        </w:rPr>
        <w:t>deal.</w:t>
      </w:r>
      <w:r>
        <w:rPr>
          <w:spacing w:val="-14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-12"/>
          <w:w w:val="105"/>
          <w:sz w:val="16"/>
        </w:rPr>
        <w:t> </w:t>
      </w:r>
      <w:r>
        <w:rPr>
          <w:w w:val="105"/>
          <w:sz w:val="16"/>
        </w:rPr>
        <w:t>acquisition </w:t>
      </w:r>
      <w:r>
        <w:rPr>
          <w:rFonts w:ascii="Trebuchet MS" w:hAnsi="Trebuchet MS"/>
          <w:w w:val="105"/>
          <w:sz w:val="16"/>
        </w:rPr>
        <w:t>aims to</w:t>
      </w:r>
      <w:r>
        <w:rPr>
          <w:rFonts w:ascii="Trebuchet MS" w:hAnsi="Trebuchet MS"/>
          <w:spacing w:val="30"/>
          <w:w w:val="105"/>
          <w:sz w:val="16"/>
        </w:rPr>
        <w:t> </w:t>
      </w:r>
      <w:r>
        <w:rPr>
          <w:rFonts w:ascii="Trebuchet MS" w:hAnsi="Trebuchet MS"/>
          <w:w w:val="105"/>
          <w:sz w:val="16"/>
        </w:rPr>
        <w:t>expand </w:t>
      </w:r>
      <w:r>
        <w:rPr>
          <w:rFonts w:ascii="Trebuchet MS" w:hAnsi="Trebuchet MS"/>
          <w:w w:val="109"/>
          <w:sz w:val="16"/>
        </w:rPr>
        <w:t>BL</w:t>
      </w:r>
      <w:r>
        <w:rPr>
          <w:rFonts w:ascii="Trebuchet MS" w:hAnsi="Trebuchet MS"/>
          <w:spacing w:val="-1"/>
          <w:w w:val="109"/>
          <w:sz w:val="16"/>
        </w:rPr>
        <w:t>S</w:t>
      </w:r>
      <w:r>
        <w:rPr>
          <w:rFonts w:ascii="Trebuchet MS" w:hAnsi="Trebuchet MS"/>
          <w:w w:val="63"/>
          <w:sz w:val="16"/>
        </w:rPr>
        <w:t>’</w:t>
      </w:r>
      <w:r>
        <w:rPr>
          <w:rFonts w:ascii="Trebuchet MS" w:hAnsi="Trebuchet MS"/>
          <w:w w:val="133"/>
          <w:sz w:val="16"/>
        </w:rPr>
        <w:t>s</w:t>
      </w:r>
      <w:r>
        <w:rPr>
          <w:rFonts w:ascii="Trebuchet MS" w:hAnsi="Trebuchet MS"/>
          <w:spacing w:val="-1"/>
          <w:w w:val="104"/>
          <w:sz w:val="16"/>
        </w:rPr>
        <w:t> </w:t>
      </w:r>
      <w:r>
        <w:rPr>
          <w:rFonts w:ascii="Trebuchet MS" w:hAnsi="Trebuchet MS"/>
          <w:w w:val="105"/>
          <w:sz w:val="16"/>
        </w:rPr>
        <w:t>digital</w:t>
      </w:r>
      <w:r>
        <w:rPr>
          <w:rFonts w:ascii="Trebuchet MS" w:hAnsi="Trebuchet MS"/>
          <w:spacing w:val="32"/>
          <w:w w:val="105"/>
          <w:sz w:val="16"/>
        </w:rPr>
        <w:t> </w:t>
      </w:r>
      <w:r>
        <w:rPr>
          <w:rFonts w:ascii="Trebuchet MS" w:hAnsi="Trebuchet MS"/>
          <w:w w:val="105"/>
          <w:sz w:val="16"/>
        </w:rPr>
        <w:t>services capabilities across banking, </w:t>
      </w:r>
      <w:r>
        <w:rPr>
          <w:w w:val="105"/>
          <w:sz w:val="16"/>
        </w:rPr>
        <w:t>financial</w:t>
      </w:r>
      <w:r>
        <w:rPr>
          <w:spacing w:val="-12"/>
          <w:w w:val="105"/>
          <w:sz w:val="16"/>
        </w:rPr>
        <w:t> </w:t>
      </w:r>
      <w:r>
        <w:rPr>
          <w:w w:val="105"/>
          <w:sz w:val="16"/>
        </w:rPr>
        <w:t>services,</w:t>
      </w:r>
      <w:r>
        <w:rPr>
          <w:spacing w:val="-17"/>
          <w:w w:val="105"/>
          <w:sz w:val="16"/>
        </w:rPr>
        <w:t> </w:t>
      </w:r>
      <w:r>
        <w:rPr>
          <w:w w:val="105"/>
          <w:sz w:val="16"/>
        </w:rPr>
        <w:t>and</w:t>
      </w:r>
      <w:r>
        <w:rPr>
          <w:spacing w:val="-14"/>
          <w:w w:val="105"/>
          <w:sz w:val="16"/>
        </w:rPr>
        <w:t> </w:t>
      </w:r>
      <w:r>
        <w:rPr>
          <w:w w:val="105"/>
          <w:sz w:val="16"/>
        </w:rPr>
        <w:t>government-related</w:t>
      </w:r>
      <w:r>
        <w:rPr>
          <w:spacing w:val="-19"/>
          <w:w w:val="105"/>
          <w:sz w:val="16"/>
        </w:rPr>
        <w:t> </w:t>
      </w:r>
      <w:r>
        <w:rPr>
          <w:w w:val="105"/>
          <w:sz w:val="16"/>
        </w:rPr>
        <w:t>platforms.</w:t>
      </w:r>
    </w:p>
    <w:p>
      <w:pPr>
        <w:pStyle w:val="BodyText"/>
        <w:spacing w:before="9"/>
        <w:rPr>
          <w:sz w:val="4"/>
        </w:rPr>
      </w:pPr>
      <w:r>
        <w:rPr/>
        <w:pict>
          <v:shape style="position:absolute;margin-left:20.040001pt;margin-top:4.127321pt;width:261.1pt;height:.1pt;mso-position-horizontal-relative:page;mso-position-vertical-relative:paragraph;z-index:-15728640;mso-wrap-distance-left:0;mso-wrap-distance-right:0" id="docshape9" coordorigin="401,83" coordsize="5222,0" path="m401,83l5623,83e" filled="false" stroked="true" strokeweight=".75pt" strokecolor="#7e7e7e">
            <v:path arrowok="t"/>
            <v:stroke dashstyle="shortdash"/>
            <w10:wrap type="topAndBottom"/>
          </v:shape>
        </w:pict>
      </w:r>
    </w:p>
    <w:p>
      <w:pPr>
        <w:spacing w:line="228" w:lineRule="auto" w:before="91"/>
        <w:ind w:left="400" w:right="326" w:firstLine="0"/>
        <w:jc w:val="both"/>
        <w:rPr>
          <w:sz w:val="14"/>
        </w:rPr>
      </w:pPr>
      <w:r>
        <w:rPr>
          <w:rFonts w:ascii="Trebuchet MS" w:hAnsi="Trebuchet MS"/>
          <w:b/>
          <w:color w:val="1F487C"/>
          <w:sz w:val="16"/>
        </w:rPr>
        <w:t>Torrent Power to Acquire Nabha Power from L&amp;T for ₹3,661 Crore </w:t>
      </w:r>
      <w:r>
        <w:rPr>
          <w:sz w:val="14"/>
        </w:rPr>
        <w:t>Torrent Power has agreed to acquire Nabha Power, a thermal power subsidiary of L&amp;T, for </w:t>
      </w:r>
      <w:r>
        <w:rPr>
          <w:rFonts w:ascii="Trebuchet MS" w:hAnsi="Trebuchet MS"/>
          <w:w w:val="134"/>
          <w:sz w:val="14"/>
        </w:rPr>
        <w:t>₹</w:t>
      </w:r>
      <w:r>
        <w:rPr>
          <w:w w:val="106"/>
          <w:sz w:val="14"/>
        </w:rPr>
        <w:t>3</w:t>
      </w:r>
      <w:r>
        <w:rPr>
          <w:w w:val="68"/>
          <w:sz w:val="14"/>
        </w:rPr>
        <w:t>,</w:t>
      </w:r>
      <w:r>
        <w:rPr>
          <w:w w:val="113"/>
          <w:sz w:val="14"/>
        </w:rPr>
        <w:t>6</w:t>
      </w:r>
      <w:r>
        <w:rPr>
          <w:w w:val="88"/>
          <w:sz w:val="14"/>
        </w:rPr>
        <w:t>61</w:t>
      </w:r>
      <w:r>
        <w:rPr>
          <w:w w:val="99"/>
          <w:sz w:val="14"/>
        </w:rPr>
        <w:t> </w:t>
      </w:r>
      <w:r>
        <w:rPr>
          <w:w w:val="122"/>
          <w:sz w:val="14"/>
        </w:rPr>
        <w:t>c</w:t>
      </w:r>
      <w:r>
        <w:rPr>
          <w:w w:val="93"/>
          <w:sz w:val="14"/>
        </w:rPr>
        <w:t>r</w:t>
      </w:r>
      <w:r>
        <w:rPr>
          <w:w w:val="104"/>
          <w:sz w:val="14"/>
        </w:rPr>
        <w:t>or</w:t>
      </w:r>
      <w:r>
        <w:rPr>
          <w:w w:val="110"/>
          <w:sz w:val="14"/>
        </w:rPr>
        <w:t>e</w:t>
      </w:r>
      <w:r>
        <w:rPr>
          <w:w w:val="64"/>
          <w:sz w:val="14"/>
        </w:rPr>
        <w:t>.</w:t>
      </w:r>
      <w:r>
        <w:rPr>
          <w:w w:val="99"/>
          <w:sz w:val="14"/>
        </w:rPr>
        <w:t> </w:t>
      </w:r>
      <w:r>
        <w:rPr>
          <w:sz w:val="14"/>
        </w:rPr>
        <w:t>The deal strengthens </w:t>
      </w:r>
      <w:r>
        <w:rPr>
          <w:rFonts w:ascii="Trebuchet MS" w:hAnsi="Trebuchet MS"/>
          <w:w w:val="90"/>
          <w:sz w:val="14"/>
        </w:rPr>
        <w:t>T</w:t>
      </w:r>
      <w:r>
        <w:rPr>
          <w:rFonts w:ascii="Trebuchet MS" w:hAnsi="Trebuchet MS"/>
          <w:spacing w:val="-1"/>
          <w:w w:val="106"/>
          <w:sz w:val="14"/>
        </w:rPr>
        <w:t>o</w:t>
      </w:r>
      <w:r>
        <w:rPr>
          <w:rFonts w:ascii="Trebuchet MS" w:hAnsi="Trebuchet MS"/>
          <w:spacing w:val="1"/>
          <w:w w:val="106"/>
          <w:sz w:val="14"/>
        </w:rPr>
        <w:t>r</w:t>
      </w:r>
      <w:r>
        <w:rPr>
          <w:rFonts w:ascii="Trebuchet MS" w:hAnsi="Trebuchet MS"/>
          <w:spacing w:val="-1"/>
          <w:w w:val="93"/>
          <w:sz w:val="14"/>
        </w:rPr>
        <w:t>r</w:t>
      </w:r>
      <w:r>
        <w:rPr>
          <w:rFonts w:ascii="Trebuchet MS" w:hAnsi="Trebuchet MS"/>
          <w:spacing w:val="-1"/>
          <w:w w:val="106"/>
          <w:sz w:val="14"/>
        </w:rPr>
        <w:t>en</w:t>
      </w:r>
      <w:r>
        <w:rPr>
          <w:rFonts w:ascii="Trebuchet MS" w:hAnsi="Trebuchet MS"/>
          <w:spacing w:val="-2"/>
          <w:w w:val="106"/>
          <w:sz w:val="14"/>
        </w:rPr>
        <w:t>t</w:t>
      </w:r>
      <w:r>
        <w:rPr>
          <w:rFonts w:ascii="Trebuchet MS" w:hAnsi="Trebuchet MS"/>
          <w:spacing w:val="-1"/>
          <w:w w:val="57"/>
          <w:sz w:val="14"/>
        </w:rPr>
        <w:t>’</w:t>
      </w:r>
      <w:r>
        <w:rPr>
          <w:rFonts w:ascii="Trebuchet MS" w:hAnsi="Trebuchet MS"/>
          <w:spacing w:val="-1"/>
          <w:w w:val="126"/>
          <w:sz w:val="14"/>
        </w:rPr>
        <w:t>s</w:t>
      </w:r>
      <w:r>
        <w:rPr>
          <w:rFonts w:ascii="Trebuchet MS" w:hAnsi="Trebuchet MS"/>
          <w:spacing w:val="-1"/>
          <w:w w:val="99"/>
          <w:sz w:val="14"/>
        </w:rPr>
        <w:t> </w:t>
      </w:r>
      <w:r>
        <w:rPr>
          <w:sz w:val="14"/>
        </w:rPr>
        <w:t>generation portfolio and marks a strategic expansion in northern </w:t>
      </w:r>
      <w:r>
        <w:rPr>
          <w:rFonts w:ascii="Trebuchet MS" w:hAnsi="Trebuchet MS"/>
          <w:spacing w:val="-1"/>
          <w:w w:val="83"/>
          <w:sz w:val="14"/>
        </w:rPr>
        <w:t>I</w:t>
      </w:r>
      <w:r>
        <w:rPr>
          <w:rFonts w:ascii="Trebuchet MS" w:hAnsi="Trebuchet MS"/>
          <w:spacing w:val="1"/>
          <w:w w:val="112"/>
          <w:sz w:val="14"/>
        </w:rPr>
        <w:t>n</w:t>
      </w:r>
      <w:r>
        <w:rPr>
          <w:rFonts w:ascii="Trebuchet MS" w:hAnsi="Trebuchet MS"/>
          <w:spacing w:val="-1"/>
          <w:w w:val="116"/>
          <w:sz w:val="14"/>
        </w:rPr>
        <w:t>d</w:t>
      </w:r>
      <w:r>
        <w:rPr>
          <w:rFonts w:ascii="Trebuchet MS" w:hAnsi="Trebuchet MS"/>
          <w:spacing w:val="1"/>
          <w:w w:val="81"/>
          <w:sz w:val="14"/>
        </w:rPr>
        <w:t>i</w:t>
      </w:r>
      <w:r>
        <w:rPr>
          <w:rFonts w:ascii="Trebuchet MS" w:hAnsi="Trebuchet MS"/>
          <w:spacing w:val="-1"/>
          <w:w w:val="123"/>
          <w:sz w:val="14"/>
        </w:rPr>
        <w:t>a</w:t>
      </w:r>
      <w:r>
        <w:rPr>
          <w:rFonts w:ascii="Trebuchet MS" w:hAnsi="Trebuchet MS"/>
          <w:w w:val="55"/>
          <w:sz w:val="14"/>
        </w:rPr>
        <w:t>’</w:t>
      </w:r>
      <w:r>
        <w:rPr>
          <w:rFonts w:ascii="Trebuchet MS" w:hAnsi="Trebuchet MS"/>
          <w:w w:val="124"/>
          <w:sz w:val="14"/>
        </w:rPr>
        <w:t>s</w:t>
      </w:r>
      <w:r>
        <w:rPr>
          <w:rFonts w:ascii="Trebuchet MS" w:hAnsi="Trebuchet MS"/>
          <w:spacing w:val="-1"/>
          <w:w w:val="99"/>
          <w:sz w:val="14"/>
        </w:rPr>
        <w:t> </w:t>
      </w:r>
      <w:r>
        <w:rPr>
          <w:sz w:val="14"/>
        </w:rPr>
        <w:t>power</w:t>
      </w:r>
      <w:r>
        <w:rPr>
          <w:spacing w:val="-7"/>
          <w:sz w:val="14"/>
        </w:rPr>
        <w:t> </w:t>
      </w:r>
      <w:r>
        <w:rPr>
          <w:sz w:val="14"/>
        </w:rPr>
        <w:t>market.</w:t>
      </w:r>
    </w:p>
    <w:p>
      <w:pPr>
        <w:pStyle w:val="BodyText"/>
        <w:spacing w:before="9"/>
        <w:rPr>
          <w:sz w:val="10"/>
        </w:rPr>
      </w:pPr>
      <w:r>
        <w:rPr/>
        <w:pict>
          <v:shape style="position:absolute;margin-left:20.040001pt;margin-top:7.75166pt;width:261.1pt;height:.1pt;mso-position-horizontal-relative:page;mso-position-vertical-relative:paragraph;z-index:-15728128;mso-wrap-distance-left:0;mso-wrap-distance-right:0" id="docshape10" coordorigin="401,155" coordsize="5222,0" path="m401,155l5623,155e" filled="false" stroked="true" strokeweight=".75pt" strokecolor="#7e7e7e">
            <v:path arrowok="t"/>
            <v:stroke dashstyle="shortdash"/>
            <w10:wrap type="topAndBottom"/>
          </v:shape>
        </w:pict>
      </w:r>
    </w:p>
    <w:p>
      <w:pPr>
        <w:pStyle w:val="Heading1"/>
        <w:spacing w:line="185" w:lineRule="exact" w:before="117"/>
        <w:ind w:left="400"/>
        <w:jc w:val="both"/>
        <w:rPr>
          <w:rFonts w:ascii="Trebuchet MS" w:hAnsi="Trebuchet MS"/>
        </w:rPr>
      </w:pPr>
      <w:r>
        <w:rPr>
          <w:color w:val="1F487C"/>
          <w:w w:val="105"/>
        </w:rPr>
        <w:t>EaseMyTrip</w:t>
      </w:r>
      <w:r>
        <w:rPr>
          <w:color w:val="1F487C"/>
          <w:spacing w:val="1"/>
          <w:w w:val="105"/>
        </w:rPr>
        <w:t> </w:t>
      </w:r>
      <w:r>
        <w:rPr>
          <w:rFonts w:ascii="Trebuchet MS" w:hAnsi="Trebuchet MS"/>
          <w:color w:val="1F487C"/>
          <w:w w:val="105"/>
        </w:rPr>
        <w:t>Plans</w:t>
      </w:r>
      <w:r>
        <w:rPr>
          <w:rFonts w:ascii="Trebuchet MS" w:hAnsi="Trebuchet MS"/>
          <w:color w:val="1F487C"/>
          <w:spacing w:val="3"/>
          <w:w w:val="105"/>
        </w:rPr>
        <w:t> </w:t>
      </w:r>
      <w:r>
        <w:rPr>
          <w:rFonts w:ascii="Trebuchet MS" w:hAnsi="Trebuchet MS"/>
          <w:color w:val="1F487C"/>
          <w:w w:val="105"/>
        </w:rPr>
        <w:t>₹500</w:t>
      </w:r>
      <w:r>
        <w:rPr>
          <w:rFonts w:ascii="Trebuchet MS" w:hAnsi="Trebuchet MS"/>
          <w:color w:val="1F487C"/>
          <w:spacing w:val="7"/>
          <w:w w:val="105"/>
        </w:rPr>
        <w:t> </w:t>
      </w:r>
      <w:r>
        <w:rPr>
          <w:rFonts w:ascii="Trebuchet MS" w:hAnsi="Trebuchet MS"/>
          <w:color w:val="1F487C"/>
          <w:w w:val="105"/>
        </w:rPr>
        <w:t>Crore</w:t>
      </w:r>
      <w:r>
        <w:rPr>
          <w:rFonts w:ascii="Trebuchet MS" w:hAnsi="Trebuchet MS"/>
          <w:color w:val="1F487C"/>
          <w:spacing w:val="-5"/>
          <w:w w:val="105"/>
        </w:rPr>
        <w:t> </w:t>
      </w:r>
      <w:r>
        <w:rPr>
          <w:rFonts w:ascii="Trebuchet MS" w:hAnsi="Trebuchet MS"/>
          <w:color w:val="1F487C"/>
          <w:w w:val="105"/>
        </w:rPr>
        <w:t>Fundraise</w:t>
      </w:r>
      <w:r>
        <w:rPr>
          <w:rFonts w:ascii="Trebuchet MS" w:hAnsi="Trebuchet MS"/>
          <w:color w:val="1F487C"/>
          <w:spacing w:val="-5"/>
          <w:w w:val="105"/>
        </w:rPr>
        <w:t> </w:t>
      </w:r>
      <w:r>
        <w:rPr>
          <w:rFonts w:ascii="Trebuchet MS" w:hAnsi="Trebuchet MS"/>
          <w:color w:val="1F487C"/>
          <w:w w:val="105"/>
        </w:rPr>
        <w:t>for</w:t>
      </w:r>
      <w:r>
        <w:rPr>
          <w:rFonts w:ascii="Trebuchet MS" w:hAnsi="Trebuchet MS"/>
          <w:color w:val="1F487C"/>
          <w:spacing w:val="7"/>
          <w:w w:val="105"/>
        </w:rPr>
        <w:t> </w:t>
      </w:r>
      <w:r>
        <w:rPr>
          <w:rFonts w:ascii="Trebuchet MS" w:hAnsi="Trebuchet MS"/>
          <w:color w:val="1F487C"/>
          <w:spacing w:val="-2"/>
          <w:w w:val="105"/>
        </w:rPr>
        <w:t>Expansion</w:t>
      </w:r>
    </w:p>
    <w:p>
      <w:pPr>
        <w:pStyle w:val="BodyText"/>
        <w:spacing w:line="225" w:lineRule="auto"/>
        <w:ind w:left="400" w:right="333"/>
        <w:jc w:val="both"/>
      </w:pPr>
      <w:r>
        <w:rPr/>
        <w:t>Travel</w:t>
      </w:r>
      <w:r>
        <w:rPr>
          <w:spacing w:val="-5"/>
        </w:rPr>
        <w:t> </w:t>
      </w:r>
      <w:r>
        <w:rPr/>
        <w:t>platform</w:t>
      </w:r>
      <w:r>
        <w:rPr>
          <w:spacing w:val="-4"/>
        </w:rPr>
        <w:t> </w:t>
      </w:r>
      <w:r>
        <w:rPr/>
        <w:t>EaseMyTrip</w:t>
      </w:r>
      <w:r>
        <w:rPr>
          <w:spacing w:val="-4"/>
        </w:rPr>
        <w:t> </w:t>
      </w:r>
      <w:r>
        <w:rPr/>
        <w:t>plans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raise</w:t>
      </w:r>
      <w:r>
        <w:rPr>
          <w:spacing w:val="-4"/>
        </w:rPr>
        <w:t> </w:t>
      </w:r>
      <w:r>
        <w:rPr/>
        <w:t>up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>
          <w:rFonts w:ascii="Trebuchet MS" w:hAnsi="Trebuchet MS"/>
        </w:rPr>
        <w:t>₹</w:t>
      </w:r>
      <w:r>
        <w:rPr/>
        <w:t>500</w:t>
      </w:r>
      <w:r>
        <w:rPr>
          <w:spacing w:val="-8"/>
        </w:rPr>
        <w:t> </w:t>
      </w:r>
      <w:r>
        <w:rPr/>
        <w:t>crore</w:t>
      </w:r>
      <w:r>
        <w:rPr>
          <w:spacing w:val="-7"/>
        </w:rPr>
        <w:t> </w:t>
      </w:r>
      <w:r>
        <w:rPr/>
        <w:t>through</w:t>
      </w:r>
      <w:r>
        <w:rPr>
          <w:spacing w:val="-5"/>
        </w:rPr>
        <w:t> </w:t>
      </w:r>
      <w:r>
        <w:rPr/>
        <w:t>equity or other securities to support expansion in high-growth segments, particularly hotels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holiday</w:t>
      </w:r>
      <w:r>
        <w:rPr>
          <w:spacing w:val="-1"/>
        </w:rPr>
        <w:t> </w:t>
      </w:r>
      <w:r>
        <w:rPr>
          <w:w w:val="104"/>
        </w:rPr>
        <w:t>s</w:t>
      </w:r>
      <w:r>
        <w:rPr>
          <w:w w:val="101"/>
        </w:rPr>
        <w:t>er</w:t>
      </w:r>
      <w:r>
        <w:rPr>
          <w:w w:val="99"/>
        </w:rPr>
        <w:t>v</w:t>
      </w:r>
      <w:r>
        <w:rPr>
          <w:w w:val="94"/>
        </w:rPr>
        <w:t>i</w:t>
      </w:r>
      <w:r>
        <w:rPr>
          <w:w w:val="120"/>
        </w:rPr>
        <w:t>c</w:t>
      </w:r>
      <w:r>
        <w:rPr>
          <w:w w:val="106"/>
        </w:rPr>
        <w:t>es</w:t>
      </w:r>
      <w:r>
        <w:rPr>
          <w:w w:val="62"/>
        </w:rPr>
        <w:t>.</w:t>
      </w:r>
      <w:r>
        <w:rPr>
          <w:spacing w:val="-2"/>
          <w:w w:val="99"/>
        </w:rPr>
        <w:t> </w:t>
      </w:r>
      <w:r>
        <w:rPr/>
        <w:t>The</w:t>
      </w:r>
      <w:r>
        <w:rPr>
          <w:spacing w:val="-2"/>
        </w:rPr>
        <w:t> </w:t>
      </w:r>
      <w:r>
        <w:rPr/>
        <w:t>fundraising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subject</w:t>
      </w:r>
      <w:r>
        <w:rPr>
          <w:spacing w:val="-5"/>
        </w:rPr>
        <w:t> </w:t>
      </w:r>
      <w:r>
        <w:rPr/>
        <w:t>to regulatory and shareholder approvals.</w:t>
      </w:r>
    </w:p>
    <w:p>
      <w:pPr>
        <w:spacing w:after="0" w:line="225" w:lineRule="auto"/>
        <w:jc w:val="both"/>
        <w:sectPr>
          <w:headerReference w:type="default" r:id="rId5"/>
          <w:footerReference w:type="default" r:id="rId6"/>
          <w:type w:val="continuous"/>
          <w:pgSz w:w="5940" w:h="8390"/>
          <w:pgMar w:header="0" w:footer="802" w:top="820" w:bottom="1000" w:left="0" w:right="0"/>
          <w:pgNumType w:start="1"/>
        </w:sectPr>
      </w:pPr>
    </w:p>
    <w:p>
      <w:pPr>
        <w:pStyle w:val="Heading1"/>
        <w:spacing w:before="85"/>
        <w:ind w:left="384"/>
      </w:pPr>
      <w:r>
        <w:rPr>
          <w:color w:val="1F487C"/>
          <w:w w:val="105"/>
        </w:rPr>
        <w:t>Fintech</w:t>
      </w:r>
      <w:r>
        <w:rPr>
          <w:color w:val="1F487C"/>
          <w:spacing w:val="-12"/>
          <w:w w:val="105"/>
        </w:rPr>
        <w:t> </w:t>
      </w:r>
      <w:r>
        <w:rPr>
          <w:color w:val="1F487C"/>
          <w:w w:val="105"/>
        </w:rPr>
        <w:t>Firm</w:t>
      </w:r>
      <w:r>
        <w:rPr>
          <w:color w:val="1F487C"/>
          <w:spacing w:val="-9"/>
          <w:w w:val="105"/>
        </w:rPr>
        <w:t> </w:t>
      </w:r>
      <w:r>
        <w:rPr>
          <w:color w:val="1F487C"/>
          <w:w w:val="105"/>
        </w:rPr>
        <w:t>Procap</w:t>
      </w:r>
      <w:r>
        <w:rPr>
          <w:color w:val="1F487C"/>
          <w:spacing w:val="-14"/>
          <w:w w:val="105"/>
        </w:rPr>
        <w:t> </w:t>
      </w:r>
      <w:r>
        <w:rPr>
          <w:color w:val="1F487C"/>
          <w:w w:val="105"/>
        </w:rPr>
        <w:t>Eyes</w:t>
      </w:r>
      <w:r>
        <w:rPr>
          <w:color w:val="1F487C"/>
          <w:spacing w:val="-7"/>
          <w:w w:val="105"/>
        </w:rPr>
        <w:t> </w:t>
      </w:r>
      <w:r>
        <w:rPr>
          <w:color w:val="1F487C"/>
          <w:w w:val="105"/>
        </w:rPr>
        <w:t>$100</w:t>
      </w:r>
      <w:r>
        <w:rPr>
          <w:color w:val="1F487C"/>
          <w:spacing w:val="-8"/>
          <w:w w:val="105"/>
        </w:rPr>
        <w:t> </w:t>
      </w:r>
      <w:r>
        <w:rPr>
          <w:color w:val="1F487C"/>
          <w:w w:val="105"/>
        </w:rPr>
        <w:t>Million</w:t>
      </w:r>
      <w:r>
        <w:rPr>
          <w:color w:val="1F487C"/>
          <w:spacing w:val="-14"/>
          <w:w w:val="105"/>
        </w:rPr>
        <w:t> </w:t>
      </w:r>
      <w:r>
        <w:rPr>
          <w:color w:val="1F487C"/>
          <w:w w:val="105"/>
        </w:rPr>
        <w:t>Funding</w:t>
      </w:r>
      <w:r>
        <w:rPr>
          <w:color w:val="1F487C"/>
          <w:spacing w:val="-13"/>
          <w:w w:val="105"/>
        </w:rPr>
        <w:t> </w:t>
      </w:r>
      <w:r>
        <w:rPr>
          <w:color w:val="1F487C"/>
          <w:spacing w:val="-2"/>
          <w:w w:val="105"/>
        </w:rPr>
        <w:t>Round</w:t>
      </w:r>
    </w:p>
    <w:p>
      <w:pPr>
        <w:pStyle w:val="BodyText"/>
        <w:spacing w:line="225" w:lineRule="auto" w:before="34"/>
        <w:ind w:left="384" w:right="349"/>
        <w:jc w:val="both"/>
      </w:pPr>
      <w:r>
        <w:rPr/>
        <w:t>Shares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brokerages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exchanges</w:t>
      </w:r>
      <w:r>
        <w:rPr>
          <w:spacing w:val="-9"/>
        </w:rPr>
        <w:t> </w:t>
      </w:r>
      <w:r>
        <w:rPr/>
        <w:t>declined</w:t>
      </w:r>
      <w:r>
        <w:rPr>
          <w:spacing w:val="-6"/>
        </w:rPr>
        <w:t> </w:t>
      </w:r>
      <w:r>
        <w:rPr/>
        <w:t>after</w:t>
      </w:r>
      <w:r>
        <w:rPr>
          <w:spacing w:val="-11"/>
        </w:rPr>
        <w:t> </w:t>
      </w:r>
      <w:r>
        <w:rPr/>
        <w:t>the</w:t>
      </w:r>
      <w:r>
        <w:rPr>
          <w:spacing w:val="-9"/>
        </w:rPr>
        <w:t> </w:t>
      </w:r>
      <w:r>
        <w:rPr/>
        <w:t>RBI</w:t>
      </w:r>
      <w:r>
        <w:rPr>
          <w:spacing w:val="-10"/>
        </w:rPr>
        <w:t> </w:t>
      </w:r>
      <w:r>
        <w:rPr/>
        <w:t>tightened</w:t>
      </w:r>
      <w:r>
        <w:rPr>
          <w:spacing w:val="-7"/>
        </w:rPr>
        <w:t> </w:t>
      </w:r>
      <w:r>
        <w:rPr/>
        <w:t>loan collateral norms, raising funding costs and reducing leverage opportunities. While banks may benefit from stricter lending </w:t>
      </w:r>
      <w:r>
        <w:rPr>
          <w:w w:val="102"/>
        </w:rPr>
        <w:t>s</w:t>
      </w:r>
      <w:r>
        <w:rPr>
          <w:w w:val="106"/>
        </w:rPr>
        <w:t>ta</w:t>
      </w:r>
      <w:r>
        <w:rPr>
          <w:w w:val="107"/>
        </w:rPr>
        <w:t>nd</w:t>
      </w:r>
      <w:r>
        <w:rPr>
          <w:w w:val="114"/>
        </w:rPr>
        <w:t>a</w:t>
      </w:r>
      <w:r>
        <w:rPr>
          <w:w w:val="89"/>
        </w:rPr>
        <w:t>r</w:t>
      </w:r>
      <w:r>
        <w:rPr>
          <w:w w:val="110"/>
        </w:rPr>
        <w:t>d</w:t>
      </w:r>
      <w:r>
        <w:rPr>
          <w:w w:val="102"/>
        </w:rPr>
        <w:t>s</w:t>
      </w:r>
      <w:r>
        <w:rPr>
          <w:w w:val="57"/>
        </w:rPr>
        <w:t>,</w:t>
      </w:r>
      <w:r>
        <w:rPr/>
        <w:t> capital market intermediaries face margin pressure and lower trading </w:t>
      </w:r>
      <w:r>
        <w:rPr>
          <w:spacing w:val="-2"/>
          <w:w w:val="118"/>
        </w:rPr>
        <w:t>a</w:t>
      </w:r>
      <w:r>
        <w:rPr>
          <w:spacing w:val="-2"/>
          <w:w w:val="122"/>
        </w:rPr>
        <w:t>c</w:t>
      </w:r>
      <w:r>
        <w:rPr>
          <w:spacing w:val="-2"/>
          <w:w w:val="97"/>
        </w:rPr>
        <w:t>ti</w:t>
      </w:r>
      <w:r>
        <w:rPr>
          <w:spacing w:val="-2"/>
          <w:w w:val="101"/>
        </w:rPr>
        <w:t>v</w:t>
      </w:r>
      <w:r>
        <w:rPr>
          <w:spacing w:val="-2"/>
          <w:w w:val="96"/>
        </w:rPr>
        <w:t>i</w:t>
      </w:r>
      <w:r>
        <w:rPr>
          <w:spacing w:val="-2"/>
        </w:rPr>
        <w:t>ty</w:t>
      </w:r>
      <w:r>
        <w:rPr>
          <w:spacing w:val="-2"/>
          <w:w w:val="64"/>
        </w:rPr>
        <w:t>.</w:t>
      </w:r>
    </w:p>
    <w:p>
      <w:pPr>
        <w:pStyle w:val="BodyText"/>
        <w:rPr>
          <w:sz w:val="5"/>
        </w:rPr>
      </w:pPr>
      <w:r>
        <w:rPr/>
        <w:pict>
          <v:shape style="position:absolute;margin-left:20.040001pt;margin-top:4.616357pt;width:261.1pt;height:.1pt;mso-position-horizontal-relative:page;mso-position-vertical-relative:paragraph;z-index:-15727104;mso-wrap-distance-left:0;mso-wrap-distance-right:0" id="docshape11" coordorigin="401,92" coordsize="5222,0" path="m401,92l5623,92e" filled="false" stroked="true" strokeweight=".75pt" strokecolor="#7e7e7e">
            <v:path arrowok="t"/>
            <v:stroke dashstyle="shortdash"/>
            <w10:wrap type="topAndBottom"/>
          </v:shape>
        </w:pict>
      </w:r>
    </w:p>
    <w:p>
      <w:pPr>
        <w:pStyle w:val="BodyText"/>
        <w:spacing w:line="228" w:lineRule="auto" w:before="90"/>
        <w:ind w:left="381" w:right="356"/>
      </w:pPr>
      <w:r>
        <w:rPr>
          <w:rFonts w:ascii="Arial"/>
          <w:b/>
          <w:color w:val="1F487C"/>
          <w:sz w:val="16"/>
        </w:rPr>
        <w:t>Capital Market Stocks</w:t>
      </w:r>
      <w:r>
        <w:rPr>
          <w:rFonts w:ascii="Arial"/>
          <w:b/>
          <w:color w:val="1F487C"/>
          <w:spacing w:val="19"/>
          <w:sz w:val="16"/>
        </w:rPr>
        <w:t> </w:t>
      </w:r>
      <w:r>
        <w:rPr>
          <w:rFonts w:ascii="Arial"/>
          <w:b/>
          <w:color w:val="1F487C"/>
          <w:sz w:val="16"/>
        </w:rPr>
        <w:t>Fall After RBI Tightens Collateral Rules</w:t>
      </w:r>
      <w:r>
        <w:rPr>
          <w:rFonts w:ascii="Arial"/>
          <w:b/>
          <w:color w:val="1F487C"/>
          <w:spacing w:val="40"/>
          <w:sz w:val="16"/>
        </w:rPr>
        <w:t> </w:t>
      </w:r>
      <w:r>
        <w:rPr/>
        <w:t>Shares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brokerages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exchanges</w:t>
      </w:r>
      <w:r>
        <w:rPr>
          <w:spacing w:val="-9"/>
        </w:rPr>
        <w:t> </w:t>
      </w:r>
      <w:r>
        <w:rPr/>
        <w:t>declined</w:t>
      </w:r>
      <w:r>
        <w:rPr>
          <w:spacing w:val="-9"/>
        </w:rPr>
        <w:t> </w:t>
      </w:r>
      <w:r>
        <w:rPr/>
        <w:t>after</w:t>
      </w:r>
      <w:r>
        <w:rPr>
          <w:spacing w:val="-11"/>
        </w:rPr>
        <w:t> </w:t>
      </w:r>
      <w:r>
        <w:rPr/>
        <w:t>the</w:t>
      </w:r>
      <w:r>
        <w:rPr>
          <w:spacing w:val="-9"/>
        </w:rPr>
        <w:t> </w:t>
      </w:r>
      <w:r>
        <w:rPr/>
        <w:t>RBI</w:t>
      </w:r>
      <w:r>
        <w:rPr>
          <w:spacing w:val="-10"/>
        </w:rPr>
        <w:t> </w:t>
      </w:r>
      <w:r>
        <w:rPr/>
        <w:t>tightened</w:t>
      </w:r>
      <w:r>
        <w:rPr>
          <w:spacing w:val="-7"/>
        </w:rPr>
        <w:t> </w:t>
      </w:r>
      <w:r>
        <w:rPr/>
        <w:t>loan collateral</w:t>
      </w:r>
      <w:r>
        <w:rPr>
          <w:spacing w:val="80"/>
          <w:w w:val="150"/>
        </w:rPr>
        <w:t> </w:t>
      </w:r>
      <w:r>
        <w:rPr/>
        <w:t>norms,</w:t>
      </w:r>
      <w:r>
        <w:rPr>
          <w:spacing w:val="80"/>
          <w:w w:val="150"/>
        </w:rPr>
        <w:t> </w:t>
      </w:r>
      <w:r>
        <w:rPr/>
        <w:t>raising</w:t>
      </w:r>
      <w:r>
        <w:rPr>
          <w:spacing w:val="80"/>
          <w:w w:val="150"/>
        </w:rPr>
        <w:t> </w:t>
      </w:r>
      <w:r>
        <w:rPr/>
        <w:t>funding</w:t>
      </w:r>
      <w:r>
        <w:rPr>
          <w:spacing w:val="80"/>
          <w:w w:val="150"/>
        </w:rPr>
        <w:t> </w:t>
      </w:r>
      <w:r>
        <w:rPr/>
        <w:t>costs</w:t>
      </w:r>
      <w:r>
        <w:rPr>
          <w:spacing w:val="80"/>
          <w:w w:val="150"/>
        </w:rPr>
        <w:t> </w:t>
      </w:r>
      <w:r>
        <w:rPr/>
        <w:t>and</w:t>
      </w:r>
      <w:r>
        <w:rPr>
          <w:spacing w:val="80"/>
          <w:w w:val="150"/>
        </w:rPr>
        <w:t> </w:t>
      </w:r>
      <w:r>
        <w:rPr/>
        <w:t>reducing</w:t>
      </w:r>
      <w:r>
        <w:rPr>
          <w:spacing w:val="80"/>
          <w:w w:val="150"/>
        </w:rPr>
        <w:t> </w:t>
      </w:r>
      <w:r>
        <w:rPr/>
        <w:t>leverage opportunities. While banks may benefit from stricter lending </w:t>
      </w:r>
      <w:r>
        <w:rPr>
          <w:w w:val="102"/>
        </w:rPr>
        <w:t>s</w:t>
      </w:r>
      <w:r>
        <w:rPr>
          <w:w w:val="106"/>
        </w:rPr>
        <w:t>ta</w:t>
      </w:r>
      <w:r>
        <w:rPr>
          <w:w w:val="107"/>
        </w:rPr>
        <w:t>nd</w:t>
      </w:r>
      <w:r>
        <w:rPr>
          <w:w w:val="114"/>
        </w:rPr>
        <w:t>a</w:t>
      </w:r>
      <w:r>
        <w:rPr>
          <w:w w:val="89"/>
        </w:rPr>
        <w:t>r</w:t>
      </w:r>
      <w:r>
        <w:rPr>
          <w:w w:val="110"/>
        </w:rPr>
        <w:t>d</w:t>
      </w:r>
      <w:r>
        <w:rPr>
          <w:w w:val="102"/>
        </w:rPr>
        <w:t>s</w:t>
      </w:r>
      <w:r>
        <w:rPr>
          <w:w w:val="57"/>
        </w:rPr>
        <w:t>,</w:t>
      </w:r>
      <w:r>
        <w:rPr/>
        <w:t> capital</w:t>
      </w:r>
      <w:r>
        <w:rPr>
          <w:spacing w:val="34"/>
        </w:rPr>
        <w:t> </w:t>
      </w:r>
      <w:r>
        <w:rPr/>
        <w:t>market</w:t>
      </w:r>
      <w:r>
        <w:rPr>
          <w:spacing w:val="34"/>
        </w:rPr>
        <w:t> </w:t>
      </w:r>
      <w:r>
        <w:rPr/>
        <w:t>intermediaries</w:t>
      </w:r>
      <w:r>
        <w:rPr>
          <w:spacing w:val="34"/>
        </w:rPr>
        <w:t> </w:t>
      </w:r>
      <w:r>
        <w:rPr/>
        <w:t>face</w:t>
      </w:r>
      <w:r>
        <w:rPr>
          <w:spacing w:val="30"/>
        </w:rPr>
        <w:t> </w:t>
      </w:r>
      <w:r>
        <w:rPr/>
        <w:t>margin</w:t>
      </w:r>
      <w:r>
        <w:rPr>
          <w:spacing w:val="34"/>
        </w:rPr>
        <w:t> </w:t>
      </w:r>
      <w:r>
        <w:rPr/>
        <w:t>pressure</w:t>
      </w:r>
      <w:r>
        <w:rPr>
          <w:spacing w:val="35"/>
        </w:rPr>
        <w:t> </w:t>
      </w:r>
      <w:r>
        <w:rPr/>
        <w:t>and</w:t>
      </w:r>
      <w:r>
        <w:rPr>
          <w:spacing w:val="33"/>
        </w:rPr>
        <w:t> </w:t>
      </w:r>
      <w:r>
        <w:rPr/>
        <w:t>lower</w:t>
      </w:r>
      <w:r>
        <w:rPr>
          <w:spacing w:val="31"/>
        </w:rPr>
        <w:t> </w:t>
      </w:r>
      <w:r>
        <w:rPr/>
        <w:t>trading </w:t>
      </w:r>
      <w:r>
        <w:rPr>
          <w:spacing w:val="-2"/>
          <w:w w:val="118"/>
        </w:rPr>
        <w:t>a</w:t>
      </w:r>
      <w:r>
        <w:rPr>
          <w:spacing w:val="-2"/>
          <w:w w:val="122"/>
        </w:rPr>
        <w:t>c</w:t>
      </w:r>
      <w:r>
        <w:rPr>
          <w:spacing w:val="-2"/>
          <w:w w:val="97"/>
        </w:rPr>
        <w:t>ti</w:t>
      </w:r>
      <w:r>
        <w:rPr>
          <w:spacing w:val="-2"/>
          <w:w w:val="101"/>
        </w:rPr>
        <w:t>v</w:t>
      </w:r>
      <w:r>
        <w:rPr>
          <w:spacing w:val="-2"/>
          <w:w w:val="96"/>
        </w:rPr>
        <w:t>i</w:t>
      </w:r>
      <w:r>
        <w:rPr>
          <w:spacing w:val="-2"/>
        </w:rPr>
        <w:t>ty</w:t>
      </w:r>
      <w:r>
        <w:rPr>
          <w:spacing w:val="-2"/>
          <w:w w:val="64"/>
        </w:rPr>
        <w:t>.</w:t>
      </w:r>
    </w:p>
    <w:p>
      <w:pPr>
        <w:pStyle w:val="BodyText"/>
        <w:spacing w:before="10"/>
        <w:rPr>
          <w:sz w:val="7"/>
        </w:rPr>
      </w:pPr>
      <w:r>
        <w:rPr/>
        <w:pict>
          <v:shape style="position:absolute;margin-left:20.040001pt;margin-top:5.975952pt;width:261.1pt;height:.1pt;mso-position-horizontal-relative:page;mso-position-vertical-relative:paragraph;z-index:-15726592;mso-wrap-distance-left:0;mso-wrap-distance-right:0" id="docshape12" coordorigin="401,120" coordsize="5222,0" path="m401,120l5623,120e" filled="false" stroked="true" strokeweight=".75pt" strokecolor="#7e7e7e">
            <v:path arrowok="t"/>
            <v:stroke dashstyle="shortdash"/>
            <w10:wrap type="topAndBottom"/>
          </v:shape>
        </w:pict>
      </w:r>
    </w:p>
    <w:p>
      <w:pPr>
        <w:pStyle w:val="Heading1"/>
        <w:spacing w:line="183" w:lineRule="exact" w:before="64"/>
        <w:ind w:left="381"/>
      </w:pPr>
      <w:r>
        <w:rPr>
          <w:color w:val="1F487C"/>
          <w:w w:val="105"/>
        </w:rPr>
        <w:t>WPI</w:t>
      </w:r>
      <w:r>
        <w:rPr>
          <w:color w:val="1F487C"/>
          <w:spacing w:val="-8"/>
          <w:w w:val="105"/>
        </w:rPr>
        <w:t> </w:t>
      </w:r>
      <w:r>
        <w:rPr>
          <w:color w:val="1F487C"/>
          <w:w w:val="105"/>
        </w:rPr>
        <w:t>Inflation</w:t>
      </w:r>
      <w:r>
        <w:rPr>
          <w:color w:val="1F487C"/>
          <w:spacing w:val="-11"/>
          <w:w w:val="105"/>
        </w:rPr>
        <w:t> </w:t>
      </w:r>
      <w:r>
        <w:rPr>
          <w:color w:val="1F487C"/>
          <w:w w:val="105"/>
        </w:rPr>
        <w:t>Hits</w:t>
      </w:r>
      <w:r>
        <w:rPr>
          <w:color w:val="1F487C"/>
          <w:spacing w:val="-7"/>
          <w:w w:val="105"/>
        </w:rPr>
        <w:t> </w:t>
      </w:r>
      <w:r>
        <w:rPr>
          <w:color w:val="1F487C"/>
          <w:w w:val="105"/>
        </w:rPr>
        <w:t>10-Month</w:t>
      </w:r>
      <w:r>
        <w:rPr>
          <w:color w:val="1F487C"/>
          <w:spacing w:val="-11"/>
          <w:w w:val="105"/>
        </w:rPr>
        <w:t> </w:t>
      </w:r>
      <w:r>
        <w:rPr>
          <w:color w:val="1F487C"/>
          <w:w w:val="105"/>
        </w:rPr>
        <w:t>High</w:t>
      </w:r>
      <w:r>
        <w:rPr>
          <w:color w:val="1F487C"/>
          <w:spacing w:val="-11"/>
          <w:w w:val="105"/>
        </w:rPr>
        <w:t> </w:t>
      </w:r>
      <w:r>
        <w:rPr>
          <w:color w:val="1F487C"/>
          <w:w w:val="105"/>
        </w:rPr>
        <w:t>of</w:t>
      </w:r>
      <w:r>
        <w:rPr>
          <w:color w:val="1F487C"/>
          <w:spacing w:val="-5"/>
          <w:w w:val="105"/>
        </w:rPr>
        <w:t> </w:t>
      </w:r>
      <w:r>
        <w:rPr>
          <w:color w:val="1F487C"/>
          <w:w w:val="105"/>
        </w:rPr>
        <w:t>1.8%</w:t>
      </w:r>
      <w:r>
        <w:rPr>
          <w:color w:val="1F487C"/>
          <w:spacing w:val="-9"/>
          <w:w w:val="105"/>
        </w:rPr>
        <w:t> </w:t>
      </w:r>
      <w:r>
        <w:rPr>
          <w:color w:val="1F487C"/>
          <w:w w:val="105"/>
        </w:rPr>
        <w:t>in</w:t>
      </w:r>
      <w:r>
        <w:rPr>
          <w:color w:val="1F487C"/>
          <w:spacing w:val="-9"/>
          <w:w w:val="105"/>
        </w:rPr>
        <w:t> </w:t>
      </w:r>
      <w:r>
        <w:rPr>
          <w:color w:val="1F487C"/>
          <w:spacing w:val="-2"/>
          <w:w w:val="105"/>
        </w:rPr>
        <w:t>January</w:t>
      </w:r>
    </w:p>
    <w:p>
      <w:pPr>
        <w:pStyle w:val="BodyText"/>
        <w:spacing w:line="225" w:lineRule="auto" w:before="8"/>
        <w:ind w:left="381" w:right="353"/>
        <w:jc w:val="both"/>
      </w:pPr>
      <w:r>
        <w:rPr>
          <w:rFonts w:ascii="Trebuchet MS" w:hAnsi="Trebuchet MS"/>
          <w:spacing w:val="-1"/>
          <w:w w:val="83"/>
        </w:rPr>
        <w:t>I</w:t>
      </w:r>
      <w:r>
        <w:rPr>
          <w:rFonts w:ascii="Trebuchet MS" w:hAnsi="Trebuchet MS"/>
          <w:spacing w:val="1"/>
          <w:w w:val="112"/>
        </w:rPr>
        <w:t>n</w:t>
      </w:r>
      <w:r>
        <w:rPr>
          <w:rFonts w:ascii="Trebuchet MS" w:hAnsi="Trebuchet MS"/>
          <w:spacing w:val="-1"/>
          <w:w w:val="116"/>
        </w:rPr>
        <w:t>d</w:t>
      </w:r>
      <w:r>
        <w:rPr>
          <w:rFonts w:ascii="Trebuchet MS" w:hAnsi="Trebuchet MS"/>
          <w:spacing w:val="1"/>
          <w:w w:val="81"/>
        </w:rPr>
        <w:t>i</w:t>
      </w:r>
      <w:r>
        <w:rPr>
          <w:rFonts w:ascii="Trebuchet MS" w:hAnsi="Trebuchet MS"/>
          <w:spacing w:val="-1"/>
          <w:w w:val="123"/>
        </w:rPr>
        <w:t>a</w:t>
      </w:r>
      <w:r>
        <w:rPr>
          <w:rFonts w:ascii="Trebuchet MS" w:hAnsi="Trebuchet MS"/>
          <w:w w:val="55"/>
        </w:rPr>
        <w:t>’</w:t>
      </w:r>
      <w:r>
        <w:rPr>
          <w:rFonts w:ascii="Trebuchet MS" w:hAnsi="Trebuchet MS"/>
          <w:w w:val="124"/>
        </w:rPr>
        <w:t>s</w:t>
      </w:r>
      <w:r>
        <w:rPr>
          <w:rFonts w:ascii="Trebuchet MS" w:hAnsi="Trebuchet MS"/>
          <w:spacing w:val="-1"/>
          <w:w w:val="99"/>
        </w:rPr>
        <w:t> </w:t>
      </w:r>
      <w:r>
        <w:rPr/>
        <w:t>wholesale inflation rose to a 10-month high of 1.8% in </w:t>
      </w:r>
      <w:r>
        <w:rPr>
          <w:spacing w:val="-1"/>
          <w:w w:val="118"/>
        </w:rPr>
        <w:t>J</w:t>
      </w:r>
      <w:r>
        <w:rPr>
          <w:w w:val="114"/>
        </w:rPr>
        <w:t>a</w:t>
      </w:r>
      <w:r>
        <w:rPr>
          <w:spacing w:val="-1"/>
          <w:w w:val="103"/>
        </w:rPr>
        <w:t>n</w:t>
      </w:r>
      <w:r>
        <w:rPr>
          <w:w w:val="103"/>
        </w:rPr>
        <w:t>u</w:t>
      </w:r>
      <w:r>
        <w:rPr>
          <w:spacing w:val="-2"/>
          <w:w w:val="114"/>
        </w:rPr>
        <w:t>a</w:t>
      </w:r>
      <w:r>
        <w:rPr>
          <w:spacing w:val="-1"/>
          <w:w w:val="89"/>
        </w:rPr>
        <w:t>r</w:t>
      </w:r>
      <w:r>
        <w:rPr>
          <w:spacing w:val="-1"/>
          <w:w w:val="97"/>
        </w:rPr>
        <w:t>y</w:t>
      </w:r>
      <w:r>
        <w:rPr>
          <w:spacing w:val="-1"/>
          <w:w w:val="57"/>
        </w:rPr>
        <w:t>,</w:t>
      </w:r>
      <w:r>
        <w:rPr>
          <w:spacing w:val="-1"/>
          <w:w w:val="99"/>
        </w:rPr>
        <w:t> </w:t>
      </w:r>
      <w:r>
        <w:rPr/>
        <w:t>driven by higher core inflation and a rebound in food </w:t>
      </w:r>
      <w:r>
        <w:rPr>
          <w:w w:val="113"/>
        </w:rPr>
        <w:t>p</w:t>
      </w:r>
      <w:r>
        <w:rPr>
          <w:w w:val="92"/>
        </w:rPr>
        <w:t>r</w:t>
      </w:r>
      <w:r>
        <w:rPr>
          <w:w w:val="95"/>
        </w:rPr>
        <w:t>i</w:t>
      </w:r>
      <w:r>
        <w:rPr>
          <w:w w:val="121"/>
        </w:rPr>
        <w:t>c</w:t>
      </w:r>
      <w:r>
        <w:rPr>
          <w:w w:val="107"/>
        </w:rPr>
        <w:t>es</w:t>
      </w:r>
      <w:r>
        <w:rPr>
          <w:w w:val="63"/>
        </w:rPr>
        <w:t>.</w:t>
      </w:r>
      <w:r>
        <w:rPr>
          <w:w w:val="99"/>
        </w:rPr>
        <w:t> </w:t>
      </w:r>
      <w:r>
        <w:rPr/>
        <w:t>Rising commodity costs and supply pressures contributed to the increase.</w:t>
      </w:r>
    </w:p>
    <w:p>
      <w:pPr>
        <w:pStyle w:val="BodyText"/>
        <w:spacing w:before="6"/>
        <w:rPr>
          <w:sz w:val="3"/>
        </w:rPr>
      </w:pPr>
      <w:r>
        <w:rPr/>
        <w:pict>
          <v:shape style="position:absolute;margin-left:20.040001pt;margin-top:3.341134pt;width:261.1pt;height:.1pt;mso-position-horizontal-relative:page;mso-position-vertical-relative:paragraph;z-index:-15726080;mso-wrap-distance-left:0;mso-wrap-distance-right:0" id="docshape13" coordorigin="401,67" coordsize="5222,0" path="m401,67l5623,67e" filled="false" stroked="true" strokeweight=".75pt" strokecolor="#7e7e7e">
            <v:path arrowok="t"/>
            <v:stroke dashstyle="shortdash"/>
            <w10:wrap type="topAndBottom"/>
          </v:shape>
        </w:pict>
      </w:r>
    </w:p>
    <w:p>
      <w:pPr>
        <w:pStyle w:val="Heading1"/>
        <w:spacing w:line="183" w:lineRule="exact" w:before="96"/>
        <w:ind w:left="394"/>
      </w:pPr>
      <w:r>
        <w:rPr>
          <w:color w:val="1F487C"/>
          <w:w w:val="105"/>
        </w:rPr>
        <w:t>US</w:t>
      </w:r>
      <w:r>
        <w:rPr>
          <w:color w:val="1F487C"/>
          <w:spacing w:val="-8"/>
          <w:w w:val="105"/>
        </w:rPr>
        <w:t> </w:t>
      </w:r>
      <w:r>
        <w:rPr>
          <w:color w:val="1F487C"/>
          <w:w w:val="105"/>
        </w:rPr>
        <w:t>Likely</w:t>
      </w:r>
      <w:r>
        <w:rPr>
          <w:color w:val="1F487C"/>
          <w:spacing w:val="-7"/>
          <w:w w:val="105"/>
        </w:rPr>
        <w:t> </w:t>
      </w:r>
      <w:r>
        <w:rPr>
          <w:color w:val="1F487C"/>
          <w:w w:val="105"/>
        </w:rPr>
        <w:t>to</w:t>
      </w:r>
      <w:r>
        <w:rPr>
          <w:color w:val="1F487C"/>
          <w:spacing w:val="-4"/>
          <w:w w:val="105"/>
        </w:rPr>
        <w:t> </w:t>
      </w:r>
      <w:r>
        <w:rPr>
          <w:color w:val="1F487C"/>
          <w:w w:val="105"/>
        </w:rPr>
        <w:t>Cut</w:t>
      </w:r>
      <w:r>
        <w:rPr>
          <w:color w:val="1F487C"/>
          <w:spacing w:val="-7"/>
          <w:w w:val="105"/>
        </w:rPr>
        <w:t> </w:t>
      </w:r>
      <w:r>
        <w:rPr>
          <w:color w:val="1F487C"/>
          <w:w w:val="105"/>
        </w:rPr>
        <w:t>Reciprocal</w:t>
      </w:r>
      <w:r>
        <w:rPr>
          <w:color w:val="1F487C"/>
          <w:spacing w:val="-12"/>
          <w:w w:val="105"/>
        </w:rPr>
        <w:t> </w:t>
      </w:r>
      <w:r>
        <w:rPr>
          <w:color w:val="1F487C"/>
          <w:w w:val="105"/>
        </w:rPr>
        <w:t>Tariffs</w:t>
      </w:r>
      <w:r>
        <w:rPr>
          <w:color w:val="1F487C"/>
          <w:spacing w:val="-11"/>
          <w:w w:val="105"/>
        </w:rPr>
        <w:t> </w:t>
      </w:r>
      <w:r>
        <w:rPr>
          <w:color w:val="1F487C"/>
          <w:w w:val="105"/>
        </w:rPr>
        <w:t>on</w:t>
      </w:r>
      <w:r>
        <w:rPr>
          <w:color w:val="1F487C"/>
          <w:spacing w:val="-7"/>
          <w:w w:val="105"/>
        </w:rPr>
        <w:t> </w:t>
      </w:r>
      <w:r>
        <w:rPr>
          <w:color w:val="1F487C"/>
          <w:w w:val="105"/>
        </w:rPr>
        <w:t>Indian</w:t>
      </w:r>
      <w:r>
        <w:rPr>
          <w:color w:val="1F487C"/>
          <w:spacing w:val="-10"/>
          <w:w w:val="105"/>
        </w:rPr>
        <w:t> </w:t>
      </w:r>
      <w:r>
        <w:rPr>
          <w:color w:val="1F487C"/>
          <w:spacing w:val="-2"/>
          <w:w w:val="105"/>
        </w:rPr>
        <w:t>Imports</w:t>
      </w:r>
    </w:p>
    <w:p>
      <w:pPr>
        <w:pStyle w:val="BodyText"/>
        <w:spacing w:line="225" w:lineRule="auto"/>
        <w:ind w:left="394" w:right="340"/>
        <w:jc w:val="both"/>
      </w:pPr>
      <w:r>
        <w:rPr/>
        <w:t>The US is expected to</w:t>
      </w:r>
      <w:r>
        <w:rPr>
          <w:spacing w:val="-2"/>
        </w:rPr>
        <w:t> </w:t>
      </w:r>
      <w:r>
        <w:rPr/>
        <w:t>reduce</w:t>
      </w:r>
      <w:r>
        <w:rPr>
          <w:spacing w:val="-2"/>
        </w:rPr>
        <w:t> </w:t>
      </w:r>
      <w:r>
        <w:rPr/>
        <w:t>reciprocal</w:t>
      </w:r>
      <w:r>
        <w:rPr>
          <w:spacing w:val="-2"/>
        </w:rPr>
        <w:t> </w:t>
      </w:r>
      <w:r>
        <w:rPr/>
        <w:t>tariffs</w:t>
      </w:r>
      <w:r>
        <w:rPr>
          <w:spacing w:val="-1"/>
        </w:rPr>
        <w:t> </w:t>
      </w:r>
      <w:r>
        <w:rPr/>
        <w:t>on Indian goods as part</w:t>
      </w:r>
      <w:r>
        <w:rPr>
          <w:spacing w:val="-1"/>
        </w:rPr>
        <w:t> </w:t>
      </w:r>
      <w:r>
        <w:rPr/>
        <w:t>of ongoing trade negotiations. The move could boost bilateral trade and ease market </w:t>
      </w:r>
      <w:r>
        <w:rPr>
          <w:spacing w:val="-1"/>
          <w:w w:val="111"/>
        </w:rPr>
        <w:t>a</w:t>
      </w:r>
      <w:r>
        <w:rPr>
          <w:spacing w:val="-1"/>
          <w:w w:val="115"/>
        </w:rPr>
        <w:t>c</w:t>
      </w:r>
      <w:r>
        <w:rPr>
          <w:spacing w:val="1"/>
          <w:w w:val="115"/>
        </w:rPr>
        <w:t>c</w:t>
      </w:r>
      <w:r>
        <w:rPr>
          <w:w w:val="101"/>
        </w:rPr>
        <w:t>e</w:t>
      </w:r>
      <w:r>
        <w:rPr>
          <w:spacing w:val="-1"/>
          <w:w w:val="101"/>
        </w:rPr>
        <w:t>s</w:t>
      </w:r>
      <w:r>
        <w:rPr>
          <w:spacing w:val="1"/>
          <w:w w:val="99"/>
        </w:rPr>
        <w:t>s</w:t>
      </w:r>
      <w:r>
        <w:rPr>
          <w:w w:val="54"/>
        </w:rPr>
        <w:t>,</w:t>
      </w:r>
      <w:r>
        <w:rPr>
          <w:spacing w:val="-1"/>
          <w:w w:val="99"/>
        </w:rPr>
        <w:t> </w:t>
      </w:r>
      <w:r>
        <w:rPr/>
        <w:t>with discussions continuing to finalise broader trade </w:t>
      </w:r>
      <w:r>
        <w:rPr>
          <w:spacing w:val="-2"/>
        </w:rPr>
        <w:t>agreements.</w:t>
      </w:r>
    </w:p>
    <w:p>
      <w:pPr>
        <w:pStyle w:val="BodyText"/>
        <w:spacing w:before="3"/>
        <w:rPr>
          <w:sz w:val="20"/>
        </w:rPr>
      </w:pPr>
    </w:p>
    <w:p>
      <w:pPr>
        <w:tabs>
          <w:tab w:pos="381" w:val="left" w:leader="none"/>
          <w:tab w:pos="5939" w:val="left" w:leader="none"/>
        </w:tabs>
        <w:spacing w:before="0"/>
        <w:ind w:left="0" w:right="0" w:firstLine="0"/>
        <w:jc w:val="left"/>
        <w:rPr>
          <w:rFonts w:ascii="Arial"/>
          <w:b/>
          <w:sz w:val="16"/>
        </w:rPr>
      </w:pPr>
      <w:r>
        <w:rPr/>
        <w:drawing>
          <wp:anchor distT="0" distB="0" distL="0" distR="0" allowOverlap="1" layoutInCell="1" locked="0" behindDoc="1" simplePos="0" relativeHeight="487540224">
            <wp:simplePos x="0" y="0"/>
            <wp:positionH relativeFrom="page">
              <wp:posOffset>0</wp:posOffset>
            </wp:positionH>
            <wp:positionV relativeFrom="paragraph">
              <wp:posOffset>-69572</wp:posOffset>
            </wp:positionV>
            <wp:extent cx="3771899" cy="276353"/>
            <wp:effectExtent l="0" t="0" r="0" b="0"/>
            <wp:wrapNone/>
            <wp:docPr id="3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899" cy="276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color w:val="005464"/>
          <w:sz w:val="16"/>
          <w:shd w:fill="F1F1F1" w:color="auto" w:val="clear"/>
        </w:rPr>
        <w:tab/>
      </w:r>
      <w:r>
        <w:rPr>
          <w:rFonts w:ascii="Arial"/>
          <w:b/>
          <w:color w:val="005464"/>
          <w:spacing w:val="-2"/>
          <w:w w:val="110"/>
          <w:sz w:val="16"/>
          <w:shd w:fill="F1F1F1" w:color="auto" w:val="clear"/>
        </w:rPr>
        <w:t>Disclaimer</w:t>
      </w:r>
      <w:r>
        <w:rPr>
          <w:rFonts w:ascii="Arial"/>
          <w:b/>
          <w:color w:val="005464"/>
          <w:sz w:val="16"/>
          <w:shd w:fill="F1F1F1" w:color="auto" w:val="clear"/>
        </w:rPr>
        <w:tab/>
      </w:r>
    </w:p>
    <w:p>
      <w:pPr>
        <w:pStyle w:val="BodyText"/>
        <w:spacing w:line="225" w:lineRule="auto" w:before="67"/>
        <w:ind w:left="394" w:right="337"/>
        <w:jc w:val="both"/>
      </w:pPr>
      <w:r>
        <w:rPr/>
        <w:t>This research summary is based on publicly available news sources and</w:t>
      </w:r>
      <w:r>
        <w:rPr>
          <w:spacing w:val="40"/>
        </w:rPr>
        <w:t> </w:t>
      </w:r>
      <w:r>
        <w:rPr/>
        <w:t>is intended solely for informational purposes. While reasonable care has been taken to ensure </w:t>
      </w:r>
      <w:r>
        <w:rPr>
          <w:w w:val="110"/>
        </w:rPr>
        <w:t>a</w:t>
      </w:r>
      <w:r>
        <w:rPr>
          <w:spacing w:val="-2"/>
          <w:w w:val="114"/>
        </w:rPr>
        <w:t>c</w:t>
      </w:r>
      <w:r>
        <w:rPr>
          <w:w w:val="114"/>
        </w:rPr>
        <w:t>c</w:t>
      </w:r>
      <w:r>
        <w:rPr>
          <w:spacing w:val="-1"/>
          <w:w w:val="94"/>
        </w:rPr>
        <w:t>ur</w:t>
      </w:r>
      <w:r>
        <w:rPr>
          <w:w w:val="110"/>
        </w:rPr>
        <w:t>a</w:t>
      </w:r>
      <w:r>
        <w:rPr>
          <w:spacing w:val="-2"/>
          <w:w w:val="114"/>
        </w:rPr>
        <w:t>c</w:t>
      </w:r>
      <w:r>
        <w:rPr>
          <w:spacing w:val="-1"/>
          <w:w w:val="93"/>
        </w:rPr>
        <w:t>y</w:t>
      </w:r>
      <w:r>
        <w:rPr>
          <w:spacing w:val="-1"/>
          <w:w w:val="53"/>
        </w:rPr>
        <w:t>,</w:t>
      </w:r>
      <w:r>
        <w:rPr>
          <w:spacing w:val="-1"/>
          <w:w w:val="99"/>
        </w:rPr>
        <w:t> </w:t>
      </w:r>
      <w:r>
        <w:rPr/>
        <w:t>the information may be incomplete or subject to </w:t>
      </w:r>
      <w:r>
        <w:rPr>
          <w:w w:val="116"/>
        </w:rPr>
        <w:t>c</w:t>
      </w:r>
      <w:r>
        <w:rPr>
          <w:w w:val="101"/>
        </w:rPr>
        <w:t>h</w:t>
      </w:r>
      <w:r>
        <w:rPr>
          <w:w w:val="112"/>
        </w:rPr>
        <w:t>a</w:t>
      </w:r>
      <w:r>
        <w:rPr>
          <w:w w:val="101"/>
        </w:rPr>
        <w:t>n</w:t>
      </w:r>
      <w:r>
        <w:rPr>
          <w:w w:val="108"/>
        </w:rPr>
        <w:t>g</w:t>
      </w:r>
      <w:r>
        <w:rPr>
          <w:w w:val="104"/>
        </w:rPr>
        <w:t>e</w:t>
      </w:r>
      <w:r>
        <w:rPr>
          <w:w w:val="58"/>
        </w:rPr>
        <w:t>.</w:t>
      </w:r>
      <w:r>
        <w:rPr/>
        <w:t> This document should not be considered as investment advice or a recommendation to buy or sell any securities.</w:t>
      </w:r>
    </w:p>
    <w:sectPr>
      <w:pgSz w:w="5940" w:h="8390"/>
      <w:pgMar w:header="0" w:footer="802" w:top="820" w:bottom="100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Verdana">
    <w:altName w:val="Verdana"/>
    <w:charset w:val="0"/>
    <w:family w:val="swiss"/>
    <w:pitch w:val="variable"/>
  </w:font>
  <w:font w:name="Trebuchet MS">
    <w:altName w:val="Trebuchet MS"/>
    <w:charset w:val="0"/>
    <w:family w:val="swiss"/>
    <w:pitch w:val="variable"/>
  </w:font>
  <w:font w:name="Arial">
    <w:altName w:val="Arial"/>
    <w:charset w:val="0"/>
    <w:family w:val="swiss"/>
    <w:pitch w:val="variable"/>
  </w:font>
  <w:font w:name="Century Gothic">
    <w:altName w:val="Century Gothic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 w:before="0"/>
      <w:rPr>
        <w:sz w:val="20"/>
      </w:rPr>
    </w:pPr>
    <w:r>
      <w:rPr/>
      <w:drawing>
        <wp:anchor distT="0" distB="0" distL="0" distR="0" allowOverlap="1" layoutInCell="1" locked="0" behindDoc="1" simplePos="0" relativeHeight="487538688">
          <wp:simplePos x="0" y="0"/>
          <wp:positionH relativeFrom="page">
            <wp:posOffset>210372</wp:posOffset>
          </wp:positionH>
          <wp:positionV relativeFrom="page">
            <wp:posOffset>4953000</wp:posOffset>
          </wp:positionV>
          <wp:extent cx="676534" cy="224028"/>
          <wp:effectExtent l="0" t="0" r="0" b="0"/>
          <wp:wrapNone/>
          <wp:docPr id="1" name="image1.jpeg" descr="Ashika Group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6534" cy="22402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line style="position:absolute;mso-position-horizontal-relative:page;mso-position-vertical-relative:page;z-index:-15777280" from="14.04pt,377.52002pt" to="279.26pt,377.52002pt" stroked="true" strokeweight=".5pt" strokecolor="#7e7e7e">
          <v:stroke dashstyle="shortdash"/>
          <w10:wrap type="none"/>
        </v:line>
      </w:pict>
    </w:r>
    <w:r>
      <w:rPr/>
      <w:pict>
        <v:shape style="position:absolute;margin-left:18.056pt;margin-top:367.940002pt;width:254.15pt;height:46.8pt;mso-position-horizontal-relative:page;mso-position-vertical-relative:page;z-index:-15776768" type="#_x0000_t202" id="docshape5" filled="false" stroked="false">
          <v:textbox inset="0,0,0,0">
            <w:txbxContent>
              <w:p>
                <w:pPr>
                  <w:spacing w:before="25"/>
                  <w:ind w:left="20" w:right="0" w:firstLine="0"/>
                  <w:jc w:val="left"/>
                  <w:rPr>
                    <w:rFonts w:ascii="Century Gothic"/>
                    <w:i/>
                    <w:sz w:val="10"/>
                  </w:rPr>
                </w:pPr>
                <w:r>
                  <w:rPr>
                    <w:rFonts w:ascii="Arial"/>
                    <w:b/>
                    <w:i/>
                    <w:color w:val="7E7E7E"/>
                    <w:w w:val="105"/>
                    <w:sz w:val="10"/>
                  </w:rPr>
                  <w:t>Source:</w:t>
                </w:r>
                <w:r>
                  <w:rPr>
                    <w:rFonts w:ascii="Arial"/>
                    <w:b/>
                    <w:i/>
                    <w:color w:val="7E7E7E"/>
                    <w:spacing w:val="-5"/>
                    <w:w w:val="105"/>
                    <w:sz w:val="10"/>
                  </w:rPr>
                  <w:t> </w:t>
                </w:r>
                <w:r>
                  <w:rPr>
                    <w:rFonts w:ascii="Century Gothic"/>
                    <w:i/>
                    <w:color w:val="7E7E7E"/>
                    <w:w w:val="105"/>
                    <w:sz w:val="10"/>
                  </w:rPr>
                  <w:t>Business</w:t>
                </w:r>
                <w:r>
                  <w:rPr>
                    <w:rFonts w:ascii="Century Gothic"/>
                    <w:i/>
                    <w:color w:val="7E7E7E"/>
                    <w:spacing w:val="-4"/>
                    <w:w w:val="105"/>
                    <w:sz w:val="10"/>
                  </w:rPr>
                  <w:t> </w:t>
                </w:r>
                <w:r>
                  <w:rPr>
                    <w:rFonts w:ascii="Century Gothic"/>
                    <w:i/>
                    <w:color w:val="7E7E7E"/>
                    <w:w w:val="105"/>
                    <w:sz w:val="10"/>
                  </w:rPr>
                  <w:t>Standard,</w:t>
                </w:r>
                <w:r>
                  <w:rPr>
                    <w:rFonts w:ascii="Century Gothic"/>
                    <w:i/>
                    <w:color w:val="7E7E7E"/>
                    <w:spacing w:val="-2"/>
                    <w:w w:val="105"/>
                    <w:sz w:val="10"/>
                  </w:rPr>
                  <w:t> </w:t>
                </w:r>
                <w:r>
                  <w:rPr>
                    <w:rFonts w:ascii="Century Gothic"/>
                    <w:i/>
                    <w:color w:val="7E7E7E"/>
                    <w:w w:val="105"/>
                    <w:sz w:val="10"/>
                  </w:rPr>
                  <w:t>Financial</w:t>
                </w:r>
                <w:r>
                  <w:rPr>
                    <w:rFonts w:ascii="Century Gothic"/>
                    <w:i/>
                    <w:color w:val="7E7E7E"/>
                    <w:spacing w:val="2"/>
                    <w:w w:val="105"/>
                    <w:sz w:val="10"/>
                  </w:rPr>
                  <w:t> </w:t>
                </w:r>
                <w:r>
                  <w:rPr>
                    <w:rFonts w:ascii="Century Gothic"/>
                    <w:i/>
                    <w:color w:val="7E7E7E"/>
                    <w:w w:val="105"/>
                    <w:sz w:val="10"/>
                  </w:rPr>
                  <w:t>Express</w:t>
                </w:r>
                <w:r>
                  <w:rPr>
                    <w:rFonts w:ascii="Century Gothic"/>
                    <w:i/>
                    <w:color w:val="7E7E7E"/>
                    <w:spacing w:val="-4"/>
                    <w:w w:val="105"/>
                    <w:sz w:val="10"/>
                  </w:rPr>
                  <w:t> </w:t>
                </w:r>
                <w:r>
                  <w:rPr>
                    <w:rFonts w:ascii="Century Gothic"/>
                    <w:i/>
                    <w:color w:val="7E7E7E"/>
                    <w:w w:val="105"/>
                    <w:sz w:val="10"/>
                  </w:rPr>
                  <w:t>and</w:t>
                </w:r>
                <w:r>
                  <w:rPr>
                    <w:rFonts w:ascii="Century Gothic"/>
                    <w:i/>
                    <w:color w:val="7E7E7E"/>
                    <w:spacing w:val="-1"/>
                    <w:w w:val="105"/>
                    <w:sz w:val="10"/>
                  </w:rPr>
                  <w:t> </w:t>
                </w:r>
                <w:r>
                  <w:rPr>
                    <w:rFonts w:ascii="Century Gothic"/>
                    <w:i/>
                    <w:color w:val="7E7E7E"/>
                    <w:w w:val="105"/>
                    <w:sz w:val="10"/>
                  </w:rPr>
                  <w:t>The</w:t>
                </w:r>
                <w:r>
                  <w:rPr>
                    <w:rFonts w:ascii="Century Gothic"/>
                    <w:i/>
                    <w:color w:val="7E7E7E"/>
                    <w:spacing w:val="-2"/>
                    <w:w w:val="105"/>
                    <w:sz w:val="10"/>
                  </w:rPr>
                  <w:t> </w:t>
                </w:r>
                <w:r>
                  <w:rPr>
                    <w:rFonts w:ascii="Century Gothic"/>
                    <w:i/>
                    <w:color w:val="7E7E7E"/>
                    <w:w w:val="105"/>
                    <w:sz w:val="10"/>
                  </w:rPr>
                  <w:t>Economic</w:t>
                </w:r>
                <w:r>
                  <w:rPr>
                    <w:rFonts w:ascii="Century Gothic"/>
                    <w:i/>
                    <w:color w:val="7E7E7E"/>
                    <w:spacing w:val="-6"/>
                    <w:w w:val="105"/>
                    <w:sz w:val="10"/>
                  </w:rPr>
                  <w:t> </w:t>
                </w:r>
                <w:r>
                  <w:rPr>
                    <w:rFonts w:ascii="Century Gothic"/>
                    <w:i/>
                    <w:color w:val="7E7E7E"/>
                    <w:spacing w:val="-4"/>
                    <w:w w:val="105"/>
                    <w:sz w:val="10"/>
                  </w:rPr>
                  <w:t>Times</w:t>
                </w:r>
              </w:p>
              <w:p>
                <w:pPr>
                  <w:pStyle w:val="BodyText"/>
                  <w:spacing w:before="10"/>
                  <w:rPr>
                    <w:rFonts w:ascii="Century Gothic"/>
                    <w:i/>
                    <w:sz w:val="12"/>
                  </w:rPr>
                </w:pPr>
              </w:p>
              <w:p>
                <w:pPr>
                  <w:spacing w:line="160" w:lineRule="exact" w:before="0"/>
                  <w:ind w:left="3085" w:right="0" w:firstLine="0"/>
                  <w:jc w:val="left"/>
                  <w:rPr>
                    <w:rFonts w:ascii="Arial"/>
                    <w:b/>
                    <w:sz w:val="14"/>
                  </w:rPr>
                </w:pPr>
                <w:r>
                  <w:rPr>
                    <w:rFonts w:ascii="Arial"/>
                    <w:b/>
                    <w:color w:val="464646"/>
                    <w:w w:val="105"/>
                    <w:sz w:val="14"/>
                  </w:rPr>
                  <w:t>Corporate</w:t>
                </w:r>
                <w:r>
                  <w:rPr>
                    <w:rFonts w:ascii="Arial"/>
                    <w:b/>
                    <w:color w:val="464646"/>
                    <w:spacing w:val="23"/>
                    <w:w w:val="105"/>
                    <w:sz w:val="14"/>
                  </w:rPr>
                  <w:t> </w:t>
                </w:r>
                <w:r>
                  <w:rPr>
                    <w:rFonts w:ascii="Arial"/>
                    <w:b/>
                    <w:color w:val="464646"/>
                    <w:spacing w:val="-2"/>
                    <w:w w:val="105"/>
                    <w:sz w:val="14"/>
                  </w:rPr>
                  <w:t>Address:</w:t>
                </w:r>
              </w:p>
              <w:p>
                <w:pPr>
                  <w:spacing w:before="0"/>
                  <w:ind w:left="3085" w:right="0" w:firstLine="0"/>
                  <w:jc w:val="left"/>
                  <w:rPr>
                    <w:sz w:val="12"/>
                  </w:rPr>
                </w:pPr>
                <w:r>
                  <w:rPr>
                    <w:color w:val="7E7E7E"/>
                    <w:w w:val="90"/>
                    <w:sz w:val="12"/>
                  </w:rPr>
                  <w:t>Altimus,</w:t>
                </w:r>
                <w:r>
                  <w:rPr>
                    <w:color w:val="7E7E7E"/>
                    <w:spacing w:val="-1"/>
                    <w:w w:val="90"/>
                    <w:sz w:val="12"/>
                  </w:rPr>
                  <w:t> </w:t>
                </w:r>
                <w:r>
                  <w:rPr>
                    <w:color w:val="7E7E7E"/>
                    <w:w w:val="90"/>
                    <w:sz w:val="12"/>
                  </w:rPr>
                  <w:t>Level 35, Dr. G.M.</w:t>
                </w:r>
                <w:r>
                  <w:rPr>
                    <w:color w:val="7E7E7E"/>
                    <w:spacing w:val="-4"/>
                    <w:w w:val="90"/>
                    <w:sz w:val="12"/>
                  </w:rPr>
                  <w:t> </w:t>
                </w:r>
                <w:r>
                  <w:rPr>
                    <w:color w:val="7E7E7E"/>
                    <w:w w:val="90"/>
                    <w:sz w:val="12"/>
                  </w:rPr>
                  <w:t>Bhosale</w:t>
                </w:r>
                <w:r>
                  <w:rPr>
                    <w:color w:val="7E7E7E"/>
                    <w:sz w:val="12"/>
                  </w:rPr>
                  <w:t> Marg,</w:t>
                </w:r>
                <w:r>
                  <w:rPr>
                    <w:color w:val="7E7E7E"/>
                    <w:spacing w:val="-4"/>
                    <w:sz w:val="12"/>
                  </w:rPr>
                  <w:t> </w:t>
                </w:r>
                <w:r>
                  <w:rPr>
                    <w:color w:val="7E7E7E"/>
                    <w:sz w:val="12"/>
                  </w:rPr>
                  <w:t>Worli, </w:t>
                </w:r>
                <w:r>
                  <w:rPr>
                    <w:color w:val="7E7E7E"/>
                    <w:w w:val="107"/>
                    <w:sz w:val="12"/>
                  </w:rPr>
                  <w:t>Mum</w:t>
                </w:r>
                <w:r>
                  <w:rPr>
                    <w:color w:val="7E7E7E"/>
                    <w:w w:val="112"/>
                    <w:sz w:val="12"/>
                  </w:rPr>
                  <w:t>b</w:t>
                </w:r>
                <w:r>
                  <w:rPr>
                    <w:color w:val="7E7E7E"/>
                    <w:w w:val="116"/>
                    <w:sz w:val="12"/>
                  </w:rPr>
                  <w:t>a</w:t>
                </w:r>
                <w:r>
                  <w:rPr>
                    <w:color w:val="7E7E7E"/>
                    <w:w w:val="93"/>
                    <w:sz w:val="12"/>
                  </w:rPr>
                  <w:t>i</w:t>
                </w:r>
                <w:r>
                  <w:rPr>
                    <w:color w:val="7E7E7E"/>
                    <w:w w:val="58"/>
                    <w:sz w:val="12"/>
                  </w:rPr>
                  <w:t>,</w:t>
                </w:r>
                <w:r>
                  <w:rPr>
                    <w:color w:val="7E7E7E"/>
                    <w:sz w:val="12"/>
                  </w:rPr>
                  <w:t> </w:t>
                </w:r>
                <w:r>
                  <w:rPr>
                    <w:color w:val="7E7E7E"/>
                    <w:w w:val="108"/>
                    <w:sz w:val="12"/>
                  </w:rPr>
                  <w:t>Maha</w:t>
                </w:r>
                <w:r>
                  <w:rPr>
                    <w:color w:val="7E7E7E"/>
                    <w:w w:val="89"/>
                    <w:sz w:val="12"/>
                  </w:rPr>
                  <w:t>r</w:t>
                </w:r>
                <w:r>
                  <w:rPr>
                    <w:color w:val="7E7E7E"/>
                    <w:w w:val="114"/>
                    <w:sz w:val="12"/>
                  </w:rPr>
                  <w:t>a</w:t>
                </w:r>
                <w:r>
                  <w:rPr>
                    <w:color w:val="7E7E7E"/>
                    <w:sz w:val="12"/>
                  </w:rPr>
                  <w:t>sh</w:t>
                </w:r>
                <w:r>
                  <w:rPr>
                    <w:color w:val="7E7E7E"/>
                    <w:spacing w:val="-1"/>
                    <w:sz w:val="12"/>
                  </w:rPr>
                  <w:t>t</w:t>
                </w:r>
                <w:r>
                  <w:rPr>
                    <w:color w:val="7E7E7E"/>
                    <w:w w:val="89"/>
                    <w:sz w:val="12"/>
                  </w:rPr>
                  <w:t>r</w:t>
                </w:r>
                <w:r>
                  <w:rPr>
                    <w:color w:val="7E7E7E"/>
                    <w:w w:val="114"/>
                    <w:sz w:val="12"/>
                  </w:rPr>
                  <w:t>a</w:t>
                </w:r>
                <w:r>
                  <w:rPr>
                    <w:color w:val="7E7E7E"/>
                    <w:w w:val="56"/>
                    <w:sz w:val="12"/>
                  </w:rPr>
                  <w:t>,</w:t>
                </w:r>
                <w:r>
                  <w:rPr>
                    <w:color w:val="7E7E7E"/>
                    <w:spacing w:val="-7"/>
                    <w:w w:val="99"/>
                    <w:sz w:val="12"/>
                  </w:rPr>
                  <w:t> </w:t>
                </w:r>
                <w:r>
                  <w:rPr>
                    <w:color w:val="7E7E7E"/>
                    <w:sz w:val="12"/>
                  </w:rPr>
                  <w:t>India</w:t>
                </w:r>
                <w:r>
                  <w:rPr>
                    <w:color w:val="7E7E7E"/>
                    <w:spacing w:val="-3"/>
                    <w:sz w:val="12"/>
                  </w:rPr>
                  <w:t> </w:t>
                </w:r>
                <w:r>
                  <w:rPr>
                    <w:color w:val="7E7E7E"/>
                    <w:sz w:val="12"/>
                  </w:rPr>
                  <w:t>400018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 w:before="0"/>
      <w:rPr>
        <w:sz w:val="20"/>
      </w:rPr>
    </w:pPr>
    <w:r>
      <w:rPr/>
      <w:pict>
        <v:group style="position:absolute;margin-left:0pt;margin-top:.000009pt;width:297pt;height:41.8pt;mso-position-horizontal-relative:page;mso-position-vertical-relative:page;z-index:-15779328" id="docshapegroup1" coordorigin="0,0" coordsize="5940,836">
          <v:rect style="position:absolute;left:0;top:0;width:5940;height:836" id="docshape2" filled="true" fillcolor="#1f487c" stroked="false">
            <v:fill type="solid"/>
          </v:rect>
          <v:line style="position:absolute" from="0,830" to="5940,830" stroked="true" strokeweight=".5pt" strokecolor="#7e7e7e">
            <v:stroke dashstyle="shortdash"/>
          </v:line>
          <w10:wrap type="none"/>
        </v:group>
      </w:pict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33.529999pt;margin-top:9.910008pt;width:51.55pt;height:18.45pt;mso-position-horizontal-relative:page;mso-position-vertical-relative:page;z-index:-15778816" type="#_x0000_t202" id="docshape3" filled="false" stroked="false">
          <v:textbox inset="0,0,0,0">
            <w:txbxContent>
              <w:p>
                <w:pPr>
                  <w:spacing w:line="276" w:lineRule="auto" w:before="25"/>
                  <w:ind w:left="20" w:right="10" w:firstLine="247"/>
                  <w:jc w:val="left"/>
                  <w:rPr>
                    <w:rFonts w:ascii="Trebuchet MS" w:hAnsi="Trebuchet MS"/>
                    <w:sz w:val="12"/>
                  </w:rPr>
                </w:pPr>
                <w:r>
                  <w:rPr>
                    <w:color w:val="FFFFFF"/>
                    <w:spacing w:val="-2"/>
                    <w:w w:val="105"/>
                    <w:sz w:val="12"/>
                  </w:rPr>
                  <w:t>Newsletter</w:t>
                </w:r>
                <w:r>
                  <w:rPr>
                    <w:color w:val="FFFFFF"/>
                    <w:spacing w:val="-11"/>
                    <w:w w:val="105"/>
                    <w:sz w:val="12"/>
                  </w:rPr>
                  <w:t> </w:t>
                </w:r>
                <w:r>
                  <w:rPr>
                    <w:rFonts w:ascii="Trebuchet MS" w:hAnsi="Trebuchet MS"/>
                    <w:color w:val="FFFFFF"/>
                    <w:spacing w:val="-2"/>
                    <w:w w:val="105"/>
                    <w:sz w:val="12"/>
                  </w:rPr>
                  <w:t>–</w:t>
                </w:r>
                <w:r>
                  <w:rPr>
                    <w:rFonts w:ascii="Trebuchet MS" w:hAnsi="Trebuchet MS"/>
                    <w:color w:val="FFFFFF"/>
                    <w:spacing w:val="40"/>
                    <w:w w:val="105"/>
                    <w:sz w:val="12"/>
                  </w:rPr>
                  <w:t> </w:t>
                </w:r>
                <w:r>
                  <w:rPr>
                    <w:rFonts w:ascii="Trebuchet MS" w:hAnsi="Trebuchet MS"/>
                    <w:color w:val="FFFFFF"/>
                    <w:w w:val="105"/>
                    <w:sz w:val="12"/>
                  </w:rPr>
                  <w:t>17th</w:t>
                </w:r>
                <w:r>
                  <w:rPr>
                    <w:rFonts w:ascii="Trebuchet MS" w:hAnsi="Trebuchet MS"/>
                    <w:color w:val="FFFFFF"/>
                    <w:spacing w:val="-9"/>
                    <w:w w:val="105"/>
                    <w:sz w:val="12"/>
                  </w:rPr>
                  <w:t> </w:t>
                </w:r>
                <w:r>
                  <w:rPr>
                    <w:rFonts w:ascii="Trebuchet MS" w:hAnsi="Trebuchet MS"/>
                    <w:color w:val="FFFFFF"/>
                    <w:w w:val="105"/>
                    <w:sz w:val="12"/>
                  </w:rPr>
                  <w:t>February</w:t>
                </w:r>
                <w:r>
                  <w:rPr>
                    <w:rFonts w:ascii="Trebuchet MS" w:hAnsi="Trebuchet MS"/>
                    <w:color w:val="FFFFFF"/>
                    <w:spacing w:val="-9"/>
                    <w:w w:val="105"/>
                    <w:sz w:val="12"/>
                  </w:rPr>
                  <w:t> </w:t>
                </w:r>
                <w:r>
                  <w:rPr>
                    <w:rFonts w:ascii="Trebuchet MS" w:hAnsi="Trebuchet MS"/>
                    <w:color w:val="FFFFFF"/>
                    <w:spacing w:val="-5"/>
                    <w:w w:val="105"/>
                    <w:sz w:val="12"/>
                  </w:rPr>
                  <w:t>‘26</w:t>
                </w:r>
              </w:p>
            </w:txbxContent>
          </v:textbox>
          <w10:wrap type="none"/>
        </v:shape>
      </w:pict>
    </w:r>
    <w:r>
      <w:rPr/>
      <w:pict>
        <v:shape style="position:absolute;margin-left:12.2pt;margin-top:12.592009pt;width:214.2pt;height:26.7pt;mso-position-horizontal-relative:page;mso-position-vertical-relative:page;z-index:-15778304" type="#_x0000_t202" id="docshape4" filled="false" stroked="false">
          <v:textbox inset="0,0,0,0">
            <w:txbxContent>
              <w:p>
                <w:pPr>
                  <w:spacing w:line="242" w:lineRule="exact" w:before="28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color w:val="FFFFFF"/>
                    <w:spacing w:val="-2"/>
                    <w:sz w:val="20"/>
                  </w:rPr>
                  <w:t>Equity</w:t>
                </w:r>
                <w:r>
                  <w:rPr>
                    <w:color w:val="FFFFFF"/>
                    <w:spacing w:val="-10"/>
                    <w:sz w:val="20"/>
                  </w:rPr>
                  <w:t> </w:t>
                </w:r>
                <w:r>
                  <w:rPr>
                    <w:color w:val="FFFFFF"/>
                    <w:spacing w:val="-2"/>
                    <w:sz w:val="20"/>
                  </w:rPr>
                  <w:t>Capital</w:t>
                </w:r>
                <w:r>
                  <w:rPr>
                    <w:color w:val="FFFFFF"/>
                    <w:spacing w:val="-5"/>
                    <w:sz w:val="20"/>
                  </w:rPr>
                  <w:t> </w:t>
                </w:r>
                <w:r>
                  <w:rPr>
                    <w:color w:val="FFFFFF"/>
                    <w:spacing w:val="-2"/>
                    <w:sz w:val="20"/>
                  </w:rPr>
                  <w:t>Market</w:t>
                </w:r>
                <w:r>
                  <w:rPr>
                    <w:color w:val="FFFFFF"/>
                    <w:spacing w:val="-7"/>
                    <w:sz w:val="20"/>
                  </w:rPr>
                  <w:t> </w:t>
                </w:r>
                <w:r>
                  <w:rPr>
                    <w:color w:val="FFFFFF"/>
                    <w:spacing w:val="-2"/>
                    <w:sz w:val="20"/>
                  </w:rPr>
                  <w:t>Updates</w:t>
                </w:r>
                <w:r>
                  <w:rPr>
                    <w:color w:val="FFFFFF"/>
                    <w:spacing w:val="-5"/>
                    <w:sz w:val="20"/>
                  </w:rPr>
                  <w:t> </w:t>
                </w:r>
                <w:r>
                  <w:rPr>
                    <w:color w:val="FFFFFF"/>
                    <w:spacing w:val="-2"/>
                    <w:sz w:val="20"/>
                  </w:rPr>
                  <w:t>(</w:t>
                </w:r>
                <w:r>
                  <w:rPr>
                    <w:color w:val="FFFFFF"/>
                    <w:spacing w:val="-2"/>
                    <w:sz w:val="20"/>
                  </w:rPr>
                  <w:fldChar w:fldCharType="begin"/>
                </w:r>
                <w:r>
                  <w:rPr>
                    <w:color w:val="FFFFFF"/>
                    <w:spacing w:val="-2"/>
                    <w:sz w:val="20"/>
                  </w:rPr>
                  <w:instrText> PAGE </w:instrText>
                </w:r>
                <w:r>
                  <w:rPr>
                    <w:color w:val="FFFFFF"/>
                    <w:spacing w:val="-2"/>
                    <w:sz w:val="20"/>
                  </w:rPr>
                  <w:fldChar w:fldCharType="separate"/>
                </w:r>
                <w:r>
                  <w:rPr>
                    <w:color w:val="FFFFFF"/>
                    <w:spacing w:val="-2"/>
                    <w:sz w:val="20"/>
                  </w:rPr>
                  <w:t>2</w:t>
                </w:r>
                <w:r>
                  <w:rPr>
                    <w:color w:val="FFFFFF"/>
                    <w:spacing w:val="-2"/>
                    <w:sz w:val="20"/>
                  </w:rPr>
                  <w:fldChar w:fldCharType="end"/>
                </w:r>
                <w:r>
                  <w:rPr>
                    <w:color w:val="FFFFFF"/>
                    <w:spacing w:val="-14"/>
                    <w:sz w:val="20"/>
                  </w:rPr>
                  <w:t> </w:t>
                </w:r>
                <w:r>
                  <w:rPr>
                    <w:color w:val="FFFFFF"/>
                    <w:spacing w:val="-2"/>
                    <w:sz w:val="20"/>
                  </w:rPr>
                  <w:t>/</w:t>
                </w:r>
                <w:r>
                  <w:rPr>
                    <w:color w:val="FFFFFF"/>
                    <w:spacing w:val="-11"/>
                    <w:sz w:val="20"/>
                  </w:rPr>
                  <w:t> </w:t>
                </w:r>
                <w:r>
                  <w:rPr>
                    <w:color w:val="FFFFFF"/>
                    <w:spacing w:val="-5"/>
                    <w:sz w:val="20"/>
                  </w:rPr>
                  <w:fldChar w:fldCharType="begin"/>
                </w:r>
                <w:r>
                  <w:rPr>
                    <w:color w:val="FFFFFF"/>
                    <w:spacing w:val="-5"/>
                    <w:sz w:val="20"/>
                  </w:rPr>
                  <w:instrText> NUMPAGES </w:instrText>
                </w:r>
                <w:r>
                  <w:rPr>
                    <w:color w:val="FFFFFF"/>
                    <w:spacing w:val="-5"/>
                    <w:sz w:val="20"/>
                  </w:rPr>
                  <w:fldChar w:fldCharType="separate"/>
                </w:r>
                <w:r>
                  <w:rPr>
                    <w:color w:val="FFFFFF"/>
                    <w:spacing w:val="-5"/>
                    <w:sz w:val="20"/>
                  </w:rPr>
                  <w:t>2</w:t>
                </w:r>
                <w:r>
                  <w:rPr>
                    <w:color w:val="FFFFFF"/>
                    <w:spacing w:val="-5"/>
                    <w:sz w:val="20"/>
                  </w:rPr>
                  <w:fldChar w:fldCharType="end"/>
                </w:r>
                <w:r>
                  <w:rPr>
                    <w:color w:val="FFFFFF"/>
                    <w:spacing w:val="-5"/>
                    <w:sz w:val="20"/>
                  </w:rPr>
                  <w:t>)</w:t>
                </w:r>
              </w:p>
              <w:p>
                <w:pPr>
                  <w:spacing w:line="218" w:lineRule="exact" w:before="0"/>
                  <w:ind w:left="20" w:right="0" w:firstLine="0"/>
                  <w:jc w:val="left"/>
                  <w:rPr>
                    <w:sz w:val="18"/>
                  </w:rPr>
                </w:pPr>
                <w:r>
                  <w:rPr>
                    <w:color w:val="FFFFFF"/>
                    <w:w w:val="95"/>
                    <w:sz w:val="18"/>
                  </w:rPr>
                  <w:t>M&amp;A</w:t>
                </w:r>
                <w:r>
                  <w:rPr>
                    <w:color w:val="FFFFFF"/>
                    <w:spacing w:val="2"/>
                    <w:sz w:val="18"/>
                  </w:rPr>
                  <w:t> </w:t>
                </w:r>
                <w:r>
                  <w:rPr>
                    <w:color w:val="FFFFFF"/>
                    <w:w w:val="95"/>
                    <w:sz w:val="18"/>
                  </w:rPr>
                  <w:t>Momentum,</w:t>
                </w:r>
                <w:r>
                  <w:rPr>
                    <w:color w:val="FFFFFF"/>
                    <w:spacing w:val="-1"/>
                    <w:sz w:val="18"/>
                  </w:rPr>
                  <w:t> </w:t>
                </w:r>
                <w:r>
                  <w:rPr>
                    <w:color w:val="FFFFFF"/>
                    <w:w w:val="95"/>
                    <w:sz w:val="18"/>
                  </w:rPr>
                  <w:t>AI</w:t>
                </w:r>
                <w:r>
                  <w:rPr>
                    <w:color w:val="FFFFFF"/>
                    <w:spacing w:val="3"/>
                    <w:sz w:val="18"/>
                  </w:rPr>
                  <w:t> </w:t>
                </w:r>
                <w:r>
                  <w:rPr>
                    <w:color w:val="FFFFFF"/>
                    <w:w w:val="95"/>
                    <w:sz w:val="18"/>
                  </w:rPr>
                  <w:t>Bets</w:t>
                </w:r>
                <w:r>
                  <w:rPr>
                    <w:color w:val="FFFFFF"/>
                    <w:spacing w:val="5"/>
                    <w:sz w:val="18"/>
                  </w:rPr>
                  <w:t> </w:t>
                </w:r>
                <w:r>
                  <w:rPr>
                    <w:color w:val="FFFFFF"/>
                    <w:w w:val="95"/>
                    <w:sz w:val="18"/>
                  </w:rPr>
                  <w:t>&amp;</w:t>
                </w:r>
                <w:r>
                  <w:rPr>
                    <w:color w:val="FFFFFF"/>
                    <w:sz w:val="18"/>
                  </w:rPr>
                  <w:t> </w:t>
                </w:r>
                <w:r>
                  <w:rPr>
                    <w:color w:val="FFFFFF"/>
                    <w:w w:val="95"/>
                    <w:sz w:val="18"/>
                  </w:rPr>
                  <w:t>Macro</w:t>
                </w:r>
                <w:r>
                  <w:rPr>
                    <w:color w:val="FFFFFF"/>
                    <w:spacing w:val="1"/>
                    <w:sz w:val="18"/>
                  </w:rPr>
                  <w:t> </w:t>
                </w:r>
                <w:r>
                  <w:rPr>
                    <w:color w:val="FFFFFF"/>
                    <w:spacing w:val="-2"/>
                    <w:w w:val="95"/>
                    <w:sz w:val="18"/>
                  </w:rPr>
                  <w:t>Repositioning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493" w:hanging="140"/>
      </w:pPr>
      <w:rPr>
        <w:rFonts w:hint="default" w:ascii="Arial" w:hAnsi="Arial" w:eastAsia="Arial" w:cs="Arial"/>
        <w:b w:val="0"/>
        <w:bCs w:val="0"/>
        <w:i w:val="0"/>
        <w:iCs w:val="0"/>
        <w:color w:val="1F487C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44" w:hanging="1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88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32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76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20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64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08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852" w:hanging="14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7"/>
    </w:pPr>
    <w:rPr>
      <w:rFonts w:ascii="Verdana" w:hAnsi="Verdana" w:eastAsia="Verdana" w:cs="Verdana"/>
      <w:sz w:val="14"/>
      <w:szCs w:val="1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93"/>
      <w:outlineLvl w:val="1"/>
    </w:pPr>
    <w:rPr>
      <w:rFonts w:ascii="Arial" w:hAnsi="Arial" w:eastAsia="Arial" w:cs="Arial"/>
      <w:b/>
      <w:bCs/>
      <w:sz w:val="16"/>
      <w:szCs w:val="1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8" w:line="242" w:lineRule="exact"/>
      <w:ind w:left="20"/>
    </w:pPr>
    <w:rPr>
      <w:rFonts w:ascii="Verdana" w:hAnsi="Verdana" w:eastAsia="Verdana" w:cs="Verdana"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0"/>
      <w:ind w:left="493" w:hanging="140"/>
      <w:jc w:val="both"/>
    </w:pPr>
    <w:rPr>
      <w:rFonts w:ascii="Verdana" w:hAnsi="Verdana" w:eastAsia="Verdana" w:cs="Verdan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numbering" Target="numbering.xml"/></Relationships>
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2026-03-14T14:14:07Z</dcterms:created>
  <dcterms:modified xsi:type="dcterms:W3CDTF">2026-03-14T14:14:07Z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2026-03-14T00:00:00Z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2026-03-14T00:00:00Z</vt:filetime>
  </property>
  <property fmtid="{D5CDD505-2E9C-101B-9397-08002B2CF9AE}" pid="5" name="Producer">
    <vt:lpwstr>Microsoft® PowerPoint® LTSC</vt:lpwstr>
  </property>
</Properties>
</file>