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C3E81B" w14:textId="77777777" w:rsidR="008F2A8B" w:rsidRDefault="00000000">
      <w:pPr>
        <w:pStyle w:val="Heading1"/>
        <w:spacing w:before="186"/>
        <w:ind w:left="304"/>
        <w:rPr>
          <w:color w:val="1F487C"/>
          <w:spacing w:val="-2"/>
          <w:w w:val="105"/>
        </w:rPr>
      </w:pPr>
      <w:r>
        <w:pict w14:anchorId="42F8156B">
          <v:group id="docshapegroup6" o:spid="_x0000_s2055" style="position:absolute;left:0;text-align:left;margin-left:0;margin-top:5.1pt;width:297pt;height:132.5pt;z-index:-251658240;mso-position-horizontal-relative:page" coordorigin=",102" coordsize="5940,265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7" o:spid="_x0000_s2057" type="#_x0000_t75" style="position:absolute;top:102;width:5940;height:2650">
              <v:imagedata r:id="rId7" o:title=""/>
            </v:shape>
            <v:rect id="docshape8" o:spid="_x0000_s2056" style="position:absolute;top:114;width:5940;height:2532" fillcolor="#f1f1f1" stroked="f"/>
            <w10:wrap anchorx="page"/>
          </v:group>
        </w:pict>
      </w:r>
      <w:r>
        <w:rPr>
          <w:color w:val="1F487C"/>
          <w:w w:val="105"/>
        </w:rPr>
        <w:t>Executive</w:t>
      </w:r>
      <w:r>
        <w:rPr>
          <w:color w:val="1F487C"/>
          <w:spacing w:val="-8"/>
          <w:w w:val="105"/>
        </w:rPr>
        <w:t xml:space="preserve"> </w:t>
      </w:r>
      <w:r>
        <w:rPr>
          <w:color w:val="1F487C"/>
          <w:spacing w:val="-2"/>
          <w:w w:val="105"/>
        </w:rPr>
        <w:t xml:space="preserve">Overview:</w:t>
      </w:r>
    </w:p>
    <w:p w14:paraId="2AF44385" w14:textId="76D8F5F2" w:rsidR="00B94133" w:rsidRDefault="00B94133">
      <w:pPr>
        <w:pStyle w:val="Heading1"/>
        <w:spacing w:before="186"/>
        <w:ind w:left="304"/>
      </w:pPr>
      <w:r w:rsidRPr="00B94133">
        <w:t xml:space="preserve"/>
      </w:r>
      <w:r w:rsidRPr="00B94133">
        <w:br/>
        <w:t xml:space="preserve">• The stock market experienced its worst week in years, marked by significant selling pressure, a decline in benchmark indices, and investor sentiment echoing previous crises like Covid, largely influenced by ongoing geopolitical tensions and foreign portfolio investor outflows.</w:t>
      </w:r>
      <w:r w:rsidRPr="00B94133">
        <w:br/>
        <w:t xml:space="preserve"/>
      </w:r>
      <w:r w:rsidRPr="00B94133">
        <w:br/>
        <w:t xml:space="preserve">• Despite broad market volatility, specific segments of the equity capital markets showed robust demand, with the Reit market expanding sixfold due to new listings and price growth, and recent IPOs and InvITs receiving strong oversubscription.</w:t>
      </w:r>
      <w:r w:rsidRPr="00B94133">
        <w:br/>
        <w:t xml:space="preserve"/>
      </w:r>
      <w:r w:rsidRPr="00B94133">
        <w:br/>
        <w:t xml:space="preserve">• Regulatory bodies are actively shaping the capital markets, as evidenced by Sebi introducing new conditions for intraday borrowings by mutual funds to enhance risk management.</w:t>
      </w:r>
      <w:r w:rsidRPr="00B94133">
        <w:br/>
        <w:t xml:space="preserve"/>
      </w:r>
      <w:r w:rsidRPr="00B94133">
        <w:br/>
        <w:t xml:space="preserve">• On the M front, there's activity including potential strategic divestitures, such as M considering selling its pharma unit, and asset acquisitions like Godrej Projects' purchase for a housing project, reflecting ongoing strategic repositioning by companies.</w:t>
      </w:r>
      <w:r w:rsidRPr="00B94133">
        <w:br/>
        <w:t xml:space="preserve"/>
      </w:r>
      <w:r w:rsidRPr="00B94133">
        <w:br/>
        <w:t xml:space="preserve">• Public Sector Banks (PSBs) are projected to underperform in the near term due to factors like liquidity and asset quality concerns, indicating a cautious outlook for this segment of the capital market.</w:t>
      </w:r>
      <w:r w:rsidRPr="00B94133">
        <w:br/>
        <w:t xml:space="preserve"/>
      </w:r>
    </w:p>
    <w:p w14:paraId="37B87514" w14:textId="77777777" w:rsidR="008F2A8B" w:rsidRDefault="008F2A8B">
      <w:pPr>
        <w:pStyle w:val="BodyText"/>
        <w:spacing w:before="9"/>
        <w:rPr>
          <w:sz w:val="34"/>
        </w:rPr>
      </w:pPr>
    </w:p>
    <w:p w14:paraId="4A300CFF" w14:textId="77777777" w:rsidR="008F2A8B" w:rsidRDefault="008F2A8B">
      <w:pPr>
        <w:spacing w:line="225" w:lineRule="auto"/>
        <w:jc w:val="both"/>
      </w:pPr>
    </w:p>
    <w:p w14:paraId="3D4B19DF" w14:textId="77777777" w:rsidR="00B06CAA" w:rsidRPr="00B06CAA" w:rsidRDefault="00B06CAA" w:rsidP="00B06CAA"/>
    <w:p w14:paraId="12B643E7" w14:textId="77777777" w:rsidR="00B06CAA" w:rsidRPr="00B06CAA" w:rsidRDefault="00B06CAA" w:rsidP="00B06CAA"/>
    <w:p w14:paraId="411D22C2" w14:textId="77777777" w:rsidR="00B06CAA" w:rsidRPr="00B06CAA" w:rsidRDefault="00B06CAA" w:rsidP="00B06CAA"/>
    <w:p w14:paraId="30B775B9" w14:textId="77777777" w:rsidR="00B06CAA" w:rsidRPr="00B06CAA" w:rsidRDefault="00B06CAA" w:rsidP="00B06CAA"/>
    <w:p w14:paraId="77EAC5FB" w14:textId="77777777" w:rsidR="00B06CAA" w:rsidRPr="00B06CAA" w:rsidRDefault="00B06CAA" w:rsidP="00B06CAA"/>
    <w:p w14:paraId="74B7E78A" w14:textId="77777777" w:rsidR="00B06CAA" w:rsidRPr="00B06CAA" w:rsidRDefault="00B06CAA" w:rsidP="00B06CAA"/>
    <w:p w14:paraId="3BF872CA" w14:textId="2CD44789" w:rsidR="00B06CAA" w:rsidRDefault="00B06CAA" w:rsidP="00B06CAA">
      <w:pPr>
        <w:pStyle w:val="Heading1"/>
        <w:spacing w:before="186"/>
        <w:ind w:left="304"/>
        <w:rPr>
          <w:color w:val="1F487C"/>
          <w:w w:val="105"/>
        </w:rPr>
      </w:pPr>
      <w:r>
        <w:rPr>
          <w:color w:val="1F487C"/>
          <w:w w:val="105"/>
        </w:rPr>
        <w:t>Details</w:t>
      </w:r>
      <w:r w:rsidR="00B94133">
        <w:rPr>
          <w:color w:val="1F487C"/>
          <w:w w:val="105"/>
        </w:rPr>
        <w:t>:</w:t>
      </w:r>
    </w:p>
    <w:p w14:paraId="4DE3D84D" w14:textId="7A988456" w:rsidR="00B94133" w:rsidRDefault="00B94133" w:rsidP="00B06CAA">
      <w:pPr>
        <w:pStyle w:val="Heading1"/>
        <w:spacing w:before="186"/>
        <w:ind w:left="304"/>
      </w:pPr>
      <w:r w:rsidRPr="00B94133">
        <w:t xml:space="preserve"/>
      </w:r>
      <w:r w:rsidRPr="00B94133">
        <w:br/>
        <w:t xml:space="preserve">Stocks suffer worst week in years, echoing Covid chaos</w:t>
      </w:r>
      <w:r w:rsidRPr="00B94133">
        <w:br/>
      </w:r>
      <w:r w:rsidRPr="00B94133">
        <w:br/>
        <w:t xml:space="preserve">Benchmark indices tumbled throughout the week, with the Nifty closing below 22,700 and the Sensex declining by over 2,000 points. The market capitalization fell by 5.5 per cent, marking the worst weekly performance in years, reminiscent of the Covid-era market chaos. Foreign portfolio investors (FPIs) were net sellers, pulling out substantial capital. This widespread selling pressure, driven by macro concerns and geopolitical tensions, led to the breach of key support levels, indicating a bearish sentiment among investors. The market is not fully pricing in the West Asia war, contributing to the cautious outlook.</w:t>
      </w:r>
      <w:r w:rsidRPr="00B94133">
        <w:br/>
      </w:r>
      <w:r w:rsidRPr="00B94133">
        <w:br/>
        <w:t xml:space="preserve"/>
      </w:r>
      <w:r w:rsidRPr="00B94133">
        <w:br/>
        <w:t xml:space="preserve">Snapdeal withdraws IPO ahead of ECM filing</w:t>
      </w:r>
      <w:r w:rsidRPr="00B94133">
        <w:br/>
      </w:r>
      <w:r w:rsidRPr="00B94133">
        <w:br/>
        <w:t xml:space="preserve">E-commerce platform Snapdeal has withdrawn its initial public offering (IPO) application. The company had initially filed for a ₹1,250 crore IPO in December but decided to withdraw, opting instead for a different strategic approach.</w:t>
      </w:r>
      <w:r w:rsidRPr="00B94133">
        <w:br/>
      </w:r>
      <w:r w:rsidRPr="00B94133">
        <w:br/>
        <w:t xml:space="preserve"/>
      </w:r>
      <w:r w:rsidRPr="00B94133">
        <w:br/>
        <w:t xml:space="preserve">Reit market expands sixfold since FY20 on new listings, price growth</w:t>
      </w:r>
      <w:r w:rsidRPr="00B94133">
        <w:br/>
      </w:r>
      <w:r w:rsidRPr="00B94133">
        <w:br/>
        <w:t xml:space="preserve">India's Real Estate Investment Trust (Reit) market has grown over six-fold, from ₹271 billion in FY20 to ₹1,726 billion in the first nine months of FY26. This growth is attributed to new listings and consistent unit price appreciation. Five publicly listed Reits are now active, with four recording over 20 per cent year-on-year unit price growth. The regulatory framework's evolution is expected to further accelerate portfolio expansion and new listings, potentially adding a small and medium Reits (SM Reits) segment exceeding $75 billion.</w:t>
      </w:r>
      <w:r w:rsidRPr="00B94133">
        <w:br/>
      </w:r>
      <w:r w:rsidRPr="00B94133">
        <w:br/>
        <w:t xml:space="preserve"/>
      </w:r>
      <w:r w:rsidRPr="00B94133">
        <w:br/>
        <w:t xml:space="preserve">Sebi sets conditions for intraday borrowings by MFs</w:t>
      </w:r>
      <w:r w:rsidRPr="00B94133">
        <w:br/>
      </w:r>
      <w:r w:rsidRPr="00B94133">
        <w:br/>
        <w:t xml:space="preserve">The Securities and Exchange Board of India (Sebi) has introduced new conditions for mutual funds (MFs) regarding intraday borrowings. MFs are now permitted to borrow for intraday purposes only for short-term liquidity needs to meet redemption requests or to cover scheme expenses. The new rules aim to ensure better risk management and investor protection in the rapidly growing mutual fund sector.</w:t>
      </w:r>
      <w:r w:rsidRPr="00B94133">
        <w:br/>
      </w:r>
      <w:r w:rsidRPr="00B94133">
        <w:br/>
        <w:t xml:space="preserve"/>
      </w:r>
      <w:r w:rsidRPr="00B94133">
        <w:br/>
        <w:t xml:space="preserve">InnoVision IPO subscribed 13x</w:t>
      </w:r>
      <w:r w:rsidRPr="00B94133">
        <w:br/>
      </w:r>
      <w:r w:rsidRPr="00B94133">
        <w:br/>
        <w:t xml:space="preserve">The Initial Public Offering (IPO) of InnoVision was oversubscribed by 13 times. The strong subscription indicates robust investor interest in the company despite broader market volatility.</w:t>
      </w:r>
      <w:r w:rsidRPr="00B94133">
        <w:br/>
      </w:r>
      <w:r w:rsidRPr="00B94133">
        <w:br/>
        <w:t xml:space="preserve"/>
      </w:r>
      <w:r w:rsidRPr="00B94133">
        <w:br/>
        <w:t xml:space="preserve">Rajmaarg InvIT subscribed 10x</w:t>
      </w:r>
      <w:r w:rsidRPr="00B94133">
        <w:br/>
      </w:r>
      <w:r w:rsidRPr="00B94133">
        <w:br/>
        <w:t xml:space="preserve">The Infrastructure Investment Trust (InvIT) Rajmaarg received a subscription of 10 times for its public offering. This significant demand highlights investor confidence in infrastructure assets and the InvIT structure.</w:t>
      </w:r>
      <w:r w:rsidRPr="00B94133">
        <w:br/>
      </w:r>
      <w:r w:rsidRPr="00B94133">
        <w:br/>
        <w:t xml:space="preserve"/>
      </w:r>
      <w:r w:rsidRPr="00B94133">
        <w:br/>
        <w:t xml:space="preserve">PSBs may underperform in near term</w:t>
      </w:r>
      <w:r w:rsidRPr="00B94133">
        <w:br/>
      </w:r>
      <w:r w:rsidRPr="00B94133">
        <w:br/>
        <w:t xml:space="preserve">Public Sector Banks (PSBs) are anticipated to underperform in the near term due to various factors including tighter liquidity conditions, potential asset quality concerns, and slower credit growth compared to private sector banks. This outlook suggests a cautious sentiment towards PSB equities.</w:t>
      </w:r>
      <w:r w:rsidRPr="00B94133">
        <w:br/>
      </w:r>
      <w:r w:rsidRPr="00B94133">
        <w:br/>
        <w:t xml:space="preserve"/>
      </w:r>
      <w:r w:rsidRPr="00B94133">
        <w:br/>
        <w:t xml:space="preserve">M unable to fund for pharma unit, may sell</w:t>
      </w:r>
      <w:r w:rsidRPr="00B94133">
        <w:br/>
      </w:r>
      <w:r w:rsidRPr="00B94133">
        <w:br/>
        <w:t xml:space="preserve">M Limited is reportedly unable to arrange the necessary funds for its pharmaceutical unit, prompting consideration of a potential sale. The company had filed for a ₹1,195 crore IPO in February but withdrew the application on March 10. The sale of the pharma unit could be a strategic move to manage financial constraints.</w:t>
      </w:r>
      <w:r w:rsidRPr="00B94133">
        <w:br/>
      </w:r>
      <w:r w:rsidRPr="00B94133">
        <w:br/>
        <w:t xml:space="preserve"/>
      </w:r>
      <w:r w:rsidRPr="00B94133">
        <w:br/>
        <w:t xml:space="preserve">Godrej Projects buys assets for housing project in Coimbatore</w:t>
      </w:r>
      <w:r w:rsidRPr="00B94133">
        <w:br/>
      </w:r>
      <w:r w:rsidRPr="00B94133">
        <w:br/>
        <w:t xml:space="preserve">Godrej Projects has acquired assets for a new housing project in Coimbatore, Tamil Nadu, with an estimated revenue potential of ₹2,200 crore. The project will include residential developments and aims to expand Godrej's footprint in key southern markets.</w:t>
      </w:r>
      <w:r w:rsidRPr="00B94133">
        <w:br/>
      </w:r>
      <w:r w:rsidRPr="00B94133">
        <w:br/>
        <w:t xml:space="preserve"/>
      </w:r>
    </w:p>
    <w:p w14:paraId="06E568EC" w14:textId="77777777" w:rsidR="00B06CAA" w:rsidRDefault="00B06CAA" w:rsidP="00B06CAA"/>
    <w:p w14:paraId="7DB5A143" w14:textId="77777777" w:rsidR="00B06CAA" w:rsidRDefault="00B06CAA" w:rsidP="00B06CAA"/>
    <w:p w14:paraId="22666C2A" w14:textId="77777777" w:rsidR="00B06CAA" w:rsidRPr="00B06CAA" w:rsidRDefault="00B06CAA" w:rsidP="00B06CAA">
      <w:pPr>
        <w:sectPr w:rsidR="00B06CAA" w:rsidRPr="00B06CAA">
          <w:headerReference w:type="default" r:id="rId8"/>
          <w:footerReference w:type="default" r:id="rId9"/>
          <w:type w:val="continuous"/>
          <w:pgSz w:w="5940" w:h="8390"/>
          <w:pgMar w:top="820" w:right="0" w:bottom="1000" w:left="0" w:header="0" w:footer="802" w:gutter="0"/>
          <w:pgNumType w:start="1"/>
          <w:cols w:space="720"/>
        </w:sectPr>
      </w:pPr>
    </w:p>
    <w:p w14:paraId="3BB50986" w14:textId="77777777" w:rsidR="008F2A8B" w:rsidRDefault="008F2A8B">
      <w:pPr>
        <w:pStyle w:val="BodyText"/>
        <w:spacing w:before="3"/>
        <w:rPr>
          <w:sz w:val="20"/>
        </w:rPr>
      </w:pPr>
    </w:p>
    <w:p w14:paraId="7197DD1D" w14:textId="77777777" w:rsidR="00B06CAA" w:rsidRDefault="00B06CAA">
      <w:pPr>
        <w:pStyle w:val="BodyText"/>
        <w:spacing w:before="3"/>
        <w:rPr>
          <w:sz w:val="20"/>
        </w:rPr>
      </w:pPr>
    </w:p>
    <w:p w14:paraId="305F75DC" w14:textId="77777777" w:rsidR="00B06CAA" w:rsidRDefault="00B06CAA">
      <w:pPr>
        <w:pStyle w:val="BodyText"/>
        <w:spacing w:before="3"/>
        <w:rPr>
          <w:sz w:val="20"/>
        </w:rPr>
      </w:pPr>
    </w:p>
    <w:p w14:paraId="0656FDF5" w14:textId="77777777" w:rsidR="00B06CAA" w:rsidRDefault="00B06CAA">
      <w:pPr>
        <w:pStyle w:val="BodyText"/>
        <w:spacing w:before="3"/>
        <w:rPr>
          <w:sz w:val="20"/>
        </w:rPr>
      </w:pPr>
    </w:p>
    <w:p w14:paraId="46EA529B" w14:textId="77777777" w:rsidR="00B06CAA" w:rsidRDefault="00B06CAA">
      <w:pPr>
        <w:pStyle w:val="BodyText"/>
        <w:spacing w:before="3"/>
        <w:rPr>
          <w:sz w:val="20"/>
        </w:rPr>
      </w:pPr>
    </w:p>
    <w:p w14:paraId="2E95B35D" w14:textId="77777777" w:rsidR="00B06CAA" w:rsidRDefault="00B06CAA">
      <w:pPr>
        <w:pStyle w:val="BodyText"/>
        <w:spacing w:before="3"/>
        <w:rPr>
          <w:sz w:val="20"/>
        </w:rPr>
      </w:pPr>
    </w:p>
    <w:p w14:paraId="1135D505" w14:textId="77777777" w:rsidR="00B06CAA" w:rsidRDefault="00B06CAA">
      <w:pPr>
        <w:pStyle w:val="BodyText"/>
        <w:spacing w:before="3"/>
        <w:rPr>
          <w:sz w:val="20"/>
        </w:rPr>
      </w:pPr>
    </w:p>
    <w:p w14:paraId="1A333730" w14:textId="77777777" w:rsidR="00B06CAA" w:rsidRDefault="00B06CAA">
      <w:pPr>
        <w:pStyle w:val="BodyText"/>
        <w:spacing w:before="3"/>
        <w:rPr>
          <w:sz w:val="20"/>
        </w:rPr>
      </w:pPr>
    </w:p>
    <w:p w14:paraId="5323A25F" w14:textId="77777777" w:rsidR="00B06CAA" w:rsidRDefault="00B06CAA">
      <w:pPr>
        <w:pStyle w:val="BodyText"/>
        <w:spacing w:before="3"/>
        <w:rPr>
          <w:sz w:val="20"/>
        </w:rPr>
      </w:pPr>
    </w:p>
    <w:p w14:paraId="7097F286" w14:textId="77777777" w:rsidR="00B06CAA" w:rsidRDefault="00B06CAA">
      <w:pPr>
        <w:pStyle w:val="BodyText"/>
        <w:spacing w:before="3"/>
        <w:rPr>
          <w:sz w:val="20"/>
        </w:rPr>
      </w:pPr>
    </w:p>
    <w:p w14:paraId="7FAC7218" w14:textId="77777777" w:rsidR="00B06CAA" w:rsidRDefault="00B06CAA">
      <w:pPr>
        <w:pStyle w:val="BodyText"/>
        <w:spacing w:before="3"/>
        <w:rPr>
          <w:sz w:val="20"/>
        </w:rPr>
      </w:pPr>
    </w:p>
    <w:p w14:paraId="008B29C3" w14:textId="77777777" w:rsidR="00B06CAA" w:rsidRDefault="00B06CAA">
      <w:pPr>
        <w:pStyle w:val="BodyText"/>
        <w:spacing w:before="3"/>
        <w:rPr>
          <w:sz w:val="20"/>
        </w:rPr>
      </w:pPr>
    </w:p>
    <w:p w14:paraId="74767B80" w14:textId="77777777" w:rsidR="00B06CAA" w:rsidRDefault="00B06CAA">
      <w:pPr>
        <w:pStyle w:val="BodyText"/>
        <w:spacing w:before="3"/>
        <w:rPr>
          <w:sz w:val="20"/>
        </w:rPr>
      </w:pPr>
    </w:p>
    <w:p w14:paraId="6A6E208D" w14:textId="77777777" w:rsidR="00B06CAA" w:rsidRDefault="00B06CAA">
      <w:pPr>
        <w:pStyle w:val="BodyText"/>
        <w:spacing w:before="3"/>
        <w:rPr>
          <w:sz w:val="20"/>
        </w:rPr>
      </w:pPr>
    </w:p>
    <w:p w14:paraId="42869201" w14:textId="77777777" w:rsidR="00B06CAA" w:rsidRDefault="00B06CAA">
      <w:pPr>
        <w:pStyle w:val="BodyText"/>
        <w:spacing w:before="3"/>
        <w:rPr>
          <w:sz w:val="20"/>
        </w:rPr>
      </w:pPr>
    </w:p>
    <w:p w14:paraId="61AA6E44" w14:textId="77777777" w:rsidR="00B06CAA" w:rsidRDefault="00B06CAA">
      <w:pPr>
        <w:pStyle w:val="BodyText"/>
        <w:spacing w:before="3"/>
        <w:rPr>
          <w:sz w:val="20"/>
        </w:rPr>
      </w:pPr>
    </w:p>
    <w:p w14:paraId="749D8829" w14:textId="77777777" w:rsidR="00B06CAA" w:rsidRDefault="00B06CAA">
      <w:pPr>
        <w:pStyle w:val="BodyText"/>
        <w:spacing w:before="3"/>
        <w:rPr>
          <w:sz w:val="20"/>
        </w:rPr>
      </w:pPr>
    </w:p>
    <w:p w14:paraId="1DFC856F" w14:textId="77777777" w:rsidR="00B06CAA" w:rsidRDefault="00B06CAA">
      <w:pPr>
        <w:pStyle w:val="BodyText"/>
        <w:spacing w:before="3"/>
        <w:rPr>
          <w:sz w:val="20"/>
        </w:rPr>
      </w:pPr>
    </w:p>
    <w:p w14:paraId="06E095E1" w14:textId="77777777" w:rsidR="00B06CAA" w:rsidRDefault="00B06CAA">
      <w:pPr>
        <w:pStyle w:val="BodyText"/>
        <w:spacing w:before="3"/>
        <w:rPr>
          <w:sz w:val="20"/>
        </w:rPr>
      </w:pPr>
    </w:p>
    <w:p w14:paraId="3B6C8B35" w14:textId="77777777" w:rsidR="00B06CAA" w:rsidRDefault="00B06CAA">
      <w:pPr>
        <w:pStyle w:val="BodyText"/>
        <w:spacing w:before="3"/>
        <w:rPr>
          <w:sz w:val="20"/>
        </w:rPr>
      </w:pPr>
    </w:p>
    <w:p w14:paraId="08C33EF2" w14:textId="77777777" w:rsidR="00B06CAA" w:rsidRDefault="00B06CAA">
      <w:pPr>
        <w:pStyle w:val="BodyText"/>
        <w:spacing w:before="3"/>
        <w:rPr>
          <w:sz w:val="20"/>
        </w:rPr>
      </w:pPr>
    </w:p>
    <w:p w14:paraId="2B3B25BC" w14:textId="77777777" w:rsidR="008F2A8B" w:rsidRDefault="00000000">
      <w:pPr>
        <w:tabs>
          <w:tab w:val="left" w:pos="381"/>
          <w:tab w:val="left" w:pos="5939"/>
        </w:tabs>
        <w:rPr>
          <w:rFonts w:ascii="Arial"/>
          <w:b/>
          <w:sz w:val="16"/>
        </w:rPr>
      </w:pPr>
      <w:r>
        <w:rPr>
          <w:noProof/>
        </w:rPr>
        <w:drawing>
          <wp:anchor distT="0" distB="0" distL="0" distR="0" simplePos="0" relativeHeight="487540224" behindDoc="1" locked="0" layoutInCell="1" allowOverlap="1" wp14:anchorId="13363845" wp14:editId="22197D25">
            <wp:simplePos x="0" y="0"/>
            <wp:positionH relativeFrom="page">
              <wp:posOffset>0</wp:posOffset>
            </wp:positionH>
            <wp:positionV relativeFrom="paragraph">
              <wp:posOffset>-69572</wp:posOffset>
            </wp:positionV>
            <wp:extent cx="3771899" cy="276353"/>
            <wp:effectExtent l="0" t="0" r="0" b="0"/>
            <wp:wrapNone/>
            <wp:docPr id="100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pic:nvPicPr>
                  <pic:blipFill>
                    <a:blip r:embed="rId10" cstate="print"/>
                    <a:stretch>
                      <a:fillRect/>
                    </a:stretch>
                  </pic:blipFill>
                  <pic:spPr>
                    <a:xfrm>
                      <a:off x="0" y="0"/>
                      <a:ext cx="3771899" cy="276353"/>
                    </a:xfrm>
                    <a:prstGeom prst="rect">
                      <a:avLst/>
                    </a:prstGeom>
                  </pic:spPr>
                </pic:pic>
              </a:graphicData>
            </a:graphic>
          </wp:anchor>
        </w:drawing>
      </w:r>
      <w:r>
        <w:rPr>
          <w:rFonts w:ascii="Arial"/>
          <w:b/>
          <w:color w:val="005464"/>
          <w:sz w:val="16"/>
          <w:shd w:val="clear" w:color="auto" w:fill="F1F1F1"/>
        </w:rPr>
        <w:tab/>
      </w:r>
      <w:r>
        <w:rPr>
          <w:rFonts w:ascii="Arial"/>
          <w:b/>
          <w:color w:val="005464"/>
          <w:spacing w:val="-2"/>
          <w:w w:val="110"/>
          <w:sz w:val="16"/>
          <w:shd w:val="clear" w:color="auto" w:fill="F1F1F1"/>
        </w:rPr>
        <w:t>Disclaimer</w:t>
      </w:r>
      <w:r>
        <w:rPr>
          <w:rFonts w:ascii="Arial"/>
          <w:b/>
          <w:color w:val="005464"/>
          <w:sz w:val="16"/>
          <w:shd w:val="clear" w:color="auto" w:fill="F1F1F1"/>
        </w:rPr>
        <w:tab/>
      </w:r>
    </w:p>
    <w:p w14:paraId="17235EC9" w14:textId="77777777" w:rsidR="008F2A8B" w:rsidRDefault="00000000">
      <w:pPr>
        <w:pStyle w:val="BodyText"/>
        <w:spacing w:before="67" w:line="225" w:lineRule="auto"/>
        <w:ind w:left="394" w:right="337"/>
        <w:jc w:val="both"/>
      </w:pPr>
      <w:r>
        <w:t>This research summary is based on publicly available news sources and</w:t>
      </w:r>
      <w:r>
        <w:rPr>
          <w:spacing w:val="40"/>
        </w:rPr>
        <w:t xml:space="preserve"> </w:t>
      </w:r>
      <w:r>
        <w:t xml:space="preserve">is intended solely for informational purposes. While reasonable care has been taken to ensure </w:t>
      </w:r>
      <w:r>
        <w:rPr>
          <w:w w:val="110"/>
        </w:rPr>
        <w:t>a</w:t>
      </w:r>
      <w:r>
        <w:rPr>
          <w:spacing w:val="-2"/>
          <w:w w:val="114"/>
        </w:rPr>
        <w:t>c</w:t>
      </w:r>
      <w:r>
        <w:rPr>
          <w:w w:val="114"/>
        </w:rPr>
        <w:t>c</w:t>
      </w:r>
      <w:r>
        <w:rPr>
          <w:spacing w:val="-1"/>
          <w:w w:val="94"/>
        </w:rPr>
        <w:t>ur</w:t>
      </w:r>
      <w:r>
        <w:rPr>
          <w:w w:val="110"/>
        </w:rPr>
        <w:t>a</w:t>
      </w:r>
      <w:r>
        <w:rPr>
          <w:spacing w:val="-2"/>
          <w:w w:val="114"/>
        </w:rPr>
        <w:t>c</w:t>
      </w:r>
      <w:r>
        <w:rPr>
          <w:spacing w:val="-1"/>
          <w:w w:val="93"/>
        </w:rPr>
        <w:t>y</w:t>
      </w:r>
      <w:r>
        <w:rPr>
          <w:spacing w:val="-1"/>
          <w:w w:val="53"/>
        </w:rPr>
        <w:t>,</w:t>
      </w:r>
      <w:r>
        <w:rPr>
          <w:spacing w:val="-1"/>
          <w:w w:val="99"/>
        </w:rPr>
        <w:t xml:space="preserve"> </w:t>
      </w:r>
      <w:r>
        <w:t xml:space="preserve">the information may be incomplete or subject to </w:t>
      </w:r>
      <w:r>
        <w:rPr>
          <w:w w:val="116"/>
        </w:rPr>
        <w:t>c</w:t>
      </w:r>
      <w:r>
        <w:rPr>
          <w:w w:val="101"/>
        </w:rPr>
        <w:t>h</w:t>
      </w:r>
      <w:r>
        <w:rPr>
          <w:w w:val="112"/>
        </w:rPr>
        <w:t>a</w:t>
      </w:r>
      <w:r>
        <w:rPr>
          <w:w w:val="101"/>
        </w:rPr>
        <w:t>n</w:t>
      </w:r>
      <w:r>
        <w:rPr>
          <w:w w:val="108"/>
        </w:rPr>
        <w:t>g</w:t>
      </w:r>
      <w:r>
        <w:rPr>
          <w:w w:val="104"/>
        </w:rPr>
        <w:t>e</w:t>
      </w:r>
      <w:r>
        <w:rPr>
          <w:w w:val="58"/>
        </w:rPr>
        <w:t>.</w:t>
      </w:r>
      <w:r>
        <w:t xml:space="preserve"> This document should not be considered as investment advice or a recommendation to buy or sell any securities.</w:t>
      </w:r>
    </w:p>
    <w:sectPr w:rsidR="008F2A8B">
      <w:pgSz w:w="5940" w:h="8390"/>
      <w:pgMar w:top="820" w:right="0" w:bottom="1000" w:left="0" w:header="0" w:footer="8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697759" w14:textId="77777777" w:rsidR="0051382F" w:rsidRDefault="0051382F">
      <w:r>
        <w:separator/>
      </w:r>
    </w:p>
  </w:endnote>
  <w:endnote w:type="continuationSeparator" w:id="0">
    <w:p w14:paraId="0CFEB891" w14:textId="77777777" w:rsidR="0051382F" w:rsidRDefault="005138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Century Gothic">
    <w:altName w:val="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78EA4" w14:textId="77777777" w:rsidR="008F2A8B" w:rsidRDefault="00000000">
    <w:pPr>
      <w:pStyle w:val="BodyText"/>
      <w:spacing w:before="0" w:line="14" w:lineRule="auto"/>
      <w:rPr>
        <w:sz w:val="20"/>
      </w:rPr>
    </w:pPr>
    <w:r>
      <w:rPr>
        <w:noProof/>
      </w:rPr>
      <w:drawing>
        <wp:anchor distT="0" distB="0" distL="0" distR="0" simplePos="0" relativeHeight="251657728" behindDoc="1" locked="0" layoutInCell="1" allowOverlap="1" wp14:anchorId="6BDA658C" wp14:editId="3476912A">
          <wp:simplePos x="0" y="0"/>
          <wp:positionH relativeFrom="page">
            <wp:posOffset>210372</wp:posOffset>
          </wp:positionH>
          <wp:positionV relativeFrom="page">
            <wp:posOffset>4953000</wp:posOffset>
          </wp:positionV>
          <wp:extent cx="676534" cy="224028"/>
          <wp:effectExtent l="0" t="0" r="0" b="0"/>
          <wp:wrapNone/>
          <wp:docPr id="962445235" name="image1.jpeg" descr="Ashika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 cstate="print"/>
                  <a:stretch>
                    <a:fillRect/>
                  </a:stretch>
                </pic:blipFill>
                <pic:spPr>
                  <a:xfrm>
                    <a:off x="0" y="0"/>
                    <a:ext cx="676534" cy="224028"/>
                  </a:xfrm>
                  <a:prstGeom prst="rect">
                    <a:avLst/>
                  </a:prstGeom>
                </pic:spPr>
              </pic:pic>
            </a:graphicData>
          </a:graphic>
        </wp:anchor>
      </w:drawing>
    </w:r>
    <w:r>
      <w:pict w14:anchorId="43ABC1EA">
        <v:line id="_x0000_s1026" style="position:absolute;z-index:-15777280;mso-position-horizontal-relative:page;mso-position-vertical-relative:page" from="14.05pt,377.5pt" to="279.25pt,377.5pt" strokecolor="#7e7e7e" strokeweight=".5pt">
          <v:stroke dashstyle="3 1"/>
          <w10:wrap anchorx="page" anchory="page"/>
        </v:line>
      </w:pict>
    </w:r>
    <w:r>
      <w:pict w14:anchorId="2F3AF6B1">
        <v:shapetype id="_x0000_t202" coordsize="21600,21600" o:spt="202" path="m,l,21600r21600,l21600,xe">
          <v:stroke joinstyle="miter"/>
          <v:path gradientshapeok="t" o:connecttype="rect"/>
        </v:shapetype>
        <v:shape id="docshape5" o:spid="_x0000_s1025" type="#_x0000_t202" style="position:absolute;margin-left:18.05pt;margin-top:367.95pt;width:254.15pt;height:46.8pt;z-index:-15776768;mso-position-horizontal-relative:page;mso-position-vertical-relative:page" filled="f" stroked="f">
          <v:textbox style="mso-next-textbox:#docshape5" inset="0,0,0,0">
            <w:txbxContent>
              <w:p w14:paraId="136AA2F6" w14:textId="77777777" w:rsidR="008F2A8B" w:rsidRDefault="00000000">
                <w:pPr>
                  <w:spacing w:before="25"/>
                  <w:ind w:left="20"/>
                  <w:rPr>
                    <w:rFonts w:ascii="Century Gothic"/>
                    <w:i/>
                    <w:sz w:val="10"/>
                  </w:rPr>
                </w:pPr>
                <w:r>
                  <w:rPr>
                    <w:rFonts w:ascii="Arial"/>
                    <w:b/>
                    <w:i/>
                    <w:color w:val="7E7E7E"/>
                    <w:w w:val="105"/>
                    <w:sz w:val="10"/>
                  </w:rPr>
                  <w:t>Source:</w:t>
                </w:r>
                <w:r>
                  <w:rPr>
                    <w:rFonts w:ascii="Arial"/>
                    <w:b/>
                    <w:i/>
                    <w:color w:val="7E7E7E"/>
                    <w:spacing w:val="-5"/>
                    <w:w w:val="105"/>
                    <w:sz w:val="10"/>
                  </w:rPr>
                  <w:t xml:space="preserve"> </w:t>
                </w:r>
                <w:r>
                  <w:rPr>
                    <w:rFonts w:ascii="Century Gothic"/>
                    <w:i/>
                    <w:color w:val="7E7E7E"/>
                    <w:w w:val="105"/>
                    <w:sz w:val="10"/>
                  </w:rPr>
                  <w:t>Business</w:t>
                </w:r>
                <w:r>
                  <w:rPr>
                    <w:rFonts w:ascii="Century Gothic"/>
                    <w:i/>
                    <w:color w:val="7E7E7E"/>
                    <w:spacing w:val="-4"/>
                    <w:w w:val="105"/>
                    <w:sz w:val="10"/>
                  </w:rPr>
                  <w:t xml:space="preserve"> </w:t>
                </w:r>
                <w:r>
                  <w:rPr>
                    <w:rFonts w:ascii="Century Gothic"/>
                    <w:i/>
                    <w:color w:val="7E7E7E"/>
                    <w:w w:val="105"/>
                    <w:sz w:val="10"/>
                  </w:rPr>
                  <w:t>Standard,</w:t>
                </w:r>
                <w:r>
                  <w:rPr>
                    <w:rFonts w:ascii="Century Gothic"/>
                    <w:i/>
                    <w:color w:val="7E7E7E"/>
                    <w:spacing w:val="-2"/>
                    <w:w w:val="105"/>
                    <w:sz w:val="10"/>
                  </w:rPr>
                  <w:t xml:space="preserve"> </w:t>
                </w:r>
                <w:r>
                  <w:rPr>
                    <w:rFonts w:ascii="Century Gothic"/>
                    <w:i/>
                    <w:color w:val="7E7E7E"/>
                    <w:w w:val="105"/>
                    <w:sz w:val="10"/>
                  </w:rPr>
                  <w:t>Financial</w:t>
                </w:r>
                <w:r>
                  <w:rPr>
                    <w:rFonts w:ascii="Century Gothic"/>
                    <w:i/>
                    <w:color w:val="7E7E7E"/>
                    <w:spacing w:val="2"/>
                    <w:w w:val="105"/>
                    <w:sz w:val="10"/>
                  </w:rPr>
                  <w:t xml:space="preserve"> </w:t>
                </w:r>
                <w:r>
                  <w:rPr>
                    <w:rFonts w:ascii="Century Gothic"/>
                    <w:i/>
                    <w:color w:val="7E7E7E"/>
                    <w:w w:val="105"/>
                    <w:sz w:val="10"/>
                  </w:rPr>
                  <w:t>Express</w:t>
                </w:r>
                <w:r>
                  <w:rPr>
                    <w:rFonts w:ascii="Century Gothic"/>
                    <w:i/>
                    <w:color w:val="7E7E7E"/>
                    <w:spacing w:val="-4"/>
                    <w:w w:val="105"/>
                    <w:sz w:val="10"/>
                  </w:rPr>
                  <w:t xml:space="preserve"> </w:t>
                </w:r>
                <w:r>
                  <w:rPr>
                    <w:rFonts w:ascii="Century Gothic"/>
                    <w:i/>
                    <w:color w:val="7E7E7E"/>
                    <w:w w:val="105"/>
                    <w:sz w:val="10"/>
                  </w:rPr>
                  <w:t>and</w:t>
                </w:r>
                <w:r>
                  <w:rPr>
                    <w:rFonts w:ascii="Century Gothic"/>
                    <w:i/>
                    <w:color w:val="7E7E7E"/>
                    <w:spacing w:val="-1"/>
                    <w:w w:val="105"/>
                    <w:sz w:val="10"/>
                  </w:rPr>
                  <w:t xml:space="preserve"> </w:t>
                </w:r>
                <w:r>
                  <w:rPr>
                    <w:rFonts w:ascii="Century Gothic"/>
                    <w:i/>
                    <w:color w:val="7E7E7E"/>
                    <w:w w:val="105"/>
                    <w:sz w:val="10"/>
                  </w:rPr>
                  <w:t>The</w:t>
                </w:r>
                <w:r>
                  <w:rPr>
                    <w:rFonts w:ascii="Century Gothic"/>
                    <w:i/>
                    <w:color w:val="7E7E7E"/>
                    <w:spacing w:val="-2"/>
                    <w:w w:val="105"/>
                    <w:sz w:val="10"/>
                  </w:rPr>
                  <w:t xml:space="preserve"> </w:t>
                </w:r>
                <w:r>
                  <w:rPr>
                    <w:rFonts w:ascii="Century Gothic"/>
                    <w:i/>
                    <w:color w:val="7E7E7E"/>
                    <w:w w:val="105"/>
                    <w:sz w:val="10"/>
                  </w:rPr>
                  <w:t>Economic</w:t>
                </w:r>
                <w:r>
                  <w:rPr>
                    <w:rFonts w:ascii="Century Gothic"/>
                    <w:i/>
                    <w:color w:val="7E7E7E"/>
                    <w:spacing w:val="-6"/>
                    <w:w w:val="105"/>
                    <w:sz w:val="10"/>
                  </w:rPr>
                  <w:t xml:space="preserve"> </w:t>
                </w:r>
                <w:r>
                  <w:rPr>
                    <w:rFonts w:ascii="Century Gothic"/>
                    <w:i/>
                    <w:color w:val="7E7E7E"/>
                    <w:spacing w:val="-4"/>
                    <w:w w:val="105"/>
                    <w:sz w:val="10"/>
                  </w:rPr>
                  <w:t>Times</w:t>
                </w:r>
              </w:p>
              <w:p w14:paraId="7CFA6A04" w14:textId="77777777" w:rsidR="008F2A8B" w:rsidRDefault="008F2A8B">
                <w:pPr>
                  <w:pStyle w:val="BodyText"/>
                  <w:spacing w:before="10"/>
                  <w:rPr>
                    <w:rFonts w:ascii="Century Gothic"/>
                    <w:i/>
                    <w:sz w:val="12"/>
                  </w:rPr>
                </w:pPr>
              </w:p>
              <w:p w14:paraId="2DC21391" w14:textId="77777777" w:rsidR="008F2A8B" w:rsidRDefault="00000000">
                <w:pPr>
                  <w:spacing w:line="160" w:lineRule="exact"/>
                  <w:ind w:left="3085"/>
                  <w:rPr>
                    <w:rFonts w:ascii="Arial"/>
                    <w:b/>
                    <w:sz w:val="14"/>
                  </w:rPr>
                </w:pPr>
                <w:r>
                  <w:rPr>
                    <w:rFonts w:ascii="Arial"/>
                    <w:b/>
                    <w:color w:val="464646"/>
                    <w:w w:val="105"/>
                    <w:sz w:val="14"/>
                  </w:rPr>
                  <w:t>Corporate</w:t>
                </w:r>
                <w:r>
                  <w:rPr>
                    <w:rFonts w:ascii="Arial"/>
                    <w:b/>
                    <w:color w:val="464646"/>
                    <w:spacing w:val="23"/>
                    <w:w w:val="105"/>
                    <w:sz w:val="14"/>
                  </w:rPr>
                  <w:t xml:space="preserve"> </w:t>
                </w:r>
                <w:r>
                  <w:rPr>
                    <w:rFonts w:ascii="Arial"/>
                    <w:b/>
                    <w:color w:val="464646"/>
                    <w:spacing w:val="-2"/>
                    <w:w w:val="105"/>
                    <w:sz w:val="14"/>
                  </w:rPr>
                  <w:t>Address:</w:t>
                </w:r>
              </w:p>
              <w:p w14:paraId="09755BC0" w14:textId="77777777" w:rsidR="008F2A8B" w:rsidRDefault="00000000">
                <w:pPr>
                  <w:ind w:left="3085"/>
                  <w:rPr>
                    <w:sz w:val="12"/>
                  </w:rPr>
                </w:pPr>
                <w:r>
                  <w:rPr>
                    <w:color w:val="7E7E7E"/>
                    <w:w w:val="90"/>
                    <w:sz w:val="12"/>
                  </w:rPr>
                  <w:t>Altimus,</w:t>
                </w:r>
                <w:r>
                  <w:rPr>
                    <w:color w:val="7E7E7E"/>
                    <w:spacing w:val="-1"/>
                    <w:w w:val="90"/>
                    <w:sz w:val="12"/>
                  </w:rPr>
                  <w:t xml:space="preserve"> </w:t>
                </w:r>
                <w:r>
                  <w:rPr>
                    <w:color w:val="7E7E7E"/>
                    <w:w w:val="90"/>
                    <w:sz w:val="12"/>
                  </w:rPr>
                  <w:t>Level 35, Dr. G.M.</w:t>
                </w:r>
                <w:r>
                  <w:rPr>
                    <w:color w:val="7E7E7E"/>
                    <w:spacing w:val="-4"/>
                    <w:w w:val="90"/>
                    <w:sz w:val="12"/>
                  </w:rPr>
                  <w:t xml:space="preserve"> </w:t>
                </w:r>
                <w:r>
                  <w:rPr>
                    <w:color w:val="7E7E7E"/>
                    <w:w w:val="90"/>
                    <w:sz w:val="12"/>
                  </w:rPr>
                  <w:t>Bhosale</w:t>
                </w:r>
                <w:r>
                  <w:rPr>
                    <w:color w:val="7E7E7E"/>
                    <w:sz w:val="12"/>
                  </w:rPr>
                  <w:t xml:space="preserve"> Marg,</w:t>
                </w:r>
                <w:r>
                  <w:rPr>
                    <w:color w:val="7E7E7E"/>
                    <w:spacing w:val="-4"/>
                    <w:sz w:val="12"/>
                  </w:rPr>
                  <w:t xml:space="preserve"> </w:t>
                </w:r>
                <w:r>
                  <w:rPr>
                    <w:color w:val="7E7E7E"/>
                    <w:sz w:val="12"/>
                  </w:rPr>
                  <w:t xml:space="preserve">Worli, </w:t>
                </w:r>
                <w:r>
                  <w:rPr>
                    <w:color w:val="7E7E7E"/>
                    <w:w w:val="107"/>
                    <w:sz w:val="12"/>
                  </w:rPr>
                  <w:t>Mum</w:t>
                </w:r>
                <w:r>
                  <w:rPr>
                    <w:color w:val="7E7E7E"/>
                    <w:w w:val="112"/>
                    <w:sz w:val="12"/>
                  </w:rPr>
                  <w:t>b</w:t>
                </w:r>
                <w:r>
                  <w:rPr>
                    <w:color w:val="7E7E7E"/>
                    <w:w w:val="116"/>
                    <w:sz w:val="12"/>
                  </w:rPr>
                  <w:t>a</w:t>
                </w:r>
                <w:r>
                  <w:rPr>
                    <w:color w:val="7E7E7E"/>
                    <w:w w:val="93"/>
                    <w:sz w:val="12"/>
                  </w:rPr>
                  <w:t>i</w:t>
                </w:r>
                <w:r>
                  <w:rPr>
                    <w:color w:val="7E7E7E"/>
                    <w:w w:val="58"/>
                    <w:sz w:val="12"/>
                  </w:rPr>
                  <w:t>,</w:t>
                </w:r>
                <w:r>
                  <w:rPr>
                    <w:color w:val="7E7E7E"/>
                    <w:sz w:val="12"/>
                  </w:rPr>
                  <w:t xml:space="preserve"> </w:t>
                </w:r>
                <w:r>
                  <w:rPr>
                    <w:color w:val="7E7E7E"/>
                    <w:w w:val="108"/>
                    <w:sz w:val="12"/>
                  </w:rPr>
                  <w:t>Maha</w:t>
                </w:r>
                <w:r>
                  <w:rPr>
                    <w:color w:val="7E7E7E"/>
                    <w:w w:val="89"/>
                    <w:sz w:val="12"/>
                  </w:rPr>
                  <w:t>r</w:t>
                </w:r>
                <w:r>
                  <w:rPr>
                    <w:color w:val="7E7E7E"/>
                    <w:w w:val="114"/>
                    <w:sz w:val="12"/>
                  </w:rPr>
                  <w:t>a</w:t>
                </w:r>
                <w:r>
                  <w:rPr>
                    <w:color w:val="7E7E7E"/>
                    <w:sz w:val="12"/>
                  </w:rPr>
                  <w:t>sh</w:t>
                </w:r>
                <w:r>
                  <w:rPr>
                    <w:color w:val="7E7E7E"/>
                    <w:spacing w:val="-1"/>
                    <w:sz w:val="12"/>
                  </w:rPr>
                  <w:t>t</w:t>
                </w:r>
                <w:r>
                  <w:rPr>
                    <w:color w:val="7E7E7E"/>
                    <w:w w:val="89"/>
                    <w:sz w:val="12"/>
                  </w:rPr>
                  <w:t>r</w:t>
                </w:r>
                <w:r>
                  <w:rPr>
                    <w:color w:val="7E7E7E"/>
                    <w:w w:val="114"/>
                    <w:sz w:val="12"/>
                  </w:rPr>
                  <w:t>a</w:t>
                </w:r>
                <w:r>
                  <w:rPr>
                    <w:color w:val="7E7E7E"/>
                    <w:w w:val="56"/>
                    <w:sz w:val="12"/>
                  </w:rPr>
                  <w:t>,</w:t>
                </w:r>
                <w:r>
                  <w:rPr>
                    <w:color w:val="7E7E7E"/>
                    <w:spacing w:val="-7"/>
                    <w:w w:val="99"/>
                    <w:sz w:val="12"/>
                  </w:rPr>
                  <w:t xml:space="preserve"> </w:t>
                </w:r>
                <w:r>
                  <w:rPr>
                    <w:color w:val="7E7E7E"/>
                    <w:sz w:val="12"/>
                  </w:rPr>
                  <w:t>India</w:t>
                </w:r>
                <w:r>
                  <w:rPr>
                    <w:color w:val="7E7E7E"/>
                    <w:spacing w:val="-3"/>
                    <w:sz w:val="12"/>
                  </w:rPr>
                  <w:t xml:space="preserve"> </w:t>
                </w:r>
                <w:r>
                  <w:rPr>
                    <w:color w:val="7E7E7E"/>
                    <w:sz w:val="12"/>
                  </w:rPr>
                  <w:t>400018</w:t>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FAB49B" w14:textId="77777777" w:rsidR="0051382F" w:rsidRDefault="0051382F">
      <w:r>
        <w:separator/>
      </w:r>
    </w:p>
  </w:footnote>
  <w:footnote w:type="continuationSeparator" w:id="0">
    <w:p w14:paraId="63460DF8" w14:textId="77777777" w:rsidR="0051382F" w:rsidRDefault="005138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5504D" w14:textId="77777777" w:rsidR="008F2A8B" w:rsidRDefault="00000000">
    <w:pPr>
      <w:pStyle w:val="BodyText"/>
      <w:spacing w:before="0" w:line="14" w:lineRule="auto"/>
      <w:rPr>
        <w:sz w:val="20"/>
      </w:rPr>
    </w:pPr>
    <w:r>
      <w:pict w14:anchorId="211FBDC6">
        <v:group id="docshapegroup1" o:spid="_x0000_s1029" style="position:absolute;margin-left:0;margin-top:0;width:297pt;height:41.8pt;z-index:-15779328;mso-position-horizontal-relative:page;mso-position-vertical-relative:page" coordsize="5940,836">
          <v:rect id="docshape2" o:spid="_x0000_s1031" style="position:absolute;width:5940;height:836" fillcolor="#1f487c" stroked="f"/>
          <v:line id="_x0000_s1030" style="position:absolute" from="0,830" to="5940,830" strokecolor="#7e7e7e" strokeweight=".5pt">
            <v:stroke dashstyle="3 1"/>
          </v:line>
          <w10:wrap anchorx="page" anchory="page"/>
        </v:group>
      </w:pict>
    </w:r>
    <w:r>
      <w:pict w14:anchorId="59C02B8C">
        <v:shapetype id="_x0000_t202" coordsize="21600,21600" o:spt="202" path="m,l,21600r21600,l21600,xe">
          <v:stroke joinstyle="miter"/>
          <v:path gradientshapeok="t" o:connecttype="rect"/>
        </v:shapetype>
        <v:shape id="docshape3" o:spid="_x0000_s1028" type="#_x0000_t202" style="position:absolute;margin-left:233.55pt;margin-top:9.9pt;width:51.55pt;height:18.45pt;z-index:-15778816;mso-position-horizontal-relative:page;mso-position-vertical-relative:page" filled="f" stroked="f">
          <v:textbox style="mso-next-textbox:#docshape3" inset="0,0,0,0">
            <w:txbxContent>
              <w:p w14:paraId="04169F20" w14:textId="25AEEC51" w:rsidR="008F2A8B" w:rsidRDefault="00000000">
                <w:pPr>
                  <w:spacing w:before="25" w:line="276" w:lineRule="auto"/>
                  <w:ind w:left="20" w:right="10" w:firstLine="247"/>
                  <w:rPr>
                    <w:rFonts w:ascii="Trebuchet MS" w:hAnsi="Trebuchet MS"/>
                    <w:sz w:val="12"/>
                  </w:rPr>
                </w:pPr>
                <w:r>
                  <w:rPr>
                    <w:color w:val="FFFFFF"/>
                    <w:spacing w:val="-2"/>
                    <w:w w:val="105"/>
                    <w:sz w:val="12"/>
                  </w:rPr>
                  <w:t>Newsletter</w:t>
                </w:r>
                <w:r>
                  <w:rPr>
                    <w:color w:val="FFFFFF"/>
                    <w:spacing w:val="-11"/>
                    <w:w w:val="105"/>
                    <w:sz w:val="12"/>
                  </w:rPr>
                  <w:t xml:space="preserve"> </w:t>
                </w:r>
                <w:r>
                  <w:rPr>
                    <w:rFonts w:ascii="Trebuchet MS" w:hAnsi="Trebuchet MS"/>
                    <w:color w:val="FFFFFF"/>
                    <w:spacing w:val="-2"/>
                    <w:w w:val="105"/>
                    <w:sz w:val="12"/>
                  </w:rPr>
                  <w:t>–</w:t>
                </w:r>
                <w:r>
                  <w:rPr>
                    <w:rFonts w:ascii="Trebuchet MS" w:hAnsi="Trebuchet MS"/>
                    <w:color w:val="FFFFFF"/>
                    <w:spacing w:val="40"/>
                    <w:w w:val="105"/>
                    <w:sz w:val="12"/>
                  </w:rPr>
                  <w:t xml:space="preserve"> </w:t>
                </w:r>
                <w:r w:rsidR="00B06CAA">
                  <w:rPr>
                    <w:rFonts w:ascii="Trebuchet MS" w:hAnsi="Trebuchet MS"/>
                    <w:color w:val="FFFFFF"/>
                    <w:w w:val="105"/>
                    <w:sz w:val="12"/>
                  </w:rPr>
                  <w:t>Date</w:t>
                </w:r>
              </w:p>
            </w:txbxContent>
          </v:textbox>
          <w10:wrap anchorx="page" anchory="page"/>
        </v:shape>
      </w:pict>
    </w:r>
    <w:r>
      <w:pict w14:anchorId="3C5389CE">
        <v:shape id="docshape4" o:spid="_x0000_s1027" type="#_x0000_t202" style="position:absolute;margin-left:12.2pt;margin-top:12.6pt;width:214.2pt;height:26.7pt;z-index:-15778304;mso-position-horizontal-relative:page;mso-position-vertical-relative:page" filled="f" stroked="f">
          <v:textbox style="mso-next-textbox:#docshape4" inset="0,0,0,0">
            <w:txbxContent>
              <w:p w14:paraId="110D2C68" w14:textId="77777777" w:rsidR="008F2A8B" w:rsidRDefault="00000000">
                <w:pPr>
                  <w:spacing w:before="28" w:line="242" w:lineRule="exact"/>
                  <w:ind w:left="20"/>
                  <w:rPr>
                    <w:sz w:val="20"/>
                  </w:rPr>
                </w:pPr>
                <w:r>
                  <w:rPr>
                    <w:color w:val="FFFFFF"/>
                    <w:spacing w:val="-2"/>
                    <w:sz w:val="20"/>
                  </w:rPr>
                  <w:t>Equity</w:t>
                </w:r>
                <w:r>
                  <w:rPr>
                    <w:color w:val="FFFFFF"/>
                    <w:spacing w:val="-10"/>
                    <w:sz w:val="20"/>
                  </w:rPr>
                  <w:t xml:space="preserve"> </w:t>
                </w:r>
                <w:r>
                  <w:rPr>
                    <w:color w:val="FFFFFF"/>
                    <w:spacing w:val="-2"/>
                    <w:sz w:val="20"/>
                  </w:rPr>
                  <w:t>Capital</w:t>
                </w:r>
                <w:r>
                  <w:rPr>
                    <w:color w:val="FFFFFF"/>
                    <w:spacing w:val="-5"/>
                    <w:sz w:val="20"/>
                  </w:rPr>
                  <w:t xml:space="preserve"> </w:t>
                </w:r>
                <w:r>
                  <w:rPr>
                    <w:color w:val="FFFFFF"/>
                    <w:spacing w:val="-2"/>
                    <w:sz w:val="20"/>
                  </w:rPr>
                  <w:t>Market</w:t>
                </w:r>
                <w:r>
                  <w:rPr>
                    <w:color w:val="FFFFFF"/>
                    <w:spacing w:val="-7"/>
                    <w:sz w:val="20"/>
                  </w:rPr>
                  <w:t xml:space="preserve"> </w:t>
                </w:r>
                <w:r>
                  <w:rPr>
                    <w:color w:val="FFFFFF"/>
                    <w:spacing w:val="-2"/>
                    <w:sz w:val="20"/>
                  </w:rPr>
                  <w:t>Updates</w:t>
                </w:r>
                <w:r>
                  <w:rPr>
                    <w:color w:val="FFFFFF"/>
                    <w:spacing w:val="-5"/>
                    <w:sz w:val="20"/>
                  </w:rPr>
                  <w:t xml:space="preserve"> </w:t>
                </w:r>
                <w:r>
                  <w:rPr>
                    <w:color w:val="FFFFFF"/>
                    <w:spacing w:val="-2"/>
                    <w:sz w:val="20"/>
                  </w:rPr>
                  <w:t>(</w:t>
                </w:r>
                <w:r>
                  <w:rPr>
                    <w:color w:val="FFFFFF"/>
                    <w:spacing w:val="-2"/>
                    <w:sz w:val="20"/>
                  </w:rPr>
                  <w:fldChar w:fldCharType="begin"/>
                </w:r>
                <w:r>
                  <w:rPr>
                    <w:color w:val="FFFFFF"/>
                    <w:spacing w:val="-2"/>
                    <w:sz w:val="20"/>
                  </w:rPr>
                  <w:instrText xml:space="preserve"> PAGE </w:instrText>
                </w:r>
                <w:r>
                  <w:rPr>
                    <w:color w:val="FFFFFF"/>
                    <w:spacing w:val="-2"/>
                    <w:sz w:val="20"/>
                  </w:rPr>
                  <w:fldChar w:fldCharType="separate"/>
                </w:r>
                <w:r>
                  <w:rPr>
                    <w:color w:val="FFFFFF"/>
                    <w:spacing w:val="-2"/>
                    <w:sz w:val="20"/>
                  </w:rPr>
                  <w:t>2</w:t>
                </w:r>
                <w:r>
                  <w:rPr>
                    <w:color w:val="FFFFFF"/>
                    <w:spacing w:val="-2"/>
                    <w:sz w:val="20"/>
                  </w:rPr>
                  <w:fldChar w:fldCharType="end"/>
                </w:r>
                <w:r>
                  <w:rPr>
                    <w:color w:val="FFFFFF"/>
                    <w:spacing w:val="-14"/>
                    <w:sz w:val="20"/>
                  </w:rPr>
                  <w:t xml:space="preserve"> </w:t>
                </w:r>
                <w:r>
                  <w:rPr>
                    <w:color w:val="FFFFFF"/>
                    <w:spacing w:val="-2"/>
                    <w:sz w:val="20"/>
                  </w:rPr>
                  <w:t>/</w:t>
                </w:r>
                <w:r>
                  <w:rPr>
                    <w:color w:val="FFFFFF"/>
                    <w:spacing w:val="-11"/>
                    <w:sz w:val="20"/>
                  </w:rPr>
                  <w:t xml:space="preserve"> </w:t>
                </w:r>
                <w:r>
                  <w:rPr>
                    <w:color w:val="FFFFFF"/>
                    <w:spacing w:val="-5"/>
                    <w:sz w:val="20"/>
                  </w:rPr>
                  <w:fldChar w:fldCharType="begin"/>
                </w:r>
                <w:r>
                  <w:rPr>
                    <w:color w:val="FFFFFF"/>
                    <w:spacing w:val="-5"/>
                    <w:sz w:val="20"/>
                  </w:rPr>
                  <w:instrText xml:space="preserve"> NUMPAGES </w:instrText>
                </w:r>
                <w:r>
                  <w:rPr>
                    <w:color w:val="FFFFFF"/>
                    <w:spacing w:val="-5"/>
                    <w:sz w:val="20"/>
                  </w:rPr>
                  <w:fldChar w:fldCharType="separate"/>
                </w:r>
                <w:r>
                  <w:rPr>
                    <w:color w:val="FFFFFF"/>
                    <w:spacing w:val="-5"/>
                    <w:sz w:val="20"/>
                  </w:rPr>
                  <w:t>2</w:t>
                </w:r>
                <w:r>
                  <w:rPr>
                    <w:color w:val="FFFFFF"/>
                    <w:spacing w:val="-5"/>
                    <w:sz w:val="20"/>
                  </w:rPr>
                  <w:fldChar w:fldCharType="end"/>
                </w:r>
                <w:r>
                  <w:rPr>
                    <w:color w:val="FFFFFF"/>
                    <w:spacing w:val="-5"/>
                    <w:sz w:val="20"/>
                  </w:rPr>
                  <w:t>)</w:t>
                </w:r>
              </w:p>
              <w:p w14:paraId="416D5E6F" w14:textId="77777777" w:rsidR="008F2A8B" w:rsidRDefault="00000000">
                <w:pPr>
                  <w:spacing w:line="218" w:lineRule="exact"/>
                  <w:ind w:left="20"/>
                  <w:rPr>
                    <w:sz w:val="18"/>
                  </w:rPr>
                </w:pPr>
                <w:r>
                  <w:rPr>
                    <w:color w:val="FFFFFF"/>
                    <w:w w:val="95"/>
                    <w:sz w:val="18"/>
                  </w:rPr>
                  <w:t>M&amp;A</w:t>
                </w:r>
                <w:r>
                  <w:rPr>
                    <w:color w:val="FFFFFF"/>
                    <w:spacing w:val="2"/>
                    <w:sz w:val="18"/>
                  </w:rPr>
                  <w:t xml:space="preserve"> </w:t>
                </w:r>
                <w:r>
                  <w:rPr>
                    <w:color w:val="FFFFFF"/>
                    <w:w w:val="95"/>
                    <w:sz w:val="18"/>
                  </w:rPr>
                  <w:t>Momentum,</w:t>
                </w:r>
                <w:r>
                  <w:rPr>
                    <w:color w:val="FFFFFF"/>
                    <w:spacing w:val="-1"/>
                    <w:sz w:val="18"/>
                  </w:rPr>
                  <w:t xml:space="preserve"> </w:t>
                </w:r>
                <w:r>
                  <w:rPr>
                    <w:color w:val="FFFFFF"/>
                    <w:w w:val="95"/>
                    <w:sz w:val="18"/>
                  </w:rPr>
                  <w:t>AI</w:t>
                </w:r>
                <w:r>
                  <w:rPr>
                    <w:color w:val="FFFFFF"/>
                    <w:spacing w:val="3"/>
                    <w:sz w:val="18"/>
                  </w:rPr>
                  <w:t xml:space="preserve"> </w:t>
                </w:r>
                <w:r>
                  <w:rPr>
                    <w:color w:val="FFFFFF"/>
                    <w:w w:val="95"/>
                    <w:sz w:val="18"/>
                  </w:rPr>
                  <w:t>Bets</w:t>
                </w:r>
                <w:r>
                  <w:rPr>
                    <w:color w:val="FFFFFF"/>
                    <w:spacing w:val="5"/>
                    <w:sz w:val="18"/>
                  </w:rPr>
                  <w:t xml:space="preserve"> </w:t>
                </w:r>
                <w:r>
                  <w:rPr>
                    <w:color w:val="FFFFFF"/>
                    <w:w w:val="95"/>
                    <w:sz w:val="18"/>
                  </w:rPr>
                  <w:t>&amp;</w:t>
                </w:r>
                <w:r>
                  <w:rPr>
                    <w:color w:val="FFFFFF"/>
                    <w:sz w:val="18"/>
                  </w:rPr>
                  <w:t xml:space="preserve"> </w:t>
                </w:r>
                <w:r>
                  <w:rPr>
                    <w:color w:val="FFFFFF"/>
                    <w:w w:val="95"/>
                    <w:sz w:val="18"/>
                  </w:rPr>
                  <w:t>Macro</w:t>
                </w:r>
                <w:r>
                  <w:rPr>
                    <w:color w:val="FFFFFF"/>
                    <w:spacing w:val="1"/>
                    <w:sz w:val="18"/>
                  </w:rPr>
                  <w:t xml:space="preserve"> </w:t>
                </w:r>
                <w:r>
                  <w:rPr>
                    <w:color w:val="FFFFFF"/>
                    <w:spacing w:val="-2"/>
                    <w:w w:val="95"/>
                    <w:sz w:val="18"/>
                  </w:rPr>
                  <w:t>Repositioning</w:t>
                </w:r>
              </w:p>
            </w:txbxContent>
          </v:textbox>
          <w10:wrap anchorx="page" anchory="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4D4CF8"/>
    <w:multiLevelType w:val="hybridMultilevel"/>
    <w:tmpl w:val="F99A3EF6"/>
    <w:lvl w:ilvl="0" w:tplc="CE483C36">
      <w:numFmt w:val="bullet"/>
      <w:lvlText w:val="•"/>
      <w:lvlJc w:val="left"/>
      <w:pPr>
        <w:ind w:left="493" w:hanging="140"/>
      </w:pPr>
      <w:rPr>
        <w:rFonts w:ascii="Arial" w:eastAsia="Arial" w:hAnsi="Arial" w:cs="Arial" w:hint="default"/>
        <w:b w:val="0"/>
        <w:bCs w:val="0"/>
        <w:i w:val="0"/>
        <w:iCs w:val="0"/>
        <w:color w:val="1F487C"/>
        <w:w w:val="99"/>
        <w:sz w:val="20"/>
        <w:szCs w:val="20"/>
        <w:lang w:val="en-US" w:eastAsia="en-US" w:bidi="ar-SA"/>
      </w:rPr>
    </w:lvl>
    <w:lvl w:ilvl="1" w:tplc="6D6AE0E0">
      <w:numFmt w:val="bullet"/>
      <w:lvlText w:val="•"/>
      <w:lvlJc w:val="left"/>
      <w:pPr>
        <w:ind w:left="1044" w:hanging="140"/>
      </w:pPr>
      <w:rPr>
        <w:rFonts w:hint="default"/>
        <w:lang w:val="en-US" w:eastAsia="en-US" w:bidi="ar-SA"/>
      </w:rPr>
    </w:lvl>
    <w:lvl w:ilvl="2" w:tplc="846EFC5E">
      <w:numFmt w:val="bullet"/>
      <w:lvlText w:val="•"/>
      <w:lvlJc w:val="left"/>
      <w:pPr>
        <w:ind w:left="1588" w:hanging="140"/>
      </w:pPr>
      <w:rPr>
        <w:rFonts w:hint="default"/>
        <w:lang w:val="en-US" w:eastAsia="en-US" w:bidi="ar-SA"/>
      </w:rPr>
    </w:lvl>
    <w:lvl w:ilvl="3" w:tplc="60C0266A">
      <w:numFmt w:val="bullet"/>
      <w:lvlText w:val="•"/>
      <w:lvlJc w:val="left"/>
      <w:pPr>
        <w:ind w:left="2132" w:hanging="140"/>
      </w:pPr>
      <w:rPr>
        <w:rFonts w:hint="default"/>
        <w:lang w:val="en-US" w:eastAsia="en-US" w:bidi="ar-SA"/>
      </w:rPr>
    </w:lvl>
    <w:lvl w:ilvl="4" w:tplc="0ABC4982">
      <w:numFmt w:val="bullet"/>
      <w:lvlText w:val="•"/>
      <w:lvlJc w:val="left"/>
      <w:pPr>
        <w:ind w:left="2676" w:hanging="140"/>
      </w:pPr>
      <w:rPr>
        <w:rFonts w:hint="default"/>
        <w:lang w:val="en-US" w:eastAsia="en-US" w:bidi="ar-SA"/>
      </w:rPr>
    </w:lvl>
    <w:lvl w:ilvl="5" w:tplc="6A8E4EF6">
      <w:numFmt w:val="bullet"/>
      <w:lvlText w:val="•"/>
      <w:lvlJc w:val="left"/>
      <w:pPr>
        <w:ind w:left="3220" w:hanging="140"/>
      </w:pPr>
      <w:rPr>
        <w:rFonts w:hint="default"/>
        <w:lang w:val="en-US" w:eastAsia="en-US" w:bidi="ar-SA"/>
      </w:rPr>
    </w:lvl>
    <w:lvl w:ilvl="6" w:tplc="B07E485C">
      <w:numFmt w:val="bullet"/>
      <w:lvlText w:val="•"/>
      <w:lvlJc w:val="left"/>
      <w:pPr>
        <w:ind w:left="3764" w:hanging="140"/>
      </w:pPr>
      <w:rPr>
        <w:rFonts w:hint="default"/>
        <w:lang w:val="en-US" w:eastAsia="en-US" w:bidi="ar-SA"/>
      </w:rPr>
    </w:lvl>
    <w:lvl w:ilvl="7" w:tplc="8878FEB2">
      <w:numFmt w:val="bullet"/>
      <w:lvlText w:val="•"/>
      <w:lvlJc w:val="left"/>
      <w:pPr>
        <w:ind w:left="4308" w:hanging="140"/>
      </w:pPr>
      <w:rPr>
        <w:rFonts w:hint="default"/>
        <w:lang w:val="en-US" w:eastAsia="en-US" w:bidi="ar-SA"/>
      </w:rPr>
    </w:lvl>
    <w:lvl w:ilvl="8" w:tplc="8F8EA140">
      <w:numFmt w:val="bullet"/>
      <w:lvlText w:val="•"/>
      <w:lvlJc w:val="left"/>
      <w:pPr>
        <w:ind w:left="4852" w:hanging="140"/>
      </w:pPr>
      <w:rPr>
        <w:rFonts w:hint="default"/>
        <w:lang w:val="en-US" w:eastAsia="en-US" w:bidi="ar-SA"/>
      </w:rPr>
    </w:lvl>
  </w:abstractNum>
  <w:num w:numId="1" w16cid:durableId="11004176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isplayHorizontalDrawingGridEvery w:val="2"/>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8F2A8B"/>
    <w:rsid w:val="00067E96"/>
    <w:rsid w:val="004F59D8"/>
    <w:rsid w:val="0051382F"/>
    <w:rsid w:val="005E1F9E"/>
    <w:rsid w:val="008F2A8B"/>
    <w:rsid w:val="009B125D"/>
    <w:rsid w:val="00B06CAA"/>
    <w:rsid w:val="00B94133"/>
    <w:rsid w:val="00CA558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8"/>
    <o:shapelayout v:ext="edit">
      <o:idmap v:ext="edit" data="2"/>
    </o:shapelayout>
  </w:shapeDefaults>
  <w:decimalSymbol w:val="."/>
  <w:listSeparator w:val=","/>
  <w14:docId w14:val="360E6CE2"/>
  <w15:docId w15:val="{23131380-70C5-4CBC-8708-2FCA7C51EF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rPr>
  </w:style>
  <w:style w:type="paragraph" w:styleId="Heading1">
    <w:name w:val="heading 1"/>
    <w:basedOn w:val="Normal"/>
    <w:link w:val="Heading1Char"/>
    <w:uiPriority w:val="9"/>
    <w:qFormat/>
    <w:pPr>
      <w:ind w:left="493"/>
      <w:outlineLvl w:val="0"/>
    </w:pPr>
    <w:rPr>
      <w:rFonts w:ascii="Arial" w:eastAsia="Arial" w:hAnsi="Arial" w:cs="Arial"/>
      <w:b/>
      <w:bCs/>
      <w:sz w:val="16"/>
      <w:szCs w:val="1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spacing w:before="7"/>
    </w:pPr>
    <w:rPr>
      <w:sz w:val="14"/>
      <w:szCs w:val="14"/>
    </w:rPr>
  </w:style>
  <w:style w:type="paragraph" w:styleId="Title">
    <w:name w:val="Title"/>
    <w:basedOn w:val="Normal"/>
    <w:uiPriority w:val="10"/>
    <w:qFormat/>
    <w:pPr>
      <w:spacing w:before="28" w:line="242" w:lineRule="exact"/>
      <w:ind w:left="20"/>
    </w:pPr>
    <w:rPr>
      <w:sz w:val="20"/>
      <w:szCs w:val="20"/>
    </w:rPr>
  </w:style>
  <w:style w:type="paragraph" w:styleId="ListParagraph">
    <w:name w:val="List Paragraph"/>
    <w:basedOn w:val="Normal"/>
    <w:uiPriority w:val="1"/>
    <w:qFormat/>
    <w:pPr>
      <w:spacing w:before="30"/>
      <w:ind w:left="493" w:hanging="140"/>
      <w:jc w:val="both"/>
    </w:pPr>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B06CAA"/>
    <w:rPr>
      <w:rFonts w:ascii="Arial" w:eastAsia="Arial" w:hAnsi="Arial" w:cs="Arial"/>
      <w:b/>
      <w:bCs/>
      <w:sz w:val="16"/>
      <w:szCs w:val="16"/>
    </w:rPr>
  </w:style>
  <w:style w:type="paragraph" w:styleId="Header">
    <w:name w:val="header"/>
    <w:basedOn w:val="Normal"/>
    <w:link w:val="HeaderChar"/>
    <w:uiPriority w:val="99"/>
    <w:unhideWhenUsed/>
    <w:rsid w:val="00B06CAA"/>
    <w:pPr>
      <w:tabs>
        <w:tab w:val="center" w:pos="4513"/>
        <w:tab w:val="right" w:pos="9026"/>
      </w:tabs>
    </w:pPr>
  </w:style>
  <w:style w:type="character" w:customStyle="1" w:styleId="HeaderChar">
    <w:name w:val="Header Char"/>
    <w:basedOn w:val="DefaultParagraphFont"/>
    <w:link w:val="Header"/>
    <w:uiPriority w:val="99"/>
    <w:rsid w:val="00B06CAA"/>
    <w:rPr>
      <w:rFonts w:ascii="Verdana" w:eastAsia="Verdana" w:hAnsi="Verdana" w:cs="Verdana"/>
    </w:rPr>
  </w:style>
  <w:style w:type="paragraph" w:styleId="Footer">
    <w:name w:val="footer"/>
    <w:basedOn w:val="Normal"/>
    <w:link w:val="FooterChar"/>
    <w:uiPriority w:val="99"/>
    <w:unhideWhenUsed/>
    <w:rsid w:val="00B06CAA"/>
    <w:pPr>
      <w:tabs>
        <w:tab w:val="center" w:pos="4513"/>
        <w:tab w:val="right" w:pos="9026"/>
      </w:tabs>
    </w:pPr>
  </w:style>
  <w:style w:type="character" w:customStyle="1" w:styleId="FooterChar">
    <w:name w:val="Footer Char"/>
    <w:basedOn w:val="DefaultParagraphFont"/>
    <w:link w:val="Footer"/>
    <w:uiPriority w:val="99"/>
    <w:rsid w:val="00B06CAA"/>
    <w:rPr>
      <w:rFonts w:ascii="Verdana" w:eastAsia="Verdana" w:hAnsi="Verdana" w:cs="Verdan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82</Words>
  <Characters>471</Characters>
  <Application>Microsoft Office Word</Application>
  <DocSecurity>0</DocSecurity>
  <Lines>3</Lines>
  <Paragraphs>1</Paragraphs>
  <ScaleCrop>false</ScaleCrop>
  <Company/>
  <LinksUpToDate>false</LinksUpToDate>
  <CharactersWithSpaces>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Yash Punmiya</cp:lastModifiedBy>
  <cp:revision>5</cp:revision>
  <dcterms:created xsi:type="dcterms:W3CDTF">2026-03-14T14:14:00Z</dcterms:created>
  <dcterms:modified xsi:type="dcterms:W3CDTF">2026-03-14T11:04:00Z</dcterms:modified>
  <dc:creator/>
  <dc:description/>
  <dc:identifier/>
  <dc:language/>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2026-03-14T00:00:00Z</vt:filetime>
  </property>
  <property fmtid="{D5CDD505-2E9C-101B-9397-08002B2CF9AE}" pid="3" name="Creator">
    <vt:lpwstr>Microsoft® PowerPoint® LTSC</vt:lpwstr>
  </property>
  <property fmtid="{D5CDD505-2E9C-101B-9397-08002B2CF9AE}" pid="4" name="LastSaved">
    <vt:filetime>2026-03-14T00:00:00Z</vt:filetime>
  </property>
  <property fmtid="{D5CDD505-2E9C-101B-9397-08002B2CF9AE}" pid="5" name="Producer">
    <vt:lpwstr>Microsoft® PowerPoint® LTSC</vt:lpwstr>
  </property>
</Properties>
</file>