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0D2D5E"/>
          <w:sz w:val="56"/>
          <w:szCs w:val="56"/>
        </w:rPr>
        <w:t xml:space="preserve">💰  EdWise Group</w:t>
      </w:r>
    </w:p>
    <w:p>
      <w:pPr>
        <w:spacing w:after="80" w:before="80"/>
      </w:pPr>
      <w:r>
        <w:rPr>
          <w:rFonts w:ascii="Arial" w:cs="Arial" w:eastAsia="Arial" w:hAnsi="Arial"/>
          <w:b/>
          <w:bCs/>
          <w:color w:val="1A6FD4"/>
          <w:sz w:val="40"/>
          <w:szCs w:val="40"/>
        </w:rPr>
        <w:t xml:space="preserve">School Finance Verification Module</w:t>
      </w:r>
    </w:p>
    <w:p>
      <w:pPr>
        <w:spacing w:after="0" w:before="0"/>
      </w:pPr>
      <w:r>
        <w:rPr>
          <w:rFonts w:ascii="Arial" w:cs="Arial" w:eastAsia="Arial" w:hAnsi="Arial"/>
          <w:color w:val="64748B"/>
          <w:sz w:val="28"/>
          <w:szCs w:val="28"/>
        </w:rPr>
        <w:t xml:space="preserve">Demo Guide — Scenario-Based Walkthrough with All 10 Validation Sections</w:t>
      </w:r>
    </w:p>
    <w:p>
      <w:pPr>
        <w:pBdr>
          <w:bottom w:val="single" w:color="CBD5E1"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6F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Property</w:t>
            </w:r>
          </w:p>
        </w:tc>
        <w:tc>
          <w:tcPr>
            <w:tcW w:type="dxa" w:w="6560"/>
            <w:tcBorders>
              <w:top w:val="single" w:color="CBD5E1" w:sz="1"/>
              <w:left w:val="single" w:color="CBD5E1" w:sz="1"/>
              <w:bottom w:val="single" w:color="CBD5E1" w:sz="1"/>
              <w:right w:val="single" w:color="CBD5E1" w:sz="1"/>
            </w:tcBorders>
            <w:shd w:fill="1A6F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Application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EdWise Vendor Certification Portal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Module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School Finance Verification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Standard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Ed-Fi ODS 2026 · Indiana DOE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Finance Version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v1.0.0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Document 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Demo Guide</w:t>
            </w:r>
          </w:p>
        </w:tc>
      </w:tr>
    </w:tbl>
    <w:p>
      <w:pPr>
        <w:spacing w:after="80" w:before="240"/>
      </w:pPr>
    </w:p>
    <w:p>
      <w:pPr>
        <w:pStyle w:val="Heading1"/>
        <w:spacing w:after="120" w:before="280"/>
      </w:pPr>
      <w:r>
        <w:rPr>
          <w:rFonts w:ascii="Arial" w:cs="Arial" w:eastAsia="Arial" w:hAnsi="Arial"/>
          <w:b/>
          <w:bCs/>
          <w:color w:val="0D2D5E"/>
        </w:rPr>
        <w:t xml:space="preserve">What Is This Application?</w:t>
      </w:r>
    </w:p>
    <w:p>
      <w:pPr>
        <w:spacing w:after="80" w:before="80"/>
      </w:pPr>
      <w:r>
        <w:rPr>
          <w:rFonts w:ascii="Arial" w:cs="Arial" w:eastAsia="Arial" w:hAnsi="Arial"/>
          <w:sz w:val="22"/>
          <w:szCs w:val="22"/>
        </w:rPr>
        <w:t xml:space="preserve">The EdWise School Finance Verification Portal allows Indiana DOE vendors to </w:t>
      </w:r>
      <w:r>
        <w:rPr>
          <w:rFonts w:ascii="Arial" w:cs="Arial" w:eastAsia="Arial" w:hAnsi="Arial"/>
          <w:b/>
          <w:bCs/>
          <w:sz w:val="22"/>
          <w:szCs w:val="22"/>
        </w:rPr>
        <w:t xml:space="preserve">automatically validate their school finance data</w:t>
      </w:r>
      <w:r>
        <w:rPr>
          <w:rFonts w:ascii="Arial" w:cs="Arial" w:eastAsia="Arial" w:hAnsi="Arial"/>
          <w:sz w:val="22"/>
          <w:szCs w:val="22"/>
        </w:rPr>
        <w:t xml:space="preserve"> before official submission. The app connects to the </w:t>
      </w:r>
      <w:r>
        <w:rPr>
          <w:rFonts w:ascii="Arial" w:cs="Arial" w:eastAsia="Arial" w:hAnsi="Arial"/>
          <w:b/>
          <w:bCs/>
          <w:color w:val="1A6FD4"/>
          <w:sz w:val="22"/>
          <w:szCs w:val="22"/>
        </w:rPr>
        <w:t xml:space="preserve">Ed-Fi ODS API in real time</w:t>
      </w:r>
      <w:r>
        <w:rPr>
          <w:rFonts w:ascii="Arial" w:cs="Arial" w:eastAsia="Arial" w:hAnsi="Arial"/>
          <w:sz w:val="22"/>
          <w:szCs w:val="22"/>
        </w:rPr>
        <w:t xml:space="preserve">, fetches live financial records for all five finance entities, and runs </w:t>
      </w:r>
      <w:r>
        <w:rPr>
          <w:rFonts w:ascii="Arial" w:cs="Arial" w:eastAsia="Arial" w:hAnsi="Arial"/>
          <w:b/>
          <w:bCs/>
          <w:color w:val="0D2D5E"/>
          <w:sz w:val="22"/>
          <w:szCs w:val="22"/>
        </w:rPr>
        <w:t xml:space="preserve">10 comprehensive validation sections</w:t>
      </w:r>
      <w:r>
        <w:rPr>
          <w:rFonts w:ascii="Arial" w:cs="Arial" w:eastAsia="Arial" w:hAnsi="Arial"/>
          <w:sz w:val="22"/>
          <w:szCs w:val="22"/>
        </w:rPr>
        <w:t xml:space="preserve"> covering field quality, business rules, budget allocation, duplicates, lifecycle, and reporting consistency.</w:t>
      </w:r>
    </w:p>
    <w:p>
      <w:pPr>
        <w:spacing w:after="80" w:before="80"/>
      </w:pPr>
    </w:p>
    <w:p>
      <w:pPr>
        <w:spacing w:after="80" w:before="80"/>
      </w:pPr>
      <w:r>
        <w:rPr>
          <w:rFonts w:ascii="Arial" w:cs="Arial" w:eastAsia="Arial" w:hAnsi="Arial"/>
          <w:sz w:val="22"/>
          <w:szCs w:val="22"/>
        </w:rPr>
        <w:t xml:space="preserve">The portal covers five Ed-Fi finance resources: </w:t>
      </w:r>
      <w:r>
        <w:rPr>
          <w:rFonts w:ascii="Arial" w:cs="Arial" w:eastAsia="Arial" w:hAnsi="Arial"/>
          <w:b/>
          <w:bCs/>
          <w:sz w:val="22"/>
          <w:szCs w:val="22"/>
        </w:rPr>
        <w:t xml:space="preserve">LocalAccount, LocalActual, LocalCapitalizedEquipment, LocalSubaward, and LocalUnusedLeavePayment.</w:t>
      </w:r>
    </w:p>
    <w:p>
      <w:pPr>
        <w:spacing w:after="80" w:before="160"/>
      </w:pPr>
    </w:p>
    <w:p>
      <w:pPr>
        <w:pStyle w:val="Heading1"/>
        <w:spacing w:after="120" w:before="280"/>
      </w:pPr>
      <w:r>
        <w:rPr>
          <w:rFonts w:ascii="Arial" w:cs="Arial" w:eastAsia="Arial" w:hAnsi="Arial"/>
          <w:b/>
          <w:bCs/>
          <w:color w:val="0D2D5E"/>
        </w:rPr>
        <w:t xml:space="preserve">Demo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2D5E"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Demo Scenario Setup</w:t>
            </w:r>
          </w:p>
          <w:p>
            <w:pPr>
              <w:spacing w:after="0" w:before="40"/>
            </w:pPr>
            <w:r>
              <w:rPr>
                <w:rFonts w:ascii="Arial" w:cs="Arial" w:eastAsia="Arial" w:hAnsi="Arial"/>
                <w:color w:val="CADCFC"/>
                <w:sz w:val="19"/>
                <w:szCs w:val="19"/>
              </w:rPr>
              <w:t xml:space="preserve">Concord Community Schools — Single Account Validation Walkthrough</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6F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6560"/>
            <w:tcBorders>
              <w:top w:val="single" w:color="CBD5E1" w:sz="1"/>
              <w:left w:val="single" w:color="CBD5E1" w:sz="1"/>
              <w:bottom w:val="single" w:color="CBD5E1" w:sz="1"/>
              <w:right w:val="single" w:color="CBD5E1" w:sz="1"/>
            </w:tcBorders>
            <w:shd w:fill="1A6FD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Vendor / School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Concord Community Schools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Account ID</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S-1394-25110-940-5170-51</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Education Org 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1094950000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Fiscal Year</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2025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Approved Budget (optional)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$150,000</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Function Code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25110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Fund Code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1394</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0D2D5E"/>
                <w:sz w:val="20"/>
                <w:szCs w:val="20"/>
              </w:rPr>
              <w:t xml:space="preserve">Object Code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b w:val="false"/>
                <w:bCs w:val="false"/>
                <w:color w:val="1E293B"/>
                <w:sz w:val="20"/>
                <w:szCs w:val="20"/>
              </w:rPr>
              <w:t xml:space="preserve">940</w:t>
            </w:r>
          </w:p>
        </w:tc>
      </w:tr>
    </w:tbl>
    <w:p>
      <w:pPr>
        <w:spacing w:after="80" w:before="120"/>
      </w:pPr>
    </w:p>
    <w:p>
      <w:pPr>
        <w:spacing w:after="80" w:before="80"/>
      </w:pPr>
      <w:r>
        <w:rPr>
          <w:rFonts w:ascii="Arial" w:cs="Arial" w:eastAsia="Arial" w:hAnsi="Arial"/>
          <w:sz w:val="22"/>
          <w:szCs w:val="22"/>
        </w:rPr>
        <w:t xml:space="preserve">In this scenario, Concord Community Schools has submitted data for all five finance entities. We will enter the account details, review the sample data, run the certification validation, and walk through all 10 result sections.</w:t>
      </w:r>
    </w:p>
    <w:p>
      <w:pPr>
        <w:spacing w:after="80" w:before="160"/>
      </w:pPr>
    </w:p>
    <w:p>
      <w:r>
        <w:br w:type="page"/>
      </w:r>
    </w:p>
    <w:p>
      <w:pPr>
        <w:pStyle w:val="Heading1"/>
        <w:spacing w:after="120" w:before="280"/>
      </w:pPr>
      <w:r>
        <w:rPr>
          <w:rFonts w:ascii="Arial" w:cs="Arial" w:eastAsia="Arial" w:hAnsi="Arial"/>
          <w:b/>
          <w:bCs/>
          <w:color w:val="0D2D5E"/>
        </w:rPr>
        <w:t xml:space="preserve">Step 1 — Account Lookup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FD4"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Step 1 · Enter Account Details</w:t>
            </w:r>
          </w:p>
          <w:p>
            <w:pPr>
              <w:spacing w:after="0" w:before="40"/>
            </w:pPr>
            <w:r>
              <w:rPr>
                <w:rFonts w:ascii="Arial" w:cs="Arial" w:eastAsia="Arial" w:hAnsi="Arial"/>
                <w:color w:val="CADCFC"/>
                <w:sz w:val="19"/>
                <w:szCs w:val="19"/>
              </w:rPr>
              <w:t xml:space="preserve">Fill in Account ID, Education Org ID, Fiscal Year, and optional Approved Budget</w:t>
            </w:r>
          </w:p>
        </w:tc>
      </w:tr>
    </w:tbl>
    <w:p>
      <w:pPr>
        <w:spacing w:after="80" w:before="120"/>
      </w:pPr>
    </w:p>
    <w:p>
      <w:pPr>
        <w:spacing w:after="80" w:before="80"/>
      </w:pPr>
      <w:r>
        <w:rPr>
          <w:rFonts w:ascii="Arial" w:cs="Arial" w:eastAsia="Arial" w:hAnsi="Arial"/>
          <w:sz w:val="22"/>
          <w:szCs w:val="22"/>
        </w:rPr>
        <w:t xml:space="preserve">On the top section of the page, fill in the following account details: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Field</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Example Value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Account 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S-1394-25110-940-5170-51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Full account identifier including all dimension segments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EdOrg ID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1094950000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Education Organization ID for the school/district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Fiscal Year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2025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The fiscal year being certified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Approved Budget (optional)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150000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Enter to enable budget validation in Result 5</w:t>
            </w:r>
          </w:p>
        </w:tc>
      </w:tr>
    </w:tbl>
    <w:p>
      <w:pPr>
        <w:spacing w:after="80" w:before="120"/>
      </w:pPr>
    </w:p>
    <w:p>
      <w:pPr>
        <w:pStyle w:val="Heading2"/>
        <w:spacing w:after="120" w:before="280"/>
      </w:pPr>
      <w:r>
        <w:rPr>
          <w:rFonts w:ascii="Arial" w:cs="Arial" w:eastAsia="Arial" w:hAnsi="Arial"/>
          <w:b/>
          <w:bCs/>
          <w:color w:val="0D2D5E"/>
        </w:rPr>
        <w:t xml:space="preserve">What Happens After Entering Account Details</w:t>
      </w:r>
    </w:p>
    <w:p>
      <w:pPr>
        <w:pStyle w:val="ListParagraph"/>
        <w:numPr>
          <w:ilvl w:val="0"/>
          <w:numId w:val="2"/>
        </w:numPr>
        <w:spacing w:after="60" w:before="60"/>
      </w:pPr>
      <w:r>
        <w:rPr>
          <w:rFonts w:ascii="Arial" w:cs="Arial" w:eastAsia="Arial" w:hAnsi="Arial"/>
          <w:color w:val="0D2D5E"/>
          <w:sz w:val="21"/>
          <w:szCs w:val="21"/>
        </w:rPr>
        <w:t xml:space="preserve">All five finance entity sample tables (in Step 2) automatically sync the Account ID</w:t>
      </w:r>
    </w:p>
    <w:p>
      <w:pPr>
        <w:pStyle w:val="ListParagraph"/>
        <w:numPr>
          <w:ilvl w:val="0"/>
          <w:numId w:val="2"/>
        </w:numPr>
        <w:spacing w:after="60" w:before="60"/>
      </w:pPr>
      <w:r>
        <w:rPr>
          <w:rFonts w:ascii="Arial" w:cs="Arial" w:eastAsia="Arial" w:hAnsi="Arial"/>
          <w:color w:val="0D2D5E"/>
          <w:sz w:val="21"/>
          <w:szCs w:val="21"/>
        </w:rPr>
        <w:t xml:space="preserve">API endpoint URLs update in the background to point to this account's data</w:t>
      </w:r>
    </w:p>
    <w:p>
      <w:pPr>
        <w:pStyle w:val="ListParagraph"/>
        <w:numPr>
          <w:ilvl w:val="0"/>
          <w:numId w:val="2"/>
        </w:numPr>
        <w:spacing w:after="60" w:before="60"/>
      </w:pPr>
      <w:r>
        <w:rPr>
          <w:rFonts w:ascii="Arial" w:cs="Arial" w:eastAsia="Arial" w:hAnsi="Arial"/>
          <w:color w:val="0D2D5E"/>
          <w:sz w:val="21"/>
          <w:szCs w:val="21"/>
        </w:rPr>
        <w:t xml:space="preserve">The Approved Budget is stored and used in Result 5 (Budget &amp; Allocation validation)</w:t>
      </w:r>
    </w:p>
    <w:p>
      <w:pPr>
        <w:pStyle w:val="ListParagraph"/>
        <w:numPr>
          <w:ilvl w:val="0"/>
          <w:numId w:val="2"/>
        </w:numPr>
        <w:spacing w:after="60" w:before="60"/>
      </w:pPr>
      <w:r>
        <w:rPr>
          <w:rFonts w:ascii="Arial" w:cs="Arial" w:eastAsia="Arial" w:hAnsi="Arial"/>
          <w:color w:val="0D2D5E"/>
          <w:sz w:val="21"/>
          <w:szCs w:val="21"/>
        </w:rPr>
        <w:t xml:space="preserve">Click "+ Add New Record" to validate multiple accounts in a single run</w:t>
      </w:r>
    </w:p>
    <w:p>
      <w:pPr>
        <w:spacing w:after="80" w:before="160"/>
      </w:pPr>
    </w:p>
    <w:p>
      <w:pPr>
        <w:pStyle w:val="Heading1"/>
        <w:spacing w:after="120" w:before="280"/>
      </w:pPr>
      <w:r>
        <w:rPr>
          <w:rFonts w:ascii="Arial" w:cs="Arial" w:eastAsia="Arial" w:hAnsi="Arial"/>
          <w:b/>
          <w:bCs/>
          <w:color w:val="0D2D5E"/>
        </w:rPr>
        <w:t xml:space="preserve">Step 2 — Vendor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891B2"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Step 2 · Review Expected Values</w:t>
            </w:r>
          </w:p>
          <w:p>
            <w:pPr>
              <w:spacing w:after="0" w:before="40"/>
            </w:pPr>
            <w:r>
              <w:rPr>
                <w:rFonts w:ascii="Arial" w:cs="Arial" w:eastAsia="Arial" w:hAnsi="Arial"/>
                <w:color w:val="CADCFC"/>
                <w:sz w:val="19"/>
                <w:szCs w:val="19"/>
              </w:rPr>
              <w:t xml:space="preserve">Five editable finance entity tables — AccountID auto-syncs from Step 1</w:t>
            </w:r>
          </w:p>
        </w:tc>
      </w:tr>
    </w:tbl>
    <w:p>
      <w:pPr>
        <w:spacing w:after="80" w:before="120"/>
      </w:pPr>
    </w:p>
    <w:p>
      <w:pPr>
        <w:spacing w:after="80" w:before="80"/>
      </w:pPr>
      <w:r>
        <w:rPr>
          <w:rFonts w:ascii="Arial" w:cs="Arial" w:eastAsia="Arial" w:hAnsi="Arial"/>
          <w:sz w:val="22"/>
          <w:szCs w:val="22"/>
        </w:rPr>
        <w:t xml:space="preserve">Five tabbed data tables show what the vendor </w:t>
      </w:r>
      <w:r>
        <w:rPr>
          <w:rFonts w:ascii="Arial" w:cs="Arial" w:eastAsia="Arial" w:hAnsi="Arial"/>
          <w:b/>
          <w:bCs/>
          <w:sz w:val="22"/>
          <w:szCs w:val="22"/>
        </w:rPr>
        <w:t xml:space="preserve">should have posted</w:t>
      </w:r>
      <w:r>
        <w:rPr>
          <w:rFonts w:ascii="Arial" w:cs="Arial" w:eastAsia="Arial" w:hAnsi="Arial"/>
          <w:sz w:val="22"/>
          <w:szCs w:val="22"/>
        </w:rPr>
        <w:t xml:space="preserve"> to the ODS. Review each tab:</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Entity</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Key Sample Values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 LocalAccount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LocalAccount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FunctionCode=25110, FundCode=1394, ObjectCode=940, OperationalUnitCode=5170</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 LocalActual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LocalActual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Amount=10,125, AsOfDate=2024-10-06, FinancialCollectionDescriptor=1</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 LocalCapitalizedEquipment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LocalCapitalizedEquipment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PaymentAmount=99,645, PerUnitCost=11,603, CapitalizedThreshold=5,000, AcquisitionDate=2024-05-28</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 LocalSubaward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LocalSubaward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ExpenditureAmount=24,937, First50k=16,528, Excess50k=8,409, ContractNumberOfYears=7</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 LocalUnusedLeavePayment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LocalUnusedLeavePayment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Direct=9,213, Indirect=8,162, PaymentDate=2024-09-03, Employee=Vic Lilliman</w:t>
            </w:r>
          </w:p>
        </w:tc>
      </w:tr>
    </w:tbl>
    <w:p>
      <w:pPr>
        <w:spacing w:after="80" w:before="160"/>
      </w:pPr>
    </w:p>
    <w:p>
      <w:pPr>
        <w:pStyle w:val="Heading1"/>
        <w:spacing w:after="120" w:before="280"/>
      </w:pPr>
      <w:r>
        <w:rPr>
          <w:rFonts w:ascii="Arial" w:cs="Arial" w:eastAsia="Arial" w:hAnsi="Arial"/>
          <w:b/>
          <w:bCs/>
          <w:color w:val="0D2D5E"/>
        </w:rPr>
        <w:t xml:space="preserve">Step 3 — Fetch &amp;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2D5E"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Step 3 · Click "Run Certification Validation"</w:t>
            </w:r>
          </w:p>
          <w:p>
            <w:pPr>
              <w:spacing w:after="0" w:before="40"/>
            </w:pPr>
            <w:r>
              <w:rPr>
                <w:rFonts w:ascii="Arial" w:cs="Arial" w:eastAsia="Arial" w:hAnsi="Arial"/>
                <w:color w:val="CADCFC"/>
                <w:sz w:val="19"/>
                <w:szCs w:val="19"/>
              </w:rPr>
              <w:t xml:space="preserve">Live data fetched from Ed-Fi ODS — all 10 validation sections run automatically</w:t>
            </w:r>
          </w:p>
        </w:tc>
      </w:tr>
    </w:tbl>
    <w:p>
      <w:pPr>
        <w:spacing w:after="80" w:before="120"/>
      </w:pPr>
    </w:p>
    <w:p>
      <w:pPr>
        <w:spacing w:after="80" w:before="80"/>
      </w:pPr>
      <w:r>
        <w:rPr>
          <w:rFonts w:ascii="Arial" w:cs="Arial" w:eastAsia="Arial" w:hAnsi="Arial"/>
          <w:sz w:val="22"/>
          <w:szCs w:val="22"/>
        </w:rPr>
        <w:t xml:space="preserve">Click the blue </w:t>
      </w:r>
      <w:r>
        <w:rPr>
          <w:rFonts w:ascii="Arial" w:cs="Arial" w:eastAsia="Arial" w:hAnsi="Arial"/>
          <w:b/>
          <w:bCs/>
          <w:color w:val="1A6FD4"/>
          <w:sz w:val="22"/>
          <w:szCs w:val="22"/>
        </w:rPr>
        <w:t xml:space="preserve">'▶ Run Certification Validation'</w:t>
      </w:r>
      <w:r>
        <w:rPr>
          <w:rFonts w:ascii="Arial" w:cs="Arial" w:eastAsia="Arial" w:hAnsi="Arial"/>
          <w:sz w:val="22"/>
          <w:szCs w:val="22"/>
        </w:rPr>
        <w:t xml:space="preserve"> button. The application will:</w:t>
      </w:r>
    </w:p>
    <w:p>
      <w:pPr>
        <w:spacing w:after="80" w:before="80"/>
      </w:pPr>
    </w:p>
    <w:p>
      <w:pPr>
        <w:pStyle w:val="ListParagraph"/>
        <w:numPr>
          <w:ilvl w:val="0"/>
          <w:numId w:val="3"/>
        </w:numPr>
        <w:spacing w:after="60" w:before="60"/>
      </w:pPr>
      <w:r>
        <w:rPr>
          <w:rFonts w:ascii="Arial" w:cs="Arial" w:eastAsia="Arial" w:hAnsi="Arial"/>
          <w:sz w:val="22"/>
          <w:szCs w:val="22"/>
        </w:rPr>
        <w:t xml:space="preserve">Authenticate to the Ed-Fi ODS API using OAuth2 client credentials</w:t>
      </w:r>
    </w:p>
    <w:p>
      <w:pPr>
        <w:pStyle w:val="ListParagraph"/>
        <w:numPr>
          <w:ilvl w:val="0"/>
          <w:numId w:val="3"/>
        </w:numPr>
        <w:spacing w:after="60" w:before="60"/>
      </w:pPr>
      <w:r>
        <w:rPr>
          <w:rFonts w:ascii="Arial" w:cs="Arial" w:eastAsia="Arial" w:hAnsi="Arial"/>
          <w:sz w:val="22"/>
          <w:szCs w:val="22"/>
        </w:rPr>
        <w:t xml:space="preserve">Fetch live LocalAccount record for the account identifier</w:t>
      </w:r>
    </w:p>
    <w:p>
      <w:pPr>
        <w:pStyle w:val="ListParagraph"/>
        <w:numPr>
          <w:ilvl w:val="0"/>
          <w:numId w:val="3"/>
        </w:numPr>
        <w:spacing w:after="60" w:before="60"/>
      </w:pPr>
      <w:r>
        <w:rPr>
          <w:rFonts w:ascii="Arial" w:cs="Arial" w:eastAsia="Arial" w:hAnsi="Arial"/>
          <w:sz w:val="22"/>
          <w:szCs w:val="22"/>
        </w:rPr>
        <w:t xml:space="preserve">Fetch live LocalActual record</w:t>
      </w:r>
    </w:p>
    <w:p>
      <w:pPr>
        <w:pStyle w:val="ListParagraph"/>
        <w:numPr>
          <w:ilvl w:val="0"/>
          <w:numId w:val="3"/>
        </w:numPr>
        <w:spacing w:after="60" w:before="60"/>
      </w:pPr>
      <w:r>
        <w:rPr>
          <w:rFonts w:ascii="Arial" w:cs="Arial" w:eastAsia="Arial" w:hAnsi="Arial"/>
          <w:sz w:val="22"/>
          <w:szCs w:val="22"/>
        </w:rPr>
        <w:t xml:space="preserve">Fetch live LocalCapitalizedEquipment records</w:t>
      </w:r>
    </w:p>
    <w:p>
      <w:pPr>
        <w:pStyle w:val="ListParagraph"/>
        <w:numPr>
          <w:ilvl w:val="0"/>
          <w:numId w:val="3"/>
        </w:numPr>
        <w:spacing w:after="60" w:before="60"/>
      </w:pPr>
      <w:r>
        <w:rPr>
          <w:rFonts w:ascii="Arial" w:cs="Arial" w:eastAsia="Arial" w:hAnsi="Arial"/>
          <w:sz w:val="22"/>
          <w:szCs w:val="22"/>
        </w:rPr>
        <w:t xml:space="preserve">Fetch live LocalSubaward records</w:t>
      </w:r>
    </w:p>
    <w:p>
      <w:pPr>
        <w:pStyle w:val="ListParagraph"/>
        <w:numPr>
          <w:ilvl w:val="0"/>
          <w:numId w:val="3"/>
        </w:numPr>
        <w:spacing w:after="60" w:before="60"/>
      </w:pPr>
      <w:r>
        <w:rPr>
          <w:rFonts w:ascii="Arial" w:cs="Arial" w:eastAsia="Arial" w:hAnsi="Arial"/>
          <w:sz w:val="22"/>
          <w:szCs w:val="22"/>
        </w:rPr>
        <w:t xml:space="preserve">Fetch live LocalUnusedLeavePayment records</w:t>
      </w:r>
    </w:p>
    <w:p>
      <w:pPr>
        <w:pStyle w:val="ListParagraph"/>
        <w:numPr>
          <w:ilvl w:val="0"/>
          <w:numId w:val="3"/>
        </w:numPr>
        <w:spacing w:after="60" w:before="60"/>
      </w:pPr>
      <w:r>
        <w:rPr>
          <w:rFonts w:ascii="Arial" w:cs="Arial" w:eastAsia="Arial" w:hAnsi="Arial"/>
          <w:sz w:val="22"/>
          <w:szCs w:val="22"/>
        </w:rPr>
        <w:t xml:space="preserve">Run field-level validation (Result 1 &amp; 2)</w:t>
      </w:r>
    </w:p>
    <w:p>
      <w:pPr>
        <w:pStyle w:val="ListParagraph"/>
        <w:numPr>
          <w:ilvl w:val="0"/>
          <w:numId w:val="3"/>
        </w:numPr>
        <w:spacing w:after="60" w:before="60"/>
      </w:pPr>
      <w:r>
        <w:rPr>
          <w:rFonts w:ascii="Arial" w:cs="Arial" w:eastAsia="Arial" w:hAnsi="Arial"/>
          <w:sz w:val="22"/>
          <w:szCs w:val="22"/>
        </w:rPr>
        <w:t xml:space="preserve">Run all business rule sections (Results 3–10)</w:t>
      </w:r>
    </w:p>
    <w:p>
      <w:pPr>
        <w:pStyle w:val="ListParagraph"/>
        <w:numPr>
          <w:ilvl w:val="0"/>
          <w:numId w:val="3"/>
        </w:numPr>
        <w:spacing w:after="60" w:before="60"/>
      </w:pPr>
      <w:r>
        <w:rPr>
          <w:rFonts w:ascii="Arial" w:cs="Arial" w:eastAsia="Arial" w:hAnsi="Arial"/>
          <w:sz w:val="22"/>
          <w:szCs w:val="22"/>
        </w:rPr>
        <w:t xml:space="preserve">Render all results and enable Excel report download</w:t>
      </w:r>
    </w:p>
    <w:p>
      <w:pPr>
        <w:spacing w:after="80" w:before="80"/>
      </w:pPr>
    </w:p>
    <w:p>
      <w:pPr>
        <w:spacing w:after="80" w:before="80"/>
      </w:pPr>
      <w:r>
        <w:rPr>
          <w:rFonts w:ascii="Arial" w:cs="Arial" w:eastAsia="Arial" w:hAnsi="Arial"/>
          <w:sz w:val="22"/>
          <w:szCs w:val="22"/>
        </w:rPr>
        <w:t xml:space="preserve">Typical run time: </w:t>
      </w:r>
      <w:r>
        <w:rPr>
          <w:rFonts w:ascii="Arial" w:cs="Arial" w:eastAsia="Arial" w:hAnsi="Arial"/>
          <w:b/>
          <w:bCs/>
          <w:color w:val="1A6FD4"/>
          <w:sz w:val="22"/>
          <w:szCs w:val="22"/>
        </w:rPr>
        <w:t xml:space="preserve">15–30 seconds</w:t>
      </w:r>
      <w:r>
        <w:rPr>
          <w:rFonts w:ascii="Arial" w:cs="Arial" w:eastAsia="Arial" w:hAnsi="Arial"/>
          <w:sz w:val="22"/>
          <w:szCs w:val="22"/>
        </w:rPr>
        <w:t xml:space="preserve"> per account (depends on ODS API response speed).</w:t>
      </w:r>
    </w:p>
    <w:p>
      <w:pPr>
        <w:spacing w:after="80" w:before="160"/>
      </w:pPr>
    </w:p>
    <w:p>
      <w:r>
        <w:br w:type="page"/>
      </w:r>
    </w:p>
    <w:p>
      <w:pPr>
        <w:pStyle w:val="Heading1"/>
        <w:spacing w:after="120" w:before="280"/>
      </w:pPr>
      <w:r>
        <w:rPr>
          <w:rFonts w:ascii="Arial" w:cs="Arial" w:eastAsia="Arial" w:hAnsi="Arial"/>
          <w:b/>
          <w:bCs/>
          <w:color w:val="0D2D5E"/>
        </w:rPr>
        <w:t xml:space="preserve">Result 1 — Vendor-Submitted Data (API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FD4"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1 · API Response</w:t>
            </w:r>
          </w:p>
          <w:p>
            <w:pPr>
              <w:spacing w:after="0" w:before="40"/>
            </w:pPr>
            <w:r>
              <w:rPr>
                <w:rFonts w:ascii="Arial" w:cs="Arial" w:eastAsia="Arial" w:hAnsi="Arial"/>
                <w:color w:val="CADCFC"/>
                <w:sz w:val="19"/>
                <w:szCs w:val="19"/>
              </w:rPr>
              <w:t xml:space="preserve">Raw records returned from the ODS for all 5 finance entities</w:t>
            </w:r>
          </w:p>
        </w:tc>
      </w:tr>
    </w:tbl>
    <w:p>
      <w:pPr>
        <w:spacing w:after="80" w:before="120"/>
      </w:pPr>
    </w:p>
    <w:p>
      <w:pPr>
        <w:spacing w:after="80" w:before="80"/>
      </w:pPr>
      <w:r>
        <w:rPr>
          <w:rFonts w:ascii="Arial" w:cs="Arial" w:eastAsia="Arial" w:hAnsi="Arial"/>
          <w:sz w:val="22"/>
          <w:szCs w:val="22"/>
        </w:rPr>
        <w:t xml:space="preserve">This section shows the raw data the vendor submitted to the ODS. Displayed in five tabs — one per entity.</w:t>
      </w:r>
    </w:p>
    <w:p>
      <w:pPr>
        <w:spacing w:after="80" w:before="80"/>
      </w:pPr>
    </w:p>
    <w:p>
      <w:pPr>
        <w:pStyle w:val="Heading2"/>
        <w:spacing w:after="120" w:before="280"/>
      </w:pPr>
      <w:r>
        <w:rPr>
          <w:rFonts w:ascii="Arial" w:cs="Arial" w:eastAsia="Arial" w:hAnsi="Arial"/>
          <w:b/>
          <w:bCs/>
          <w:color w:val="0D2D5E"/>
        </w:rPr>
        <w:t xml:space="preserve">Example — LocalActual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Field</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API Value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AccountIdentifier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S-1394-25110-940-5170-51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Found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FiscalYear</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2025</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Found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AsOfDate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2024-10-06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Found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Amount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10125</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Found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FinancialCollectionDescriptor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Found</w:t>
            </w:r>
          </w:p>
        </w:tc>
      </w:tr>
    </w:tbl>
    <w:p>
      <w:pPr>
        <w:spacing w:after="80" w:before="120"/>
      </w:pPr>
    </w:p>
    <w:p>
      <w:pPr>
        <w:pStyle w:val="Heading2"/>
        <w:spacing w:after="120" w:before="280"/>
      </w:pPr>
      <w:r>
        <w:rPr>
          <w:rFonts w:ascii="Arial" w:cs="Arial" w:eastAsia="Arial" w:hAnsi="Arial"/>
          <w:b/>
          <w:bCs/>
          <w:color w:val="0D2D5E"/>
        </w:rPr>
        <w:t xml:space="preserve">API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Display</w:t>
            </w:r>
          </w:p>
        </w:tc>
        <w:tc>
          <w:tcPr>
            <w:tcW w:type="dxa" w:w="468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Meaning</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Normal row (white/grey)</w:t>
            </w:r>
          </w:p>
        </w:tc>
        <w:tc>
          <w:tcPr>
            <w:tcW w:type="dxa" w:w="468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Record found successfully in ODS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 Red row — NOT FOUND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API returned HTTP error — vendor did not post this record</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 Yellow row — EMPTY RESPONSE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API returned HTTP 200 but 0 records — Account ID may be wrong or data not yet posted</w:t>
            </w:r>
          </w:p>
        </w:tc>
      </w:tr>
    </w:tbl>
    <w:p>
      <w:pPr>
        <w:spacing w:after="80" w:before="160"/>
      </w:pPr>
    </w:p>
    <w:p>
      <w:pPr>
        <w:pStyle w:val="Heading1"/>
        <w:spacing w:after="120" w:before="280"/>
      </w:pPr>
      <w:r>
        <w:rPr>
          <w:rFonts w:ascii="Arial" w:cs="Arial" w:eastAsia="Arial" w:hAnsi="Arial"/>
          <w:b/>
          <w:bCs/>
          <w:color w:val="0D2D5E"/>
        </w:rPr>
        <w:t xml:space="preserve">Result 2 — Field-Level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6A34A"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2 · Data Quality — Field-Level Validation</w:t>
            </w:r>
          </w:p>
          <w:p>
            <w:pPr>
              <w:spacing w:after="0" w:before="40"/>
            </w:pPr>
            <w:r>
              <w:rPr>
                <w:rFonts w:ascii="Arial" w:cs="Arial" w:eastAsia="Arial" w:hAnsi="Arial"/>
                <w:color w:val="CADCFC"/>
                <w:sz w:val="19"/>
                <w:szCs w:val="19"/>
              </w:rPr>
              <w:t xml:space="preserve">Every field verified against format rules, query params, and Ed-Fi dimension code APIs</w:t>
            </w:r>
          </w:p>
        </w:tc>
      </w:tr>
    </w:tbl>
    <w:p>
      <w:pPr>
        <w:spacing w:after="80" w:before="120"/>
      </w:pPr>
    </w:p>
    <w:p>
      <w:pPr>
        <w:spacing w:after="80" w:before="80"/>
      </w:pPr>
      <w:r>
        <w:rPr>
          <w:rFonts w:ascii="Arial" w:cs="Arial" w:eastAsia="Arial" w:hAnsi="Arial"/>
          <w:sz w:val="22"/>
          <w:szCs w:val="22"/>
        </w:rPr>
        <w:t xml:space="preserve">Each field is validated individually. Summary stat cards show Total / Valid / Invalid counts per entity.</w:t>
      </w:r>
    </w:p>
    <w:p>
      <w:pPr>
        <w:spacing w:after="80" w:before="80"/>
      </w:pPr>
    </w:p>
    <w:p>
      <w:pPr>
        <w:pStyle w:val="Heading2"/>
        <w:spacing w:after="120" w:before="280"/>
      </w:pPr>
      <w:r>
        <w:rPr>
          <w:rFonts w:ascii="Arial" w:cs="Arial" w:eastAsia="Arial" w:hAnsi="Arial"/>
          <w:b/>
          <w:bCs/>
          <w:color w:val="0D2D5E"/>
        </w:rPr>
        <w:t xml:space="preserve">Example — LocalAccount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Field</w:t>
            </w:r>
          </w:p>
        </w:tc>
        <w:tc>
          <w:tcPr>
            <w:tcW w:type="dxa" w:w="234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Value</w:t>
            </w:r>
          </w:p>
        </w:tc>
        <w:tc>
          <w:tcPr>
            <w:tcW w:type="dxa" w:w="234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c>
          <w:tcPr>
            <w:tcW w:type="dxa" w:w="234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Reason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AccountIdentifier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S-1394-25110-940-5170-51</w:t>
            </w:r>
          </w:p>
        </w:tc>
        <w:tc>
          <w:tcPr>
            <w:tcW w:type="dxa" w:w="234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Valid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Matches query param and format valid</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FiscalYear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2025</w:t>
            </w:r>
          </w:p>
        </w:tc>
        <w:tc>
          <w:tcPr>
            <w:tcW w:type="dxa" w:w="234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Valid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Within range 2000–2100, matches query param</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FunctionCode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25110</w:t>
            </w:r>
          </w:p>
        </w:tc>
        <w:tc>
          <w:tcPr>
            <w:tcW w:type="dxa" w:w="234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Valid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Code found in functionDimensions API (schoolYear=2025)</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FundCode</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1394</w:t>
            </w:r>
          </w:p>
        </w:tc>
        <w:tc>
          <w:tcPr>
            <w:tcW w:type="dxa" w:w="234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Valid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Code found in fundDimensions API</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ObjectCode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940</w:t>
            </w:r>
          </w:p>
        </w:tc>
        <w:tc>
          <w:tcPr>
            <w:tcW w:type="dxa" w:w="234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Valid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Code found in objectDimensions API</w:t>
            </w:r>
          </w:p>
        </w:tc>
      </w:tr>
      <w:tr>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ChartOfAccountIdentifier</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IDOE-COA</w:t>
            </w:r>
          </w:p>
        </w:tc>
        <w:tc>
          <w:tcPr>
            <w:tcW w:type="dxa" w:w="234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Valid</w:t>
            </w:r>
          </w:p>
        </w:tc>
        <w:tc>
          <w:tcPr>
            <w:tcW w:type="dxa" w:w="23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Found in ChartOfAccounts API</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AsOfDate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2024-13-06</w:t>
            </w:r>
          </w:p>
        </w:tc>
        <w:tc>
          <w:tcPr>
            <w:tcW w:type="dxa" w:w="234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Invalid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Invalid date format — month 13 does not exist</w:t>
            </w:r>
          </w:p>
        </w:tc>
      </w:tr>
    </w:tbl>
    <w:p>
      <w:pPr>
        <w:spacing w:after="80" w:before="160"/>
      </w:pPr>
    </w:p>
    <w:p>
      <w:pPr>
        <w:pStyle w:val="Heading1"/>
        <w:spacing w:after="120" w:before="280"/>
      </w:pPr>
      <w:r>
        <w:rPr>
          <w:rFonts w:ascii="Arial" w:cs="Arial" w:eastAsia="Arial" w:hAnsi="Arial"/>
          <w:b/>
          <w:bCs/>
          <w:color w:val="0D2D5E"/>
        </w:rPr>
        <w:t xml:space="preserve">Result 3 — Business Rule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7C3AED"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3 · Financial Integrity — Business Rules</w:t>
            </w:r>
          </w:p>
          <w:p>
            <w:pPr>
              <w:spacing w:after="0" w:before="40"/>
            </w:pPr>
            <w:r>
              <w:rPr>
                <w:rFonts w:ascii="Arial" w:cs="Arial" w:eastAsia="Arial" w:hAnsi="Arial"/>
                <w:color w:val="CADCFC"/>
                <w:sz w:val="19"/>
                <w:szCs w:val="19"/>
              </w:rPr>
              <w:t xml:space="preserve">Core math rules, date sequences, and reasonability checks per entity</w:t>
            </w:r>
          </w:p>
        </w:tc>
      </w:tr>
    </w:tbl>
    <w:p>
      <w:pPr>
        <w:spacing w:after="80" w:before="120"/>
      </w:pPr>
    </w:p>
    <w:p>
      <w:pPr>
        <w:pStyle w:val="Heading2"/>
        <w:spacing w:after="120" w:before="280"/>
      </w:pPr>
      <w:r>
        <w:rPr>
          <w:rFonts w:ascii="Arial" w:cs="Arial" w:eastAsia="Arial" w:hAnsi="Arial"/>
          <w:b/>
          <w:bCs/>
          <w:color w:val="0D2D5E"/>
        </w:rPr>
        <w:t xml:space="preserve">LocalCapitalizedEquipment Rules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Values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PerUnitCost ≤ PaymentAmount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PerUnitCost=11,603 ≤ PaymentAmount=99,645</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PaymentAmount ≥ CapitalizedThreshold</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99,645 ≥ 5,000</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AcquisitionDate Within FiscalYear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AcquisitionDate=2024-05-28 vs FY2025 window (2024-07-01→2025-06-30)</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Fail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AcquisitionDate ≤ AsOfDate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2024-05-28 ≤ 2024-10-06</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Implied Quantity (Pay/Unit)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99,645 / 11,603 = 8.59 ≥ 1</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bl>
    <w:p>
      <w:pPr>
        <w:spacing w:after="80" w:before="80"/>
      </w:pPr>
    </w:p>
    <w:p>
      <w:pPr>
        <w:spacing w:after="80" w:before="80"/>
      </w:pPr>
      <w:r>
        <w:rPr>
          <w:rFonts w:ascii="Arial" w:cs="Arial" w:eastAsia="Arial" w:hAnsi="Arial"/>
          <w:color w:val="DC2626"/>
          <w:sz w:val="22"/>
          <w:szCs w:val="22"/>
        </w:rPr>
        <w:t xml:space="preserve">🔴 AcquisitionDate (2024-05-28) is BEFORE the FY2025 window start (2024-07-01). The asset was acquired in FY2024 but reported in FY2025 — fiscal period mismatch.</w:t>
      </w:r>
    </w:p>
    <w:p>
      <w:pPr>
        <w:spacing w:after="80" w:before="120"/>
      </w:pPr>
    </w:p>
    <w:p>
      <w:pPr>
        <w:pStyle w:val="Heading2"/>
        <w:spacing w:after="120" w:before="280"/>
      </w:pPr>
      <w:r>
        <w:rPr>
          <w:rFonts w:ascii="Arial" w:cs="Arial" w:eastAsia="Arial" w:hAnsi="Arial"/>
          <w:b/>
          <w:bCs/>
          <w:color w:val="0D2D5E"/>
        </w:rPr>
        <w:t xml:space="preserve">LocalSubaward Rules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Values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First50k + Excess50k = ExpenditureAmount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16,528 + 8,409 = 24,937 ✓</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First50k ≤ 50,000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16,528 ≤ 50,000 ✓</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ExpenditureAmount ≤ 50k → First50k = Exp</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Exp=24,937 ≤ 50k → First50k should equal Exp</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Fail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SubawardAmount ≤ ExpenditureAmount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12,111 ≤ 24,937 ✓</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bl>
    <w:p>
      <w:pPr>
        <w:spacing w:after="80" w:before="160"/>
      </w:pPr>
    </w:p>
    <w:p>
      <w:pPr>
        <w:pStyle w:val="Heading1"/>
        <w:spacing w:after="120" w:before="280"/>
      </w:pPr>
      <w:r>
        <w:rPr>
          <w:rFonts w:ascii="Arial" w:cs="Arial" w:eastAsia="Arial" w:hAnsi="Arial"/>
          <w:b/>
          <w:bCs/>
          <w:color w:val="0D2D5E"/>
        </w:rPr>
        <w:t xml:space="preserve">Result 4 — Cross-Table Financial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2D5E"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4 · Cross-Table — Total Spending vs Actual Amount</w:t>
            </w:r>
          </w:p>
          <w:p>
            <w:pPr>
              <w:spacing w:after="0" w:before="40"/>
            </w:pPr>
            <w:r>
              <w:rPr>
                <w:rFonts w:ascii="Arial" w:cs="Arial" w:eastAsia="Arial" w:hAnsi="Arial"/>
                <w:color w:val="CADCFC"/>
                <w:sz w:val="19"/>
                <w:szCs w:val="19"/>
              </w:rPr>
              <w:t xml:space="preserve">Equipment + Subaward + Leave must not exceed LocalActual Amount</w:t>
            </w:r>
          </w:p>
        </w:tc>
      </w:tr>
    </w:tbl>
    <w:p>
      <w:pPr>
        <w:spacing w:after="80" w:before="120"/>
      </w:pPr>
    </w:p>
    <w:p>
      <w:pPr>
        <w:spacing w:after="80" w:before="80"/>
      </w:pPr>
      <w:r>
        <w:rPr>
          <w:rFonts w:ascii="Arial" w:cs="Arial" w:eastAsia="Arial" w:hAnsi="Arial"/>
          <w:sz w:val="22"/>
          <w:szCs w:val="22"/>
        </w:rPr>
        <w:t xml:space="preserve">This check totals all spending categories and compares against the LocalActual Amount available for the account.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Category</w:t>
            </w:r>
          </w:p>
        </w:tc>
        <w:tc>
          <w:tcPr>
            <w:tcW w:type="dxa" w:w="468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Amount</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LocalActual (Available)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$10,125</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Equipment (PaymentAmount)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$99,645</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Subaward (ExpenditureAmount)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$24,937</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Leave (Direct + Indirect)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$17,375</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Total Spending</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$141,957</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Balance</w:t>
            </w:r>
          </w:p>
        </w:tc>
        <w:tc>
          <w:tcPr>
            <w:tcW w:type="dxa" w:w="468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−$131,832 ❌</w:t>
            </w:r>
          </w:p>
        </w:tc>
      </w:tr>
    </w:tbl>
    <w:p>
      <w:pPr>
        <w:spacing w:after="80" w:before="80"/>
      </w:pPr>
    </w:p>
    <w:p>
      <w:pPr>
        <w:spacing w:after="80" w:before="80"/>
      </w:pPr>
      <w:r>
        <w:rPr>
          <w:rFonts w:ascii="Arial" w:cs="Arial" w:eastAsia="Arial" w:hAnsi="Arial"/>
          <w:color w:val="DC2626"/>
          <w:sz w:val="22"/>
          <w:szCs w:val="22"/>
        </w:rPr>
        <w:t xml:space="preserve">🔴 Total spending ($141,957) EXCEEDS Actual Amount ($10,125) by $131,832. Balance is NEGATIVE — cross-table spending violation detected.</w:t>
      </w:r>
    </w:p>
    <w:p>
      <w:pPr>
        <w:spacing w:after="80" w:before="160"/>
      </w:pPr>
    </w:p>
    <w:p>
      <w:pPr>
        <w:pStyle w:val="Heading1"/>
        <w:spacing w:after="120" w:before="280"/>
      </w:pPr>
      <w:r>
        <w:rPr>
          <w:rFonts w:ascii="Arial" w:cs="Arial" w:eastAsia="Arial" w:hAnsi="Arial"/>
          <w:b/>
          <w:bCs/>
          <w:color w:val="0D2D5E"/>
        </w:rPr>
        <w:t xml:space="preserve">Result 5 — Budget &amp; Allocation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891B2"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5 · Actual Amount vs Approved Budget &amp; Running Balance</w:t>
            </w:r>
          </w:p>
          <w:p>
            <w:pPr>
              <w:spacing w:after="0" w:before="40"/>
            </w:pPr>
            <w:r>
              <w:rPr>
                <w:rFonts w:ascii="Arial" w:cs="Arial" w:eastAsia="Arial" w:hAnsi="Arial"/>
                <w:color w:val="CADCFC"/>
                <w:sz w:val="19"/>
                <w:szCs w:val="19"/>
              </w:rPr>
              <w:t xml:space="preserve">Actual must not exceed budget. Running balance after each allocation must stay non-negative.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Values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Actual Amount ≤ Approved Budget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$10,125 ≤ $150,000</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Balance After Equipment Allocation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$10,125 − $99,645 = −$89,520</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Fail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Balance After Subaward Allocation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Running balance already negative</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Fail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Balance After Leave Allocation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Running balance already negative</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Fail</w:t>
            </w:r>
          </w:p>
        </w:tc>
      </w:tr>
    </w:tbl>
    <w:p>
      <w:pPr>
        <w:spacing w:after="80" w:before="80"/>
      </w:pPr>
    </w:p>
    <w:p>
      <w:pPr>
        <w:spacing w:after="80" w:before="80"/>
      </w:pPr>
      <w:r>
        <w:rPr>
          <w:rFonts w:ascii="Arial" w:cs="Arial" w:eastAsia="Arial" w:hAnsi="Arial"/>
          <w:i/>
          <w:iCs/>
          <w:color w:val="64748B"/>
          <w:sz w:val="22"/>
          <w:szCs w:val="22"/>
        </w:rPr>
        <w:t xml:space="preserve">ℹ️ Approved Budget must be entered in Step 1 to enable the 'Actual Amount ≤ Approved Budget' check. If not provided, that rule shows 'Skipped'.</w:t>
      </w:r>
    </w:p>
    <w:p>
      <w:pPr>
        <w:spacing w:after="80" w:before="160"/>
      </w:pPr>
    </w:p>
    <w:p>
      <w:pPr>
        <w:pStyle w:val="Heading1"/>
        <w:spacing w:after="120" w:before="280"/>
      </w:pPr>
      <w:r>
        <w:rPr>
          <w:rFonts w:ascii="Arial" w:cs="Arial" w:eastAsia="Arial" w:hAnsi="Arial"/>
          <w:b/>
          <w:bCs/>
          <w:color w:val="0D2D5E"/>
        </w:rPr>
        <w:t xml:space="preserve">Result 6 — Duplicate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DC2626"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6 · Duplicate Transactions &amp; Double-Counting Check</w:t>
            </w:r>
          </w:p>
          <w:p>
            <w:pPr>
              <w:spacing w:after="0" w:before="40"/>
            </w:pPr>
            <w:r>
              <w:rPr>
                <w:rFonts w:ascii="Arial" w:cs="Arial" w:eastAsia="Arial" w:hAnsi="Arial"/>
                <w:color w:val="CADCFC"/>
                <w:sz w:val="19"/>
                <w:szCs w:val="19"/>
              </w:rPr>
              <w:t xml:space="preserve">Same transaction must not appear more than once within or across tables</w:t>
            </w:r>
          </w:p>
        </w:tc>
      </w:tr>
    </w:tbl>
    <w:p>
      <w:pPr>
        <w:spacing w:after="80" w:before="120"/>
      </w:pPr>
    </w:p>
    <w:p>
      <w:pPr>
        <w:pStyle w:val="Heading2"/>
        <w:spacing w:after="120" w:before="280"/>
      </w:pPr>
      <w:r>
        <w:rPr>
          <w:rFonts w:ascii="Arial" w:cs="Arial" w:eastAsia="Arial" w:hAnsi="Arial"/>
          <w:b/>
          <w:bCs/>
          <w:color w:val="0D2D5E"/>
        </w:rPr>
        <w:t xml:space="preserve">Example — No Duplicates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Reason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No Duplicate Transactions</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No duplicate AccountIdentifier+FiscalYear+AsOfDate+Amount found across all tables</w:t>
            </w:r>
          </w:p>
        </w:tc>
      </w:tr>
    </w:tbl>
    <w:p>
      <w:pPr>
        <w:spacing w:after="80" w:before="80"/>
      </w:pPr>
    </w:p>
    <w:p>
      <w:pPr>
        <w:pStyle w:val="Heading2"/>
        <w:spacing w:after="120" w:before="280"/>
      </w:pPr>
      <w:r>
        <w:rPr>
          <w:rFonts w:ascii="Arial" w:cs="Arial" w:eastAsia="Arial" w:hAnsi="Arial"/>
          <w:b/>
          <w:bCs/>
          <w:color w:val="0D2D5E"/>
        </w:rPr>
        <w:t xml:space="preserve">Example — Duplicate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Reason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No Duplicate Transactions Within Table</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Fail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DUPLICATE DETECTED in LocalActual — same key appears 2 times (Records 1, 2)</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No Cross-Table Double-Counting</w:t>
            </w:r>
          </w:p>
        </w:tc>
        <w:tc>
          <w:tcPr>
            <w:tcW w:type="dxa" w:w="312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pPr>
            <w:r>
              <w:rPr>
                <w:rFonts w:ascii="Arial" w:cs="Arial" w:eastAsia="Arial" w:hAnsi="Arial"/>
                <w:color w:val="D97706"/>
                <w:sz w:val="19"/>
                <w:szCs w:val="19"/>
              </w:rPr>
              <w:t xml:space="preserve">⚠️ Flag</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Same amount ($10,125) on 2024-10-06 appears in LocalActual and LocalCapitalizedEquipment — review for double-counting</w:t>
            </w:r>
          </w:p>
        </w:tc>
      </w:tr>
    </w:tbl>
    <w:p>
      <w:pPr>
        <w:spacing w:after="80" w:before="160"/>
      </w:pPr>
    </w:p>
    <w:p>
      <w:r>
        <w:br w:type="page"/>
      </w:r>
    </w:p>
    <w:p>
      <w:pPr>
        <w:pStyle w:val="Heading1"/>
        <w:spacing w:after="120" w:before="280"/>
      </w:pPr>
      <w:r>
        <w:rPr>
          <w:rFonts w:ascii="Arial" w:cs="Arial" w:eastAsia="Arial" w:hAnsi="Arial"/>
          <w:b/>
          <w:bCs/>
          <w:color w:val="0D2D5E"/>
        </w:rPr>
        <w:t xml:space="preserve">Result 7 — Fund &amp; Classification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2D5E"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7 · Fund Code Purpose Alignment &amp; ObjectCode Classification</w:t>
            </w:r>
          </w:p>
          <w:p>
            <w:pPr>
              <w:spacing w:after="0" w:before="40"/>
            </w:pPr>
            <w:r>
              <w:rPr>
                <w:rFonts w:ascii="Arial" w:cs="Arial" w:eastAsia="Arial" w:hAnsi="Arial"/>
                <w:color w:val="CADCFC"/>
                <w:sz w:val="19"/>
                <w:szCs w:val="19"/>
              </w:rPr>
              <w:t xml:space="preserve">Capital funds must not be used for leave. ObjectCode must align with transaction type.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Values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Capital Fund Not Used for Leave Payments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FundCode=1394 (non-capital range)</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Capital FunctionCode Not Used for Leave Payments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FunctionCode=25110 (non-capital)</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ObjectCode Alignment with Transaction Type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ObjectCode=940 — no payroll range conflict</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AccountIdentifier Structure Maps to Dimensions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S-1394-25110-940-5170-51 (6 segments)</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bl>
    <w:p>
      <w:pPr>
        <w:spacing w:after="80" w:before="80"/>
      </w:pPr>
    </w:p>
    <w:p>
      <w:pPr>
        <w:spacing w:after="80" w:before="80"/>
      </w:pPr>
      <w:r>
        <w:rPr>
          <w:rFonts w:ascii="Arial" w:cs="Arial" w:eastAsia="Arial" w:hAnsi="Arial"/>
          <w:i/>
          <w:iCs/>
          <w:color w:val="64748B"/>
          <w:sz w:val="22"/>
          <w:szCs w:val="22"/>
        </w:rPr>
        <w:t xml:space="preserve">Note: Capital fund codes are those in the 4xxx range (4200–4900). Payroll object codes are 100–290. These must not appear on leave or equipment accounts respectively.</w:t>
      </w:r>
    </w:p>
    <w:p>
      <w:pPr>
        <w:spacing w:after="80" w:before="160"/>
      </w:pPr>
    </w:p>
    <w:p>
      <w:pPr>
        <w:pStyle w:val="Heading1"/>
        <w:spacing w:after="120" w:before="280"/>
      </w:pPr>
      <w:r>
        <w:rPr>
          <w:rFonts w:ascii="Arial" w:cs="Arial" w:eastAsia="Arial" w:hAnsi="Arial"/>
          <w:b/>
          <w:bCs/>
          <w:color w:val="0D2D5E"/>
        </w:rPr>
        <w:t xml:space="preserve">Result 8 — Multi-Year &amp; Contract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891B2"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8 · Contract Amount Distribution &amp; Multi-Year Alignment</w:t>
            </w:r>
          </w:p>
          <w:p>
            <w:pPr>
              <w:spacing w:after="0" w:before="40"/>
            </w:pPr>
            <w:r>
              <w:rPr>
                <w:rFonts w:ascii="Arial" w:cs="Arial" w:eastAsia="Arial" w:hAnsi="Arial"/>
                <w:color w:val="CADCFC"/>
                <w:sz w:val="19"/>
                <w:szCs w:val="19"/>
              </w:rPr>
              <w:t xml:space="preserve">ExpenditureAmount must align with ContractNumberOfYears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Values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ContractNumberOfYears &gt; 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ContractNumberOfYears=7 ✓</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ContractNumberOfYears Reasonability (1–30)</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7 — within expected range ✓</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ExpenditureAmount Aligned with ContractYears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$24,937 ÷ 7 years = $3,562/year avg</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No Excessive Single-Year Concentration</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$24,937 for 7-year contract — within normal range</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SubawardAmount &gt; 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SubawardAmount=12,111 &gt; 0 ✓</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bl>
    <w:p>
      <w:pPr>
        <w:spacing w:after="80" w:before="160"/>
      </w:pPr>
    </w:p>
    <w:p>
      <w:pPr>
        <w:pStyle w:val="Heading1"/>
        <w:spacing w:after="120" w:before="280"/>
      </w:pPr>
      <w:r>
        <w:rPr>
          <w:rFonts w:ascii="Arial" w:cs="Arial" w:eastAsia="Arial" w:hAnsi="Arial"/>
          <w:b/>
          <w:bCs/>
          <w:color w:val="0D2D5E"/>
        </w:rPr>
        <w:t xml:space="preserve">Result 9 — Transaction Lifecycle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6A34A"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9 · Lifecycle — Account → Actual → Payments</w:t>
            </w:r>
          </w:p>
          <w:p>
            <w:pPr>
              <w:spacing w:after="0" w:before="40"/>
            </w:pPr>
            <w:r>
              <w:rPr>
                <w:rFonts w:ascii="Arial" w:cs="Arial" w:eastAsia="Arial" w:hAnsi="Arial"/>
                <w:color w:val="CADCFC"/>
                <w:sz w:val="19"/>
                <w:szCs w:val="19"/>
              </w:rPr>
              <w:t xml:space="preserve">Payments must have corresponding expenditure context. LocalAccount must exist.</w:t>
            </w:r>
          </w:p>
        </w:tc>
      </w:tr>
    </w:tbl>
    <w:p>
      <w:pPr>
        <w:spacing w:after="80" w:before="120"/>
      </w:pPr>
    </w:p>
    <w:p>
      <w:pPr>
        <w:pStyle w:val="Heading2"/>
        <w:spacing w:after="120" w:before="280"/>
      </w:pPr>
      <w:r>
        <w:rPr>
          <w:rFonts w:ascii="Arial" w:cs="Arial" w:eastAsia="Arial" w:hAnsi="Arial"/>
          <w:b/>
          <w:bCs/>
          <w:color w:val="0D2D5E"/>
        </w:rPr>
        <w:t xml:space="preserve">Example — All Lifecycle Layers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Layer</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LocalAccount Exists (Foundation Layer)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LocalAccount</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LocalActual Exists Before Payment Transactions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LocalActual</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Equipment Payment Has Expenditure Context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LocalCapitalizedEquipment</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Subaward Payment Has Expenditure Context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LocalSubaward</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Leave Payment Has Expenditure Context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LocalUnusedLeavePayment</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bl>
    <w:p>
      <w:pPr>
        <w:spacing w:after="80" w:before="80"/>
      </w:pPr>
    </w:p>
    <w:p>
      <w:pPr>
        <w:pStyle w:val="Heading2"/>
        <w:spacing w:after="120" w:before="280"/>
      </w:pPr>
      <w:r>
        <w:rPr>
          <w:rFonts w:ascii="Arial" w:cs="Arial" w:eastAsia="Arial" w:hAnsi="Arial"/>
          <w:b/>
          <w:bCs/>
          <w:color w:val="0D2D5E"/>
        </w:rPr>
        <w:t xml:space="preserve">Example — Missing LocalActual (Lifecycle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Rule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Layer</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LocalActual Exists Before Payment Transactions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LocalActual</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Fail</w:t>
            </w:r>
          </w:p>
        </w:tc>
      </w:tr>
    </w:tbl>
    <w:p>
      <w:pPr>
        <w:spacing w:after="80" w:before="80"/>
      </w:pPr>
      <w:r>
        <w:rPr>
          <w:rFonts w:ascii="Arial" w:cs="Arial" w:eastAsia="Arial" w:hAnsi="Arial"/>
          <w:color w:val="DC2626"/>
          <w:sz w:val="22"/>
          <w:szCs w:val="22"/>
        </w:rPr>
        <w:t xml:space="preserve">Payment transactions were found for this account but NO LocalActual record exists. Required lifecycle: LocalAccount → LocalActual → Payment Transactions.</w:t>
      </w:r>
    </w:p>
    <w:p>
      <w:pPr>
        <w:spacing w:after="80" w:before="160"/>
      </w:pPr>
    </w:p>
    <w:p>
      <w:pPr>
        <w:pStyle w:val="Heading1"/>
        <w:spacing w:after="120" w:before="280"/>
      </w:pPr>
      <w:r>
        <w:rPr>
          <w:rFonts w:ascii="Arial" w:cs="Arial" w:eastAsia="Arial" w:hAnsi="Arial"/>
          <w:b/>
          <w:bCs/>
          <w:color w:val="0D2D5E"/>
        </w:rPr>
        <w:t xml:space="preserve">Result 10 — Reporting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891B2"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Result 10 · FinancialCollectionDescriptor Consistency</w:t>
            </w:r>
          </w:p>
          <w:p>
            <w:pPr>
              <w:spacing w:after="0" w:before="40"/>
            </w:pPr>
            <w:r>
              <w:rPr>
                <w:rFonts w:ascii="Arial" w:cs="Arial" w:eastAsia="Arial" w:hAnsi="Arial"/>
                <w:color w:val="CADCFC"/>
                <w:sz w:val="19"/>
                <w:szCs w:val="19"/>
              </w:rPr>
              <w:t xml:space="preserve">Same descriptor value must be used across all related records for the same account</w:t>
            </w:r>
          </w:p>
        </w:tc>
      </w:tr>
    </w:tbl>
    <w:p>
      <w:pPr>
        <w:spacing w:after="80" w:before="120"/>
      </w:pPr>
    </w:p>
    <w:p>
      <w:pPr>
        <w:pStyle w:val="Heading2"/>
        <w:spacing w:after="120" w:before="280"/>
      </w:pPr>
      <w:r>
        <w:rPr>
          <w:rFonts w:ascii="Arial" w:cs="Arial" w:eastAsia="Arial" w:hAnsi="Arial"/>
          <w:b/>
          <w:bCs/>
          <w:color w:val="0D2D5E"/>
        </w:rPr>
        <w:t xml:space="preserve">Example —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Tables Checked</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Values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LocalActual, LocalCapitalizedEquipment, LocalSubaward, LocalUnusedLeavePayment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All = '1'</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 Pass</w:t>
            </w:r>
          </w:p>
        </w:tc>
      </w:tr>
    </w:tbl>
    <w:p>
      <w:pPr>
        <w:spacing w:after="80" w:before="80"/>
      </w:pPr>
    </w:p>
    <w:p>
      <w:pPr>
        <w:pStyle w:val="Heading2"/>
        <w:spacing w:after="120" w:before="280"/>
      </w:pPr>
      <w:r>
        <w:rPr>
          <w:rFonts w:ascii="Arial" w:cs="Arial" w:eastAsia="Arial" w:hAnsi="Arial"/>
          <w:b/>
          <w:bCs/>
          <w:color w:val="0D2D5E"/>
        </w:rPr>
        <w:t xml:space="preserve">Example — Inconsistent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Tables Checked</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Values</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Status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LocalActual=1, LocalCapitalizedEquipment=2</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Mismatch detected</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Fail</w:t>
            </w:r>
          </w:p>
        </w:tc>
      </w:tr>
    </w:tbl>
    <w:p>
      <w:pPr>
        <w:spacing w:after="80" w:before="80"/>
      </w:pPr>
      <w:r>
        <w:rPr>
          <w:rFonts w:ascii="Arial" w:cs="Arial" w:eastAsia="Arial" w:hAnsi="Arial"/>
          <w:color w:val="DC2626"/>
          <w:sz w:val="22"/>
          <w:szCs w:val="22"/>
        </w:rPr>
        <w:t xml:space="preserve">All records for the same AccountIdentifier and reporting period must share the same FinancialCollectionDescriptor value.</w:t>
      </w:r>
    </w:p>
    <w:p>
      <w:pPr>
        <w:spacing w:after="80" w:before="160"/>
      </w:pPr>
    </w:p>
    <w:p>
      <w:pPr>
        <w:pStyle w:val="Heading1"/>
        <w:spacing w:after="120" w:before="280"/>
      </w:pPr>
      <w:r>
        <w:rPr>
          <w:rFonts w:ascii="Arial" w:cs="Arial" w:eastAsia="Arial" w:hAnsi="Arial"/>
          <w:b/>
          <w:bCs/>
          <w:color w:val="0D2D5E"/>
        </w:rPr>
        <w:t xml:space="preserve">Downloading the Full Certification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A6FD4"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Export · Full Certification Report</w:t>
            </w:r>
          </w:p>
          <w:p>
            <w:pPr>
              <w:spacing w:after="0" w:before="40"/>
            </w:pPr>
            <w:r>
              <w:rPr>
                <w:rFonts w:ascii="Arial" w:cs="Arial" w:eastAsia="Arial" w:hAnsi="Arial"/>
                <w:color w:val="CADCFC"/>
                <w:sz w:val="19"/>
                <w:szCs w:val="19"/>
              </w:rPr>
              <w:t xml:space="preserve">Click '📥 Export Full Certification Report' to download the Excel workbook</w:t>
            </w:r>
          </w:p>
        </w:tc>
      </w:tr>
    </w:tbl>
    <w:p>
      <w:pPr>
        <w:spacing w:after="80" w:before="120"/>
      </w:pPr>
    </w:p>
    <w:p>
      <w:pPr>
        <w:spacing w:after="80" w:before="80"/>
      </w:pPr>
      <w:r>
        <w:rPr>
          <w:rFonts w:ascii="Arial" w:cs="Arial" w:eastAsia="Arial" w:hAnsi="Arial"/>
          <w:sz w:val="22"/>
          <w:szCs w:val="22"/>
        </w:rPr>
        <w:t xml:space="preserve">Filename format: </w:t>
      </w:r>
      <w:r>
        <w:rPr>
          <w:rFonts w:ascii="Arial" w:cs="Arial" w:eastAsia="Arial" w:hAnsi="Arial"/>
          <w:b/>
          <w:bCs/>
          <w:color w:val="0D2D5E"/>
          <w:sz w:val="22"/>
          <w:szCs w:val="22"/>
        </w:rPr>
        <w:t xml:space="preserve">EdWise_Finance_CertReport_YYYYMMDD_HHMM.xlsx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Sheet Name</w:t>
            </w:r>
          </w:p>
        </w:tc>
        <w:tc>
          <w:tcPr>
            <w:tcW w:type="dxa" w:w="468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Contents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Summary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Pass/Fail counts per entity and overall status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Target_LocalAccount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Raw API response — LocalAccount records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Target_LocalActual</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Raw API response — LocalActual records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Target_LocalCapital...</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Raw API response — CapitalizedEquipment records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Target_LocalSubaward</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Raw API response — LocalSubaward records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Target_LocalUnused...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Raw API response — LocalUnusedLeavePayment records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FieldVal_&lt;Entity&gt;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Field-level validation results per entity</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BizRules_&lt;Entity&gt;</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Business rule results per entity (S3)</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All_Invalid_Fields</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Combined list of all failed field validations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Failed_BizRules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Combined list of all failed business rules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S2_CrossTable</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Cross-table spending vs Actual Amount results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S3_Budget_Allocation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Budget and allocation balance results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S4_Duplicate_Detection</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Duplicate transaction findings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S6_Fund_Classification</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Fund code classification results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S7_MultiYear_Contract</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Multi-year contract distribution results</w:t>
            </w:r>
          </w:p>
        </w:tc>
      </w:tr>
      <w:tr>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S9_Lifecycle_Process</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Transaction lifecycle chain results</w:t>
            </w:r>
          </w:p>
        </w:tc>
      </w:tr>
      <w:tr>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S10_Descriptor_Consistency</w:t>
            </w:r>
          </w:p>
        </w:tc>
        <w:tc>
          <w:tcPr>
            <w:tcW w:type="dxa" w:w="4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FinancialCollectionDescriptor consistency results</w:t>
            </w:r>
          </w:p>
        </w:tc>
      </w:tr>
    </w:tbl>
    <w:p>
      <w:pPr>
        <w:spacing w:after="80" w:before="160"/>
      </w:pPr>
    </w:p>
    <w:p>
      <w:pPr>
        <w:pStyle w:val="Heading1"/>
        <w:spacing w:after="120" w:before="280"/>
      </w:pPr>
      <w:r>
        <w:rPr>
          <w:rFonts w:ascii="Arial" w:cs="Arial" w:eastAsia="Arial" w:hAnsi="Arial"/>
          <w:b/>
          <w:bCs/>
          <w:color w:val="0D2D5E"/>
        </w:rPr>
        <w:t xml:space="preserve">Common Issues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DC2626" w:val="clear"/>
            <w:tcMar>
              <w:top w:type="dxa" w:w="160"/>
              <w:left w:type="dxa" w:w="200"/>
              <w:bottom w:type="dxa" w:w="80"/>
              <w:right w:type="dxa" w:w="200"/>
            </w:tcMar>
          </w:tcPr>
          <w:p>
            <w:pPr>
              <w:spacing w:after="0" w:before="0"/>
            </w:pPr>
            <w:r>
              <w:rPr>
                <w:rFonts w:ascii="Arial" w:cs="Arial" w:eastAsia="Arial" w:hAnsi="Arial"/>
                <w:b/>
                <w:bCs/>
                <w:color w:val="FFFFFF"/>
                <w:sz w:val="28"/>
                <w:szCs w:val="28"/>
              </w:rPr>
              <w:t xml:space="preserve">Troubleshooting Guide</w:t>
            </w:r>
          </w:p>
          <w:p>
            <w:pPr>
              <w:spacing w:after="0" w:before="40"/>
            </w:pPr>
            <w:r>
              <w:rPr>
                <w:rFonts w:ascii="Arial" w:cs="Arial" w:eastAsia="Arial" w:hAnsi="Arial"/>
                <w:color w:val="CADCFC"/>
                <w:sz w:val="19"/>
                <w:szCs w:val="19"/>
              </w:rPr>
              <w:t xml:space="preserve">What each error means and how to fix it</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Issue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Cause</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Resolution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 EMPTY RESPONSE for Account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Account ID not found in ODS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Verify AccountIdentifier is correct. Check if data has been posted.</w:t>
            </w:r>
          </w:p>
        </w:tc>
      </w:tr>
      <w:tr>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 Code NOT found in API</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FunctionCode/FundCode/ObjectCode does not exist in ODS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Verify the dimension code is valid for schoolYear=2025</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AcquisitionDate outside FiscalYear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Equipment acquired in prior fiscal year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Check if correct FiscalYear is used — FY2025 runs July 2024 to June 2025</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First50k + Excess50k ≠ Expenditure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Subaward math error in vendor data</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Recalculate and resubmit the subaward record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Balance NEGATIVE after allocation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Spending categories exceed LocalActual Amount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Review all spending categories — Equipment+Subaward+Leave must not exceed Actual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Lifecycle Fail — No LocalActual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Payment posted without corresponding Actual</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Post the LocalActual record first before payment transactions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FinancialCollectionDescriptor mismatch</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Different descriptor values across related records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All records for same account must use same descriptor value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Duplicate detected in table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Same transaction posted multiple times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Remove duplicate records before resubmitting</w:t>
            </w:r>
          </w:p>
        </w:tc>
      </w:tr>
    </w:tbl>
    <w:p>
      <w:pPr>
        <w:spacing w:after="80" w:before="160"/>
      </w:pPr>
    </w:p>
    <w:p>
      <w:pPr>
        <w:pStyle w:val="Heading1"/>
        <w:spacing w:after="120" w:before="280"/>
      </w:pPr>
      <w:r>
        <w:rPr>
          <w:rFonts w:ascii="Arial" w:cs="Arial" w:eastAsia="Arial" w:hAnsi="Arial"/>
          <w:b/>
          <w:bCs/>
          <w:color w:val="0D2D5E"/>
        </w:rPr>
        <w:t xml:space="preserve">Quick Reference — 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Color</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Icon</w:t>
            </w:r>
          </w:p>
        </w:tc>
        <w:tc>
          <w:tcPr>
            <w:tcW w:type="dxa" w:w="3120"/>
            <w:tcBorders>
              <w:top w:val="single" w:color="CBD5E1" w:sz="1"/>
              <w:left w:val="single" w:color="CBD5E1" w:sz="1"/>
              <w:bottom w:val="single" w:color="CBD5E1" w:sz="1"/>
              <w:right w:val="single" w:color="CBD5E1" w:sz="1"/>
            </w:tcBorders>
            <w:shd w:fill="0D2D5E"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Meaning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Green row</w:t>
            </w:r>
          </w:p>
        </w:tc>
        <w:tc>
          <w:tcPr>
            <w:tcW w:type="dxa" w:w="312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spacing w:after="0" w:before="0"/>
            </w:pPr>
            <w:r>
              <w:rPr>
                <w:rFonts w:ascii="Arial" w:cs="Arial" w:eastAsia="Arial" w:hAnsi="Arial"/>
                <w:color w:val="16A34A"/>
                <w:sz w:val="19"/>
                <w:szCs w:val="19"/>
              </w:rPr>
              <w:t xml:space="preser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Pass — rule satisfied, field valid, calculation correct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Red row</w:t>
            </w:r>
          </w:p>
        </w:tc>
        <w:tc>
          <w:tcPr>
            <w:tcW w:type="dxa" w:w="3120"/>
            <w:tcBorders>
              <w:top w:val="single" w:color="CBD5E1" w:sz="1"/>
              <w:left w:val="single" w:color="CBD5E1" w:sz="1"/>
              <w:bottom w:val="single" w:color="CBD5E1" w:sz="1"/>
              <w:right w:val="single" w:color="CBD5E1" w:sz="1"/>
            </w:tcBorders>
            <w:shd w:fill="FEF2F2" w:val="clear"/>
            <w:tcMar>
              <w:top w:type="dxa" w:w="80"/>
              <w:left w:type="dxa" w:w="120"/>
              <w:bottom w:type="dxa" w:w="80"/>
              <w:right w:type="dxa" w:w="120"/>
            </w:tcMar>
          </w:tcPr>
          <w:p>
            <w:pPr>
              <w:spacing w:after="0" w:before="0"/>
            </w:pPr>
            <w:r>
              <w:rPr>
                <w:rFonts w:ascii="Arial" w:cs="Arial" w:eastAsia="Arial" w:hAnsi="Arial"/>
                <w:color w:val="DC2626"/>
                <w:sz w:val="19"/>
                <w:szCs w:val="19"/>
              </w:rPr>
              <w:t xml:space="preserv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Fail — rule violated, field invalid, business rule failed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Yellow row</w:t>
            </w:r>
          </w:p>
        </w:tc>
        <w:tc>
          <w:tcPr>
            <w:tcW w:type="dxa" w:w="312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after="0" w:before="0"/>
            </w:pPr>
            <w:r>
              <w:rPr>
                <w:rFonts w:ascii="Arial" w:cs="Arial" w:eastAsia="Arial" w:hAnsi="Arial"/>
                <w:color w:val="D97706"/>
                <w:sz w:val="19"/>
                <w:szCs w:val="19"/>
              </w:rPr>
              <w:t xml:space="preserv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Flag — anomaly detected, manual review recommended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Grey row</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Arial" w:cs="Arial" w:eastAsia="Arial" w:hAnsi="Arial"/>
                <w:color w:val="1E293B"/>
                <w:sz w:val="19"/>
                <w:szCs w:val="19"/>
              </w:rPr>
              <w:t xml:space="preserve">Skipped — data not available or ID not provided</w:t>
            </w:r>
          </w:p>
        </w:tc>
      </w:tr>
    </w:tbl>
    <w:p>
      <w:pPr>
        <w:spacing w:after="80" w:before="240"/>
      </w:pPr>
    </w:p>
    <w:p>
      <w:pPr>
        <w:pBdr>
          <w:bottom w:val="single" w:color="CBD5E1" w:sz="6" w:space="1"/>
        </w:pBdr>
        <w:spacing w:after="120" w:before="120"/>
      </w:pPr>
    </w:p>
    <w:p>
      <w:pPr>
        <w:spacing w:after="80" w:before="80"/>
        <w:jc w:val="center"/>
      </w:pPr>
      <w:r>
        <w:rPr>
          <w:rFonts w:ascii="Arial" w:cs="Arial" w:eastAsia="Arial" w:hAnsi="Arial"/>
          <w:color w:val="94A3B8"/>
          <w:sz w:val="18"/>
          <w:szCs w:val="18"/>
        </w:rPr>
        <w:t xml:space="preserve">EdWise Group · School Finance Verification · v1.0.0 · Ed-Fi ODS 2026 · Indiana DOE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jc w:val="center"/>
    </w:pPr>
    <w:r>
      <w:rPr>
        <w:rFonts w:ascii="Arial" w:cs="Arial" w:eastAsia="Arial" w:hAnsi="Arial"/>
        <w:color w:val="94A3B8"/>
        <w:sz w:val="17"/>
        <w:szCs w:val="17"/>
      </w:rPr>
      <w:t xml:space="preserve">EdWise Group · School Finance Verification · v1.0.0 · Ed-Fi ODS 2026 · Indiana DOE · Page </w:t>
    </w:r>
    <w:r>
      <w:rPr>
        <w:rFonts w:ascii="Arial" w:cs="Arial" w:eastAsia="Arial" w:hAnsi="Arial"/>
        <w:color w:val="94A3B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Borders>
            <w:top w:val="none"/>
            <w:left w:val="none"/>
            <w:bottom w:val="single" w:color="1A6FD4" w:sz="4"/>
            <w:right w:val="none"/>
          </w:tcBorders>
          <w:tcMar>
            <w:top w:type="dxa" w:w="40"/>
            <w:left w:type="dxa" w:w="0"/>
            <w:bottom w:type="dxa" w:w="60"/>
            <w:right w:type="dxa" w:w="0"/>
          </w:tcMar>
        </w:tcPr>
        <w:p>
          <w:r>
            <w:rPr>
              <w:rFonts w:ascii="Arial" w:cs="Arial" w:eastAsia="Arial" w:hAnsi="Arial"/>
              <w:b/>
              <w:bCs/>
              <w:color w:val="0D2D5E"/>
              <w:sz w:val="19"/>
              <w:szCs w:val="19"/>
            </w:rPr>
            <w:t xml:space="preserve">💰 EdWise Group — School Finance Verification Demo Guide</w:t>
          </w:r>
        </w:p>
      </w:tc>
      <w:tc>
        <w:tcPr>
          <w:tcBorders>
            <w:top w:val="none"/>
            <w:left w:val="none"/>
            <w:bottom w:val="single" w:color="1A6FD4" w:sz="4"/>
            <w:right w:val="none"/>
          </w:tcBorders>
          <w:tcMar>
            <w:top w:type="dxa" w:w="40"/>
            <w:left w:type="dxa" w:w="0"/>
            <w:bottom w:type="dxa" w:w="60"/>
            <w:right w:type="dxa" w:w="0"/>
          </w:tcMar>
        </w:tcPr>
        <w:p>
          <w:pPr>
            <w:jc w:val="right"/>
          </w:pPr>
          <w:r>
            <w:rPr>
              <w:rFonts w:ascii="Arial" w:cs="Arial" w:eastAsia="Arial" w:hAnsi="Arial"/>
              <w:color w:val="64748B"/>
              <w:sz w:val="17"/>
              <w:szCs w:val="17"/>
            </w:rPr>
            <w:t xml:space="preserve">Ed-Fi ODS 2026 · Indiana DOE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2D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6FD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D2D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2026-03-26T05:38:41.851Z</dcterms:created>
  <dcterms:modified xsi:type="dcterms:W3CDTF">2026-03-26T05:38:41.853Z</dcterms:modified>
</cp:coreProperties>
</file>

<file path=docProps/custom.xml><?xml version="1.0" encoding="utf-8"?>
<Properties xmlns="http://schemas.openxmlformats.org/officeDocument/2006/custom-properties" xmlns:vt="http://schemas.openxmlformats.org/officeDocument/2006/docPropsVTypes"/>
</file>