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1428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495300"/>
                    </a:xfrm>
                    <a:prstGeom prst="rect">
                      <a:avLst/>
                    </a:prstGeom>
                  </pic:spPr>
                </pic:pic>
              </a:graphicData>
            </a:graphic>
          </wp:inline>
        </w:drawing>
      </w:r>
    </w:p>
    <w:p/>
    <w:p/>
    <w:p/>
    <w:p/>
    <w:p/>
    <w:p/>
    <w:p/>
    <w:p/>
    <w:p/>
    <w:p/>
    <w:p/>
    <w:p/>
    <w:p/>
    <w:p/>
    <w:p/>
    <w:p/>
    <w:p/>
    <w:p/>
    <w:p/>
    <w:p/>
    <w:p/>
    <w:p/>
    <w:p/>
    <w:p/>
    <w:p/>
    <w:p/>
    <w:p/>
    <w:p/>
    <w:p>
      <w:r>
        <w:rPr>
          <w:rFonts w:ascii="Avenir Next LT Pro" w:cs="Avenir Next LT Pro" w:eastAsia="Avenir Next LT Pro" w:hAnsi="Avenir Next LT Pro"/>
          <w:b/>
          <w:bCs/>
          <w:smallCaps/>
          <w:color w:val="000000"/>
          <w:sz w:val="48"/>
          <w:szCs w:val="48"/>
        </w:rPr>
        <w:t xml:space="preserve">EdWise Group</w:t>
      </w:r>
    </w:p>
    <w:p>
      <w:r>
        <w:rPr>
          <w:rFonts w:ascii="Avenir Next LT Pro" w:cs="Avenir Next LT Pro" w:eastAsia="Avenir Next LT Pro" w:hAnsi="Avenir Next LT Pro"/>
          <w:smallCaps/>
          <w:color w:val="000000"/>
          <w:sz w:val="40"/>
          <w:szCs w:val="40"/>
        </w:rPr>
        <w:t xml:space="preserve">School Finance Portal</w:t>
      </w:r>
    </w:p>
    <w:p>
      <w:r>
        <w:rPr>
          <w:rFonts w:ascii="Avenir Next LT Pro Light" w:cs="Avenir Next LT Pro Light" w:eastAsia="Avenir Next LT Pro Light" w:hAnsi="Avenir Next LT Pro Light"/>
          <w:smallCaps/>
          <w:color w:val="000000"/>
          <w:sz w:val="36"/>
          <w:szCs w:val="36"/>
        </w:rPr>
        <w:t xml:space="preserve">Demo Guide</w:t>
      </w:r>
    </w:p>
    <w:p>
      <w:pPr>
        <w:sectPr>
          <w:headerReference w:type="default" r:id="rId7"/>
          <w:footerReference w:type="default" r:id="rId8"/>
          <w:type w:val="nextPage"/>
          <w:pgSz w:w="12240" w:h="15840" w:orient="portrait"/>
          <w:pgMar w:top="1080" w:right="1080" w:bottom="1080" w:left="1080" w:header="708" w:footer="708" w:gutter="0"/>
          <w:pgNumType/>
          <w:docGrid w:linePitch="360"/>
        </w:sectPr>
      </w:pPr>
    </w:p>
    <w:p>
      <w:pPr>
        <w:pStyle w:val="Heading1"/>
        <w:spacing w:after="120" w:before="360"/>
        <w:outlineLvl w:val="0"/>
      </w:pPr>
      <w:r>
        <w:rPr>
          <w:rFonts w:ascii="Calibri" w:cs="Calibri" w:eastAsia="Calibri" w:hAnsi="Calibri"/>
          <w:b/>
          <w:bCs/>
          <w:smallCaps/>
          <w:color w:val="2F4FFB"/>
          <w:sz w:val="32"/>
          <w:szCs w:val="32"/>
        </w:rPr>
        <w:t xml:space="preserve">Table of Contents</w:t>
      </w:r>
    </w:p>
    <w:p>
      <w:pPr>
        <w:spacing w:after="80" w:before="80"/>
      </w:pPr>
      <w:r>
        <w:rPr>
          <w:rFonts w:ascii="Calibri" w:cs="Calibri" w:eastAsia="Calibri" w:hAnsi="Calibri"/>
          <w:color w:val="000000"/>
          <w:sz w:val="22"/>
          <w:szCs w:val="22"/>
        </w:rPr>
        <w:t xml:space="preserve">1. Introduction ..............................................................................................................  2</w:t>
      </w:r>
    </w:p>
    <w:p>
      <w:pPr>
        <w:spacing w:after="80" w:before="80"/>
      </w:pPr>
      <w:r>
        <w:rPr>
          <w:rFonts w:ascii="Calibri" w:cs="Calibri" w:eastAsia="Calibri" w:hAnsi="Calibri"/>
          <w:color w:val="000000"/>
          <w:sz w:val="22"/>
          <w:szCs w:val="22"/>
        </w:rPr>
        <w:t xml:space="preserve">2. Application Access and Login .........................................................................  3</w:t>
      </w:r>
    </w:p>
    <w:p>
      <w:pPr>
        <w:spacing w:after="80" w:before="80"/>
      </w:pPr>
      <w:r>
        <w:rPr>
          <w:rFonts w:ascii="Calibri" w:cs="Calibri" w:eastAsia="Calibri" w:hAnsi="Calibri"/>
          <w:color w:val="000000"/>
          <w:sz w:val="22"/>
          <w:szCs w:val="22"/>
        </w:rPr>
        <w:t xml:space="preserve">3. Navigation Overview ...........................................................................................  4</w:t>
      </w:r>
    </w:p>
    <w:p>
      <w:pPr>
        <w:spacing w:after="80" w:before="80"/>
      </w:pPr>
      <w:r>
        <w:rPr>
          <w:rFonts w:ascii="Calibri" w:cs="Calibri" w:eastAsia="Calibri" w:hAnsi="Calibri"/>
          <w:color w:val="000000"/>
          <w:sz w:val="22"/>
          <w:szCs w:val="22"/>
        </w:rPr>
        <w:t xml:space="preserve">4. Capitalized Equipment Verification — Demo Flow .....................................  5</w:t>
      </w:r>
    </w:p>
    <w:p>
      <w:pPr>
        <w:spacing w:after="80" w:before="80"/>
      </w:pPr>
      <w:r>
        <w:rPr>
          <w:rFonts w:ascii="Calibri" w:cs="Calibri" w:eastAsia="Calibri" w:hAnsi="Calibri"/>
          <w:color w:val="000000"/>
          <w:sz w:val="22"/>
          <w:szCs w:val="22"/>
        </w:rPr>
        <w:t xml:space="preserve">5. Subawards Verification — Demo Flow ..........................................................  7</w:t>
      </w:r>
    </w:p>
    <w:p>
      <w:pPr>
        <w:spacing w:after="80" w:before="80"/>
      </w:pPr>
      <w:r>
        <w:rPr>
          <w:rFonts w:ascii="Calibri" w:cs="Calibri" w:eastAsia="Calibri" w:hAnsi="Calibri"/>
          <w:color w:val="000000"/>
          <w:sz w:val="22"/>
          <w:szCs w:val="22"/>
        </w:rPr>
        <w:t xml:space="preserve">6. Unused Leave Payment Verification — Demo Flow ......................................  9</w:t>
      </w:r>
    </w:p>
    <w:p>
      <w:pPr>
        <w:spacing w:after="80" w:before="80"/>
      </w:pPr>
      <w:r>
        <w:rPr>
          <w:rFonts w:ascii="Calibri" w:cs="Calibri" w:eastAsia="Calibri" w:hAnsi="Calibri"/>
          <w:color w:val="000000"/>
          <w:sz w:val="22"/>
          <w:szCs w:val="22"/>
        </w:rPr>
        <w:t xml:space="preserve">7. Financial Data Update — Demo Flow ............................................................  11</w:t>
      </w:r>
    </w:p>
    <w:p>
      <w:pPr>
        <w:spacing w:after="80" w:before="80"/>
      </w:pPr>
      <w:r>
        <w:rPr>
          <w:rFonts w:ascii="Calibri" w:cs="Calibri" w:eastAsia="Calibri" w:hAnsi="Calibri"/>
          <w:color w:val="000000"/>
          <w:sz w:val="22"/>
          <w:szCs w:val="22"/>
        </w:rPr>
        <w:t xml:space="preserve">8. Financial Data Delete — Demo Flow ...............................................................  12</w:t>
      </w:r>
    </w:p>
    <w:p>
      <w:pPr>
        <w:spacing w:after="80" w:before="80"/>
      </w:pPr>
      <w:r>
        <w:rPr>
          <w:rFonts w:ascii="Calibri" w:cs="Calibri" w:eastAsia="Calibri" w:hAnsi="Calibri"/>
          <w:color w:val="000000"/>
          <w:sz w:val="22"/>
          <w:szCs w:val="22"/>
        </w:rPr>
        <w:t xml:space="preserve">9. Financial Data Reset — Demo Flow ....................................................................  13</w:t>
      </w:r>
    </w:p>
    <w:p>
      <w:pPr>
        <w:spacing w:after="80" w:before="80"/>
      </w:pPr>
      <w:r>
        <w:rPr>
          <w:rFonts w:ascii="Calibri" w:cs="Calibri" w:eastAsia="Calibri" w:hAnsi="Calibri"/>
          <w:color w:val="000000"/>
          <w:sz w:val="22"/>
          <w:szCs w:val="22"/>
        </w:rPr>
        <w:t xml:space="preserve">10. Export and Reporting ........................................................................................  14</w:t>
      </w:r>
    </w:p>
    <w:p>
      <w:pPr>
        <w:spacing w:after="80" w:before="80"/>
      </w:pPr>
      <w:r>
        <w:rPr>
          <w:rFonts w:ascii="Calibri" w:cs="Calibri" w:eastAsia="Calibri" w:hAnsi="Calibri"/>
          <w:color w:val="000000"/>
          <w:sz w:val="22"/>
          <w:szCs w:val="22"/>
        </w:rPr>
        <w:t xml:space="preserve">11. Document Information .......................................................................................  15</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1. Introduction</w:t>
      </w:r>
    </w:p>
    <w:p>
      <w:pPr>
        <w:pStyle w:val="Heading2"/>
        <w:spacing w:after="80" w:before="280"/>
        <w:outlineLvl w:val="1"/>
      </w:pPr>
      <w:r>
        <w:rPr>
          <w:rFonts w:ascii="Calibri" w:cs="Calibri" w:eastAsia="Calibri" w:hAnsi="Calibri"/>
          <w:b/>
          <w:bCs/>
          <w:color w:val="239CFF"/>
          <w:sz w:val="26"/>
          <w:szCs w:val="26"/>
        </w:rPr>
        <w:t xml:space="preserve">1.1 Document Purpose</w:t>
      </w:r>
    </w:p>
    <w:p>
      <w:pPr>
        <w:spacing w:after="80" w:before="80"/>
      </w:pPr>
      <w:r>
        <w:rPr>
          <w:rFonts w:ascii="Calibri" w:cs="Calibri" w:eastAsia="Calibri" w:hAnsi="Calibri"/>
          <w:color w:val="000000"/>
          <w:sz w:val="22"/>
          <w:szCs w:val="22"/>
        </w:rPr>
        <w:t xml:space="preserve">This document provides a step-by-step demonstration guide for the EdWise School Finance Vendor Certification Portal (v3.0.0). It is intended for Indiana DOE staff, vendor certification teams, and technical reviewers who need to understand the application workflow, screen-by-screen interaction, and expected outcomes for each module.</w:t>
      </w:r>
    </w:p>
    <w:p>
      <w:pPr>
        <w:pStyle w:val="Heading2"/>
        <w:spacing w:after="80" w:before="280"/>
        <w:outlineLvl w:val="1"/>
      </w:pPr>
      <w:r>
        <w:rPr>
          <w:rFonts w:ascii="Calibri" w:cs="Calibri" w:eastAsia="Calibri" w:hAnsi="Calibri"/>
          <w:b/>
          <w:bCs/>
          <w:color w:val="239CFF"/>
          <w:sz w:val="26"/>
          <w:szCs w:val="26"/>
        </w:rPr>
        <w:t xml:space="preserve">1.2 Document Scope</w:t>
      </w:r>
    </w:p>
    <w:p>
      <w:pPr>
        <w:spacing w:after="80" w:before="80"/>
      </w:pPr>
      <w:r>
        <w:rPr>
          <w:rFonts w:ascii="Calibri" w:cs="Calibri" w:eastAsia="Calibri" w:hAnsi="Calibri"/>
          <w:color w:val="000000"/>
          <w:sz w:val="22"/>
          <w:szCs w:val="22"/>
        </w:rPr>
        <w:t xml:space="preserve">This guide covers all six portal modules: Local Capitalized Equipment Verification, Local Subawards Verification, Local Unused Leave Payment Verification, Financial Data Update, Financial Data Delete, and Financial Data Reset. Each section includes screen description, required inputs, expected API behavior, and pass/fail result interpretation.</w:t>
      </w:r>
    </w:p>
    <w:p>
      <w:pPr>
        <w:pStyle w:val="Heading2"/>
        <w:spacing w:after="80" w:before="280"/>
        <w:outlineLvl w:val="1"/>
      </w:pPr>
      <w:r>
        <w:rPr>
          <w:rFonts w:ascii="Calibri" w:cs="Calibri" w:eastAsia="Calibri" w:hAnsi="Calibri"/>
          <w:b/>
          <w:bCs/>
          <w:color w:val="239CFF"/>
          <w:sz w:val="26"/>
          <w:szCs w:val="26"/>
        </w:rPr>
        <w:t xml:space="preserve">1.3 References</w:t>
      </w:r>
    </w:p>
    <w:p>
      <w:pPr>
        <w:pStyle w:val="ListParagraph"/>
        <w:numPr>
          <w:ilvl w:val="0"/>
          <w:numId w:val="2"/>
        </w:numPr>
        <w:spacing w:after="40" w:before="40"/>
      </w:pPr>
      <w:r>
        <w:rPr>
          <w:rFonts w:ascii="Calibri" w:cs="Calibri" w:eastAsia="Calibri" w:hAnsi="Calibri"/>
          <w:sz w:val="22"/>
          <w:szCs w:val="22"/>
        </w:rPr>
        <w:t xml:space="preserve">Ed-Fi ODS 2026 Technical Documentation — Indiana DOE</w:t>
      </w:r>
    </w:p>
    <w:p>
      <w:pPr>
        <w:pStyle w:val="ListParagraph"/>
        <w:numPr>
          <w:ilvl w:val="0"/>
          <w:numId w:val="2"/>
        </w:numPr>
        <w:spacing w:after="40" w:before="40"/>
      </w:pPr>
      <w:r>
        <w:rPr>
          <w:rFonts w:ascii="Calibri" w:cs="Calibri" w:eastAsia="Calibri" w:hAnsi="Calibri"/>
          <w:sz w:val="22"/>
          <w:szCs w:val="22"/>
        </w:rPr>
        <w:t xml:space="preserve">EdWise Finance Validation Rules Document (SF_EdWise_Finance_Validation_Rules.docx)</w:t>
      </w:r>
    </w:p>
    <w:p>
      <w:pPr>
        <w:pStyle w:val="ListParagraph"/>
        <w:numPr>
          <w:ilvl w:val="0"/>
          <w:numId w:val="2"/>
        </w:numPr>
        <w:spacing w:after="40" w:before="40"/>
      </w:pPr>
      <w:r>
        <w:rPr>
          <w:rFonts w:ascii="Calibri" w:cs="Calibri" w:eastAsia="Calibri" w:hAnsi="Calibri"/>
          <w:sz w:val="22"/>
          <w:szCs w:val="22"/>
        </w:rPr>
        <w:t xml:space="preserve">EdWise Finance Requirements Presentation (EdWise_Finance_Requirements.pptx)</w:t>
      </w:r>
    </w:p>
    <w:p>
      <w:pPr>
        <w:pStyle w:val="ListParagraph"/>
        <w:numPr>
          <w:ilvl w:val="0"/>
          <w:numId w:val="2"/>
        </w:numPr>
        <w:spacing w:after="40" w:before="40"/>
      </w:pPr>
      <w:r>
        <w:rPr>
          <w:rFonts w:ascii="Calibri" w:cs="Calibri" w:eastAsia="Calibri" w:hAnsi="Calibri"/>
          <w:sz w:val="22"/>
          <w:szCs w:val="22"/>
        </w:rPr>
        <w:t xml:space="preserve">Python Source Files: app.py, shared.py, page_cap_equipment.py, page_subawards.py, page_unused_leave.py, page_update.py, page_delete.py, page_reset.py</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2. Application Access and Login</w:t>
      </w:r>
    </w:p>
    <w:p>
      <w:pPr>
        <w:pStyle w:val="Heading2"/>
        <w:spacing w:after="80" w:before="280"/>
        <w:outlineLvl w:val="1"/>
      </w:pPr>
      <w:r>
        <w:rPr>
          <w:rFonts w:ascii="Calibri" w:cs="Calibri" w:eastAsia="Calibri" w:hAnsi="Calibri"/>
          <w:b/>
          <w:bCs/>
          <w:color w:val="239CFF"/>
          <w:sz w:val="26"/>
          <w:szCs w:val="26"/>
        </w:rPr>
        <w:t xml:space="preserve">2.1 Login Screen</w:t>
      </w:r>
    </w:p>
    <w:p>
      <w:pPr>
        <w:spacing w:after="80" w:before="80"/>
      </w:pPr>
      <w:r>
        <w:rPr>
          <w:rFonts w:ascii="Calibri" w:cs="Calibri" w:eastAsia="Calibri" w:hAnsi="Calibri"/>
          <w:color w:val="000000"/>
          <w:sz w:val="22"/>
          <w:szCs w:val="22"/>
        </w:rPr>
        <w:t xml:space="preserve">When a user navigates to the portal URL, they are presented with the full-screen login interface. The main page and sidebar are hidden until authentication succeeds.</w:t>
      </w:r>
    </w:p>
    <w:p>
      <w:pPr>
        <w:pStyle w:val="Heading3"/>
        <w:spacing w:after="60" w:before="200"/>
        <w:outlineLvl w:val="2"/>
      </w:pPr>
      <w:r>
        <w:rPr>
          <w:rFonts w:ascii="Calibri" w:cs="Calibri" w:eastAsia="Calibri" w:hAnsi="Calibri"/>
          <w:color w:val="239CFF"/>
          <w:sz w:val="22"/>
          <w:szCs w:val="22"/>
        </w:rPr>
        <w:t xml:space="preserve">Required Inputs</w:t>
      </w:r>
    </w:p>
    <w:p>
      <w:pPr>
        <w:pStyle w:val="ListParagraph"/>
        <w:numPr>
          <w:ilvl w:val="0"/>
          <w:numId w:val="2"/>
        </w:numPr>
        <w:spacing w:after="40" w:before="40"/>
      </w:pPr>
      <w:r>
        <w:rPr>
          <w:rFonts w:ascii="Calibri" w:cs="Calibri" w:eastAsia="Calibri" w:hAnsi="Calibri"/>
          <w:sz w:val="22"/>
          <w:szCs w:val="22"/>
        </w:rPr>
        <w:t xml:space="preserve">Select Your Organization — Dropdown with registered vendors (e.g., Joshua Academy, Bremen Public Schools)</w:t>
      </w:r>
    </w:p>
    <w:p>
      <w:pPr>
        <w:pStyle w:val="ListParagraph"/>
        <w:numPr>
          <w:ilvl w:val="0"/>
          <w:numId w:val="2"/>
        </w:numPr>
        <w:spacing w:after="40" w:before="40"/>
      </w:pPr>
      <w:r>
        <w:rPr>
          <w:rFonts w:ascii="Calibri" w:cs="Calibri" w:eastAsia="Calibri" w:hAnsi="Calibri"/>
          <w:sz w:val="22"/>
          <w:szCs w:val="22"/>
        </w:rPr>
        <w:t xml:space="preserve">Username — Text input; validated against secrets.toml for the selected vendor</w:t>
      </w:r>
    </w:p>
    <w:p>
      <w:pPr>
        <w:pStyle w:val="ListParagraph"/>
        <w:numPr>
          <w:ilvl w:val="0"/>
          <w:numId w:val="2"/>
        </w:numPr>
        <w:spacing w:after="40" w:before="40"/>
      </w:pPr>
      <w:r>
        <w:rPr>
          <w:rFonts w:ascii="Calibri" w:cs="Calibri" w:eastAsia="Calibri" w:hAnsi="Calibri"/>
          <w:sz w:val="22"/>
          <w:szCs w:val="22"/>
        </w:rPr>
        <w:t xml:space="preserve">Password — Masked text input; SHA-256 hashed and compared to stored password hash</w:t>
      </w:r>
    </w:p>
    <w:p>
      <w:pPr>
        <w:spacing w:after="60" w:before="60"/>
      </w:pPr>
    </w:p>
    <w:p>
      <w:pPr>
        <w:pStyle w:val="Heading3"/>
        <w:spacing w:after="60" w:before="200"/>
        <w:outlineLvl w:val="2"/>
      </w:pPr>
      <w:r>
        <w:rPr>
          <w:rFonts w:ascii="Calibri" w:cs="Calibri" w:eastAsia="Calibri" w:hAnsi="Calibri"/>
          <w:color w:val="239CFF"/>
          <w:sz w:val="22"/>
          <w:szCs w:val="22"/>
        </w:rPr>
        <w:t xml:space="preserve">Login Behavior</w:t>
      </w:r>
    </w:p>
    <w:p>
      <w:pPr>
        <w:pStyle w:val="ListParagraph"/>
        <w:numPr>
          <w:ilvl w:val="0"/>
          <w:numId w:val="2"/>
        </w:numPr>
        <w:spacing w:after="40" w:before="40"/>
      </w:pPr>
      <w:r>
        <w:rPr>
          <w:rFonts w:ascii="Calibri" w:cs="Calibri" w:eastAsia="Calibri" w:hAnsi="Calibri"/>
          <w:sz w:val="22"/>
          <w:szCs w:val="22"/>
        </w:rPr>
        <w:t xml:space="preserve">On success: vendor-specific API credentials (token_url, api_key, api_secret, base URLs) are loaded into session state. The session token is cleared to force a fresh token fetch.</w:t>
      </w:r>
    </w:p>
    <w:p>
      <w:pPr>
        <w:pStyle w:val="ListParagraph"/>
        <w:numPr>
          <w:ilvl w:val="0"/>
          <w:numId w:val="2"/>
        </w:numPr>
        <w:spacing w:after="40" w:before="40"/>
      </w:pPr>
      <w:r>
        <w:rPr>
          <w:rFonts w:ascii="Calibri" w:cs="Calibri" w:eastAsia="Calibri" w:hAnsi="Calibri"/>
          <w:sz w:val="22"/>
          <w:szCs w:val="22"/>
        </w:rPr>
        <w:t xml:space="preserve">On failure: error message displayed inline ('Incorrect username or password').</w:t>
      </w:r>
    </w:p>
    <w:p>
      <w:pPr>
        <w:pStyle w:val="ListParagraph"/>
        <w:numPr>
          <w:ilvl w:val="0"/>
          <w:numId w:val="2"/>
        </w:numPr>
        <w:spacing w:after="40" w:before="40"/>
      </w:pPr>
      <w:r>
        <w:rPr>
          <w:rFonts w:ascii="Calibri" w:cs="Calibri" w:eastAsia="Calibri" w:hAnsi="Calibri"/>
          <w:sz w:val="22"/>
          <w:szCs w:val="22"/>
        </w:rPr>
        <w:t xml:space="preserve">Empty fields: validation message 'Please enter both username and password' shown.</w:t>
      </w:r>
    </w:p>
    <w:p>
      <w:pPr>
        <w:pStyle w:val="Heading2"/>
        <w:spacing w:after="80" w:before="280"/>
        <w:outlineLvl w:val="1"/>
      </w:pPr>
      <w:r>
        <w:rPr>
          <w:rFonts w:ascii="Calibri" w:cs="Calibri" w:eastAsia="Calibri" w:hAnsi="Calibri"/>
          <w:b/>
          <w:bCs/>
          <w:color w:val="239CFF"/>
          <w:sz w:val="26"/>
          <w:szCs w:val="26"/>
        </w:rPr>
        <w:t xml:space="preserve">2.2 Session and Security</w:t>
      </w:r>
    </w:p>
    <w:p>
      <w:pPr>
        <w:spacing w:after="80" w:before="80"/>
      </w:pPr>
      <w:r>
        <w:rPr>
          <w:rFonts w:ascii="Calibri" w:cs="Calibri" w:eastAsia="Calibri" w:hAnsi="Calibri"/>
          <w:color w:val="000000"/>
          <w:sz w:val="22"/>
          <w:szCs w:val="22"/>
        </w:rPr>
        <w:t xml:space="preserve">After login, the portal uses OAuth 2.0 Client Credentials flow to obtain an Ed-Fi ODS Bearer token. The token is cached in Streamlit session state and reused until expiry, at which point it is automatically refreshed. All API calls use 'Authorization: Bearer &lt;token&gt;' headers.</w:t>
      </w:r>
    </w:p>
    <w:p>
      <w:pPr>
        <w:pStyle w:val="Heading2"/>
        <w:spacing w:after="80" w:before="280"/>
        <w:outlineLvl w:val="1"/>
      </w:pPr>
      <w:r>
        <w:rPr>
          <w:rFonts w:ascii="Calibri" w:cs="Calibri" w:eastAsia="Calibri" w:hAnsi="Calibri"/>
          <w:b/>
          <w:bCs/>
          <w:color w:val="239CFF"/>
          <w:sz w:val="26"/>
          <w:szCs w:val="26"/>
        </w:rPr>
        <w:t xml:space="preserve">2.3 Logout</w:t>
      </w:r>
    </w:p>
    <w:p>
      <w:pPr>
        <w:spacing w:after="80" w:before="80"/>
      </w:pPr>
      <w:r>
        <w:rPr>
          <w:rFonts w:ascii="Calibri" w:cs="Calibri" w:eastAsia="Calibri" w:hAnsi="Calibri"/>
          <w:color w:val="000000"/>
          <w:sz w:val="22"/>
          <w:szCs w:val="22"/>
        </w:rPr>
        <w:t xml:space="preserve">The 'Sign Out' button appears in the sidebar. Clicking it clears all session keys (logged_in, current_vendor, vendor_name, vendor_creds, token_info_finance) and returns the user to the login screen.</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3. Navigation Overview</w:t>
      </w:r>
    </w:p>
    <w:p>
      <w:pPr>
        <w:spacing w:after="80" w:before="80"/>
      </w:pPr>
      <w:r>
        <w:rPr>
          <w:rFonts w:ascii="Calibri" w:cs="Calibri" w:eastAsia="Calibri" w:hAnsi="Calibri"/>
          <w:color w:val="000000"/>
          <w:sz w:val="22"/>
          <w:szCs w:val="22"/>
        </w:rPr>
        <w:t xml:space="preserve">After login, a persistent sidebar provides navigation between all six modules, organized in two sections:</w:t>
      </w:r>
    </w:p>
    <w:p>
      <w:pPr>
        <w:pStyle w:val="Heading2"/>
        <w:spacing w:after="80" w:before="280"/>
        <w:outlineLvl w:val="1"/>
      </w:pPr>
      <w:r>
        <w:rPr>
          <w:rFonts w:ascii="Calibri" w:cs="Calibri" w:eastAsia="Calibri" w:hAnsi="Calibri"/>
          <w:b/>
          <w:bCs/>
          <w:color w:val="239CFF"/>
          <w:sz w:val="26"/>
          <w:szCs w:val="26"/>
        </w:rPr>
        <w:t xml:space="preserve">3.1 Data Verification Section</w:t>
      </w:r>
    </w:p>
    <w:p>
      <w:pPr>
        <w:pStyle w:val="ListParagraph"/>
        <w:numPr>
          <w:ilvl w:val="0"/>
          <w:numId w:val="2"/>
        </w:numPr>
        <w:spacing w:after="40" w:before="40"/>
      </w:pPr>
      <w:r>
        <w:rPr>
          <w:rFonts w:ascii="Calibri" w:cs="Calibri" w:eastAsia="Calibri" w:hAnsi="Calibri"/>
          <w:sz w:val="22"/>
          <w:szCs w:val="22"/>
        </w:rPr>
        <w:t xml:space="preserve">🖥️ Local Capitalized Equipment — Validates equipment purchase records</w:t>
      </w:r>
    </w:p>
    <w:p>
      <w:pPr>
        <w:pStyle w:val="ListParagraph"/>
        <w:numPr>
          <w:ilvl w:val="0"/>
          <w:numId w:val="2"/>
        </w:numPr>
        <w:spacing w:after="40" w:before="40"/>
      </w:pPr>
      <w:r>
        <w:rPr>
          <w:rFonts w:ascii="Calibri" w:cs="Calibri" w:eastAsia="Calibri" w:hAnsi="Calibri"/>
          <w:sz w:val="22"/>
          <w:szCs w:val="22"/>
        </w:rPr>
        <w:t xml:space="preserve">🤝 Local Subawards — Validates subcontracting expenditure records</w:t>
      </w:r>
    </w:p>
    <w:p>
      <w:pPr>
        <w:pStyle w:val="ListParagraph"/>
        <w:numPr>
          <w:ilvl w:val="0"/>
          <w:numId w:val="2"/>
        </w:numPr>
        <w:spacing w:after="40" w:before="40"/>
      </w:pPr>
      <w:r>
        <w:rPr>
          <w:rFonts w:ascii="Calibri" w:cs="Calibri" w:eastAsia="Calibri" w:hAnsi="Calibri"/>
          <w:sz w:val="22"/>
          <w:szCs w:val="22"/>
        </w:rPr>
        <w:t xml:space="preserve">🏖️ Local Unused Leave Payment — Validates employee unused-leave payouts</w:t>
      </w:r>
    </w:p>
    <w:p>
      <w:pPr>
        <w:pStyle w:val="Heading2"/>
        <w:spacing w:after="80" w:before="280"/>
        <w:outlineLvl w:val="1"/>
      </w:pPr>
      <w:r>
        <w:rPr>
          <w:rFonts w:ascii="Calibri" w:cs="Calibri" w:eastAsia="Calibri" w:hAnsi="Calibri"/>
          <w:b/>
          <w:bCs/>
          <w:color w:val="239CFF"/>
          <w:sz w:val="26"/>
          <w:szCs w:val="26"/>
        </w:rPr>
        <w:t xml:space="preserve">3.2 Data Management Section</w:t>
      </w:r>
    </w:p>
    <w:p>
      <w:pPr>
        <w:pStyle w:val="ListParagraph"/>
        <w:numPr>
          <w:ilvl w:val="0"/>
          <w:numId w:val="2"/>
        </w:numPr>
        <w:spacing w:after="40" w:before="40"/>
      </w:pPr>
      <w:r>
        <w:rPr>
          <w:rFonts w:ascii="Calibri" w:cs="Calibri" w:eastAsia="Calibri" w:hAnsi="Calibri"/>
          <w:sz w:val="22"/>
          <w:szCs w:val="22"/>
        </w:rPr>
        <w:t xml:space="preserve">✏️ Financial Data Update — Confirms vendor field updates are reflected in ODS</w:t>
      </w:r>
    </w:p>
    <w:p>
      <w:pPr>
        <w:pStyle w:val="ListParagraph"/>
        <w:numPr>
          <w:ilvl w:val="0"/>
          <w:numId w:val="2"/>
        </w:numPr>
        <w:spacing w:after="40" w:before="40"/>
      </w:pPr>
      <w:r>
        <w:rPr>
          <w:rFonts w:ascii="Calibri" w:cs="Calibri" w:eastAsia="Calibri" w:hAnsi="Calibri"/>
          <w:sz w:val="22"/>
          <w:szCs w:val="22"/>
        </w:rPr>
        <w:t xml:space="preserve">🗑️ Financial Data Delete — Verifies specific records have been deleted</w:t>
      </w:r>
    </w:p>
    <w:p>
      <w:pPr>
        <w:pStyle w:val="ListParagraph"/>
        <w:numPr>
          <w:ilvl w:val="0"/>
          <w:numId w:val="2"/>
        </w:numPr>
        <w:spacing w:after="40" w:before="40"/>
      </w:pPr>
      <w:r>
        <w:rPr>
          <w:rFonts w:ascii="Calibri" w:cs="Calibri" w:eastAsia="Calibri" w:hAnsi="Calibri"/>
          <w:sz w:val="22"/>
          <w:szCs w:val="22"/>
        </w:rPr>
        <w:t xml:space="preserve">🔄 Financial Data Reset — Confirms all records are zeroed after a reset</w:t>
      </w:r>
    </w:p>
    <w:p>
      <w:pPr>
        <w:spacing w:after="80" w:before="80"/>
      </w:pPr>
      <w:r>
        <w:rPr>
          <w:rFonts w:ascii="Calibri" w:cs="Calibri" w:eastAsia="Calibri" w:hAnsi="Calibri"/>
          <w:color w:val="000000"/>
          <w:sz w:val="22"/>
          <w:szCs w:val="22"/>
        </w:rPr>
        <w:t xml:space="preserve">The active module is visually highlighted with a blue left border and background. The top ribbon on every page displays the portal name, current module title, and the logged-in vendor name with a 'LOGGED IN' badge.</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4. Capitalized Equipment Verification — Demo Flow</w:t>
      </w:r>
    </w:p>
    <w:p>
      <w:pPr>
        <w:pStyle w:val="Heading2"/>
        <w:spacing w:after="80" w:before="280"/>
        <w:outlineLvl w:val="1"/>
      </w:pPr>
      <w:r>
        <w:rPr>
          <w:rFonts w:ascii="Calibri" w:cs="Calibri" w:eastAsia="Calibri" w:hAnsi="Calibri"/>
          <w:b/>
          <w:bCs/>
          <w:color w:val="239CFF"/>
          <w:sz w:val="26"/>
          <w:szCs w:val="26"/>
        </w:rPr>
        <w:t xml:space="preserve">4.1 Overview</w:t>
      </w:r>
    </w:p>
    <w:p>
      <w:pPr>
        <w:spacing w:after="80" w:before="80"/>
      </w:pPr>
      <w:r>
        <w:rPr>
          <w:rFonts w:ascii="Calibri" w:cs="Calibri" w:eastAsia="Calibri" w:hAnsi="Calibri"/>
          <w:color w:val="000000"/>
          <w:sz w:val="22"/>
          <w:szCs w:val="22"/>
        </w:rPr>
        <w:t xml:space="preserve">This module validates the complete financial data chain: LocalAccount (parent) → LocalActual (parent) → LocalCapitalizedEquipment (child). It covers field-level validation, business rules, and all ten cross-cutting validation sections.</w:t>
      </w:r>
    </w:p>
    <w:p>
      <w:pPr>
        <w:pStyle w:val="Heading2"/>
        <w:spacing w:after="80" w:before="280"/>
        <w:outlineLvl w:val="1"/>
      </w:pPr>
      <w:r>
        <w:rPr>
          <w:rFonts w:ascii="Calibri" w:cs="Calibri" w:eastAsia="Calibri" w:hAnsi="Calibri"/>
          <w:b/>
          <w:bCs/>
          <w:color w:val="239CFF"/>
          <w:sz w:val="26"/>
          <w:szCs w:val="26"/>
        </w:rPr>
        <w:t xml:space="preserve">4.2 Step 1 — Account Lookup Parameters</w:t>
      </w:r>
    </w:p>
    <w:p>
      <w:pPr>
        <w:spacing w:after="80" w:before="80"/>
      </w:pPr>
      <w:r>
        <w:rPr>
          <w:rFonts w:ascii="Calibri" w:cs="Calibri" w:eastAsia="Calibri" w:hAnsi="Calibri"/>
          <w:color w:val="000000"/>
          <w:sz w:val="22"/>
          <w:szCs w:val="22"/>
        </w:rPr>
        <w:t xml:space="preserve">The user provides one or more account query parameter sets:</w:t>
      </w:r>
    </w:p>
    <w:p>
      <w:pPr>
        <w:pStyle w:val="ListParagraph"/>
        <w:numPr>
          <w:ilvl w:val="0"/>
          <w:numId w:val="2"/>
        </w:numPr>
        <w:spacing w:after="40" w:before="40"/>
      </w:pPr>
      <w:r>
        <w:rPr>
          <w:rFonts w:ascii="Calibri" w:cs="Calibri" w:eastAsia="Calibri" w:hAnsi="Calibri"/>
          <w:sz w:val="22"/>
          <w:szCs w:val="22"/>
        </w:rPr>
        <w:t xml:space="preserve">Account ID — E.g., S-1394-25110-940-5170-51 (format: Section-Fund-Function-Object-OpUnit-SubCat)</w:t>
      </w:r>
    </w:p>
    <w:p>
      <w:pPr>
        <w:pStyle w:val="ListParagraph"/>
        <w:numPr>
          <w:ilvl w:val="0"/>
          <w:numId w:val="2"/>
        </w:numPr>
        <w:spacing w:after="40" w:before="40"/>
      </w:pPr>
      <w:r>
        <w:rPr>
          <w:rFonts w:ascii="Calibri" w:cs="Calibri" w:eastAsia="Calibri" w:hAnsi="Calibri"/>
          <w:sz w:val="22"/>
          <w:szCs w:val="22"/>
        </w:rPr>
        <w:t xml:space="preserve">Edorg ID — Education Organization ID, e.g., 1094950000</w:t>
      </w:r>
    </w:p>
    <w:p>
      <w:pPr>
        <w:pStyle w:val="ListParagraph"/>
        <w:numPr>
          <w:ilvl w:val="0"/>
          <w:numId w:val="2"/>
        </w:numPr>
        <w:spacing w:after="40" w:before="40"/>
      </w:pPr>
      <w:r>
        <w:rPr>
          <w:rFonts w:ascii="Calibri" w:cs="Calibri" w:eastAsia="Calibri" w:hAnsi="Calibri"/>
          <w:sz w:val="22"/>
          <w:szCs w:val="22"/>
        </w:rPr>
        <w:t xml:space="preserve">Fiscal Year — e.g., 2025</w:t>
      </w:r>
    </w:p>
    <w:p>
      <w:pPr>
        <w:pStyle w:val="ListParagraph"/>
        <w:numPr>
          <w:ilvl w:val="0"/>
          <w:numId w:val="2"/>
        </w:numPr>
        <w:spacing w:after="40" w:before="40"/>
      </w:pPr>
      <w:r>
        <w:rPr>
          <w:rFonts w:ascii="Calibri" w:cs="Calibri" w:eastAsia="Calibri" w:hAnsi="Calibri"/>
          <w:sz w:val="22"/>
          <w:szCs w:val="22"/>
        </w:rPr>
        <w:t xml:space="preserve">Approved Budget (optional) — Used for Section 3 budget allocation check</w:t>
      </w:r>
    </w:p>
    <w:p>
      <w:pPr>
        <w:spacing w:after="80" w:before="80"/>
      </w:pPr>
      <w:r>
        <w:rPr>
          <w:rFonts w:ascii="Calibri" w:cs="Calibri" w:eastAsia="Calibri" w:hAnsi="Calibri"/>
          <w:color w:val="000000"/>
          <w:sz w:val="22"/>
          <w:szCs w:val="22"/>
        </w:rPr>
        <w:t xml:space="preserve">Multiple records can be added using '+ Add New Record'. Parameters propagate automatically to the sample data grids.</w:t>
      </w:r>
    </w:p>
    <w:p>
      <w:pPr>
        <w:pStyle w:val="Heading2"/>
        <w:spacing w:after="80" w:before="280"/>
        <w:outlineLvl w:val="1"/>
      </w:pPr>
      <w:r>
        <w:rPr>
          <w:rFonts w:ascii="Calibri" w:cs="Calibri" w:eastAsia="Calibri" w:hAnsi="Calibri"/>
          <w:b/>
          <w:bCs/>
          <w:color w:val="239CFF"/>
          <w:sz w:val="26"/>
          <w:szCs w:val="26"/>
        </w:rPr>
        <w:t xml:space="preserve">4.3 Step 2 — Vendor Sample Data</w:t>
      </w:r>
    </w:p>
    <w:p>
      <w:pPr>
        <w:spacing w:after="80" w:before="80"/>
      </w:pPr>
      <w:r>
        <w:rPr>
          <w:rFonts w:ascii="Calibri" w:cs="Calibri" w:eastAsia="Calibri" w:hAnsi="Calibri"/>
          <w:color w:val="000000"/>
          <w:sz w:val="22"/>
          <w:szCs w:val="22"/>
        </w:rPr>
        <w:t xml:space="preserve">Three editable data grids are shown in tabs (LocalAccount | LocalActual | LocalCapitalizedEquipment). Each is pre-populated with default sample values from FINANCE_SAMPLE_DEFAULTS. Users can modify expected values before running validation.</w:t>
      </w:r>
    </w:p>
    <w:p>
      <w:pPr>
        <w:pStyle w:val="Heading3"/>
        <w:spacing w:after="60" w:before="200"/>
        <w:outlineLvl w:val="2"/>
      </w:pPr>
      <w:r>
        <w:rPr>
          <w:rFonts w:ascii="Calibri" w:cs="Calibri" w:eastAsia="Calibri" w:hAnsi="Calibri"/>
          <w:color w:val="239CFF"/>
          <w:sz w:val="22"/>
          <w:szCs w:val="22"/>
        </w:rPr>
        <w:t xml:space="preserve">Sample Data — LocalCapitalizedEquipment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Field</w:t>
            </w:r>
          </w:p>
        </w:tc>
        <w:tc>
          <w:tcPr>
            <w:tcW w:type="dxa" w:w="63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Example Value</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RecordIdentifier</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2c24fe1e-55cd-4b85-bf47-852a36c863dd</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AccountIdentifier</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S-1394-25110-940-5170-51</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EquipmentType</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Bari Saxophone Eb</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EquipmentDescription</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Mini-bus</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AcquisitionDate</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2025-05-28</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PaymentAmount</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99645</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PerUnitCost</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11603</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CapitalizedThreshold</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5000</w:t>
            </w:r>
          </w:p>
        </w:tc>
      </w:tr>
      <w:tr>
        <w:tc>
          <w:tcPr>
            <w:tcW w:type="dxa" w:w="30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FinancialCollectionDescriptor</w:t>
            </w:r>
          </w:p>
        </w:tc>
        <w:tc>
          <w:tcPr>
            <w:tcW w:type="dxa" w:w="63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w:t>
            </w:r>
          </w:p>
        </w:tc>
      </w:tr>
    </w:tbl>
    <w:p>
      <w:pPr>
        <w:pStyle w:val="Heading2"/>
        <w:spacing w:after="80" w:before="280"/>
        <w:outlineLvl w:val="1"/>
      </w:pPr>
      <w:r>
        <w:rPr>
          <w:rFonts w:ascii="Calibri" w:cs="Calibri" w:eastAsia="Calibri" w:hAnsi="Calibri"/>
          <w:b/>
          <w:bCs/>
          <w:color w:val="239CFF"/>
          <w:sz w:val="26"/>
          <w:szCs w:val="26"/>
        </w:rPr>
        <w:t xml:space="preserve">4.4 Step 3 — Fetch and Validate</w:t>
      </w:r>
    </w:p>
    <w:p>
      <w:pPr>
        <w:spacing w:after="80" w:before="80"/>
      </w:pPr>
      <w:r>
        <w:rPr>
          <w:rFonts w:ascii="Calibri" w:cs="Calibri" w:eastAsia="Calibri" w:hAnsi="Calibri"/>
          <w:color w:val="000000"/>
          <w:sz w:val="22"/>
          <w:szCs w:val="22"/>
        </w:rPr>
        <w:t xml:space="preserve">Clicking '▶ Fetch &amp; Validate All Resources' fires sequential GET requests to the Ed-Fi ODS API for all three resources. Results are presented in tabs. Each tab shows: summary stat cards, field-level validation table, and business rule evaluation table.</w:t>
      </w:r>
    </w:p>
    <w:p>
      <w:pPr>
        <w:pStyle w:val="Heading3"/>
        <w:spacing w:after="60" w:before="200"/>
        <w:outlineLvl w:val="2"/>
      </w:pPr>
      <w:r>
        <w:rPr>
          <w:rFonts w:ascii="Calibri" w:cs="Calibri" w:eastAsia="Calibri" w:hAnsi="Calibri"/>
          <w:color w:val="239CFF"/>
          <w:sz w:val="22"/>
          <w:szCs w:val="22"/>
        </w:rPr>
        <w:t xml:space="preserve">Expected Pass Scenario</w:t>
      </w:r>
    </w:p>
    <w:p>
      <w:pPr>
        <w:pStyle w:val="ListParagraph"/>
        <w:numPr>
          <w:ilvl w:val="0"/>
          <w:numId w:val="2"/>
        </w:numPr>
        <w:spacing w:after="40" w:before="40"/>
      </w:pPr>
      <w:r>
        <w:rPr>
          <w:rFonts w:ascii="Calibri" w:cs="Calibri" w:eastAsia="Calibri" w:hAnsi="Calibri"/>
          <w:sz w:val="22"/>
          <w:szCs w:val="22"/>
        </w:rPr>
        <w:t xml:space="preserve">All required fields populated and non-empty</w:t>
      </w:r>
    </w:p>
    <w:p>
      <w:pPr>
        <w:pStyle w:val="ListParagraph"/>
        <w:numPr>
          <w:ilvl w:val="0"/>
          <w:numId w:val="2"/>
        </w:numPr>
        <w:spacing w:after="40" w:before="40"/>
      </w:pPr>
      <w:r>
        <w:rPr>
          <w:rFonts w:ascii="Calibri" w:cs="Calibri" w:eastAsia="Calibri" w:hAnsi="Calibri"/>
          <w:sz w:val="22"/>
          <w:szCs w:val="22"/>
        </w:rPr>
        <w:t xml:space="preserve">AccountIdentifier matches query param and has correct Section-Fund-Function-Object-OpUnit-SubCat structure</w:t>
      </w:r>
    </w:p>
    <w:p>
      <w:pPr>
        <w:pStyle w:val="ListParagraph"/>
        <w:numPr>
          <w:ilvl w:val="0"/>
          <w:numId w:val="2"/>
        </w:numPr>
        <w:spacing w:after="40" w:before="40"/>
      </w:pPr>
      <w:r>
        <w:rPr>
          <w:rFonts w:ascii="Calibri" w:cs="Calibri" w:eastAsia="Calibri" w:hAnsi="Calibri"/>
          <w:sz w:val="22"/>
          <w:szCs w:val="22"/>
        </w:rPr>
        <w:t xml:space="preserve">PerUnitCost (11603) ≤ PaymentAmount (99645) — Pass</w:t>
      </w:r>
    </w:p>
    <w:p>
      <w:pPr>
        <w:pStyle w:val="ListParagraph"/>
        <w:numPr>
          <w:ilvl w:val="0"/>
          <w:numId w:val="2"/>
        </w:numPr>
        <w:spacing w:after="40" w:before="40"/>
      </w:pPr>
      <w:r>
        <w:rPr>
          <w:rFonts w:ascii="Calibri" w:cs="Calibri" w:eastAsia="Calibri" w:hAnsi="Calibri"/>
          <w:sz w:val="22"/>
          <w:szCs w:val="22"/>
        </w:rPr>
        <w:t xml:space="preserve">PaymentAmount (99645) ≥ CapitalizedThreshold (5000) — Pass</w:t>
      </w:r>
    </w:p>
    <w:p>
      <w:pPr>
        <w:pStyle w:val="ListParagraph"/>
        <w:numPr>
          <w:ilvl w:val="0"/>
          <w:numId w:val="2"/>
        </w:numPr>
        <w:spacing w:after="40" w:before="40"/>
      </w:pPr>
      <w:r>
        <w:rPr>
          <w:rFonts w:ascii="Calibri" w:cs="Calibri" w:eastAsia="Calibri" w:hAnsi="Calibri"/>
          <w:sz w:val="22"/>
          <w:szCs w:val="22"/>
        </w:rPr>
        <w:t xml:space="preserve">AcquisitionDate (2025-05-28) ≤ AsOfDate (2025-10-06) — Pass</w:t>
      </w:r>
    </w:p>
    <w:p>
      <w:pPr>
        <w:pStyle w:val="ListParagraph"/>
        <w:numPr>
          <w:ilvl w:val="0"/>
          <w:numId w:val="2"/>
        </w:numPr>
        <w:spacing w:after="40" w:before="40"/>
      </w:pPr>
      <w:r>
        <w:rPr>
          <w:rFonts w:ascii="Calibri" w:cs="Calibri" w:eastAsia="Calibri" w:hAnsi="Calibri"/>
          <w:sz w:val="22"/>
          <w:szCs w:val="22"/>
        </w:rPr>
        <w:t xml:space="preserve">All dates within FiscalYear 2025 window (2024-07-01 to 2025-06-30)</w:t>
      </w:r>
    </w:p>
    <w:p>
      <w:pPr>
        <w:pStyle w:val="Heading3"/>
        <w:spacing w:after="60" w:before="200"/>
        <w:outlineLvl w:val="2"/>
      </w:pPr>
      <w:r>
        <w:rPr>
          <w:rFonts w:ascii="Calibri" w:cs="Calibri" w:eastAsia="Calibri" w:hAnsi="Calibri"/>
          <w:color w:val="239CFF"/>
          <w:sz w:val="22"/>
          <w:szCs w:val="22"/>
        </w:rPr>
        <w:t xml:space="preserve">Expected Fail Scenario</w:t>
      </w:r>
    </w:p>
    <w:p>
      <w:pPr>
        <w:pStyle w:val="ListParagraph"/>
        <w:numPr>
          <w:ilvl w:val="0"/>
          <w:numId w:val="2"/>
        </w:numPr>
        <w:spacing w:after="40" w:before="40"/>
      </w:pPr>
      <w:r>
        <w:rPr>
          <w:rFonts w:ascii="Calibri" w:cs="Calibri" w:eastAsia="Calibri" w:hAnsi="Calibri"/>
          <w:sz w:val="22"/>
          <w:szCs w:val="22"/>
        </w:rPr>
        <w:t xml:space="preserve">PerUnitCost = 120000 &gt; PaymentAmount = 99645 → Rule 'PerUnitCost ≤ PaymentAmount' FAIL</w:t>
      </w:r>
    </w:p>
    <w:p>
      <w:pPr>
        <w:pStyle w:val="ListParagraph"/>
        <w:numPr>
          <w:ilvl w:val="0"/>
          <w:numId w:val="2"/>
        </w:numPr>
        <w:spacing w:after="40" w:before="40"/>
      </w:pPr>
      <w:r>
        <w:rPr>
          <w:rFonts w:ascii="Calibri" w:cs="Calibri" w:eastAsia="Calibri" w:hAnsi="Calibri"/>
          <w:sz w:val="22"/>
          <w:szCs w:val="22"/>
        </w:rPr>
        <w:t xml:space="preserve">RecordIdentifier missing or empty → Mandatory field FAIL</w:t>
      </w:r>
    </w:p>
    <w:p>
      <w:pPr>
        <w:pStyle w:val="ListParagraph"/>
        <w:numPr>
          <w:ilvl w:val="0"/>
          <w:numId w:val="2"/>
        </w:numPr>
        <w:spacing w:after="40" w:before="40"/>
      </w:pPr>
      <w:r>
        <w:rPr>
          <w:rFonts w:ascii="Calibri" w:cs="Calibri" w:eastAsia="Calibri" w:hAnsi="Calibri"/>
          <w:sz w:val="22"/>
          <w:szCs w:val="22"/>
        </w:rPr>
        <w:t xml:space="preserve">AcquisitionDate = 2026-03-15 outside FiscalYear 2025 → Date range FAIL</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5. Subawards Verification — Demo Flow</w:t>
      </w:r>
    </w:p>
    <w:p>
      <w:pPr>
        <w:pStyle w:val="Heading2"/>
        <w:spacing w:after="80" w:before="280"/>
        <w:outlineLvl w:val="1"/>
      </w:pPr>
      <w:r>
        <w:rPr>
          <w:rFonts w:ascii="Calibri" w:cs="Calibri" w:eastAsia="Calibri" w:hAnsi="Calibri"/>
          <w:b/>
          <w:bCs/>
          <w:color w:val="239CFF"/>
          <w:sz w:val="26"/>
          <w:szCs w:val="26"/>
        </w:rPr>
        <w:t xml:space="preserve">5.1 Overview</w:t>
      </w:r>
    </w:p>
    <w:p>
      <w:pPr>
        <w:spacing w:after="80" w:before="80"/>
      </w:pPr>
      <w:r>
        <w:rPr>
          <w:rFonts w:ascii="Calibri" w:cs="Calibri" w:eastAsia="Calibri" w:hAnsi="Calibri"/>
          <w:color w:val="000000"/>
          <w:sz w:val="22"/>
          <w:szCs w:val="22"/>
        </w:rPr>
        <w:t xml:space="preserve">This module validates LocalAccount → LocalActual → LocalSubaward. The primary business rule is the ExpenditureAmount split validation: First50k + Excess50k = ExpenditureAmount.</w:t>
      </w:r>
    </w:p>
    <w:p>
      <w:pPr>
        <w:pStyle w:val="Heading2"/>
        <w:spacing w:after="80" w:before="280"/>
        <w:outlineLvl w:val="1"/>
      </w:pPr>
      <w:r>
        <w:rPr>
          <w:rFonts w:ascii="Calibri" w:cs="Calibri" w:eastAsia="Calibri" w:hAnsi="Calibri"/>
          <w:b/>
          <w:bCs/>
          <w:color w:val="239CFF"/>
          <w:sz w:val="26"/>
          <w:szCs w:val="26"/>
        </w:rPr>
        <w:t xml:space="preserve">5.2 Key Input Parameters</w:t>
      </w:r>
    </w:p>
    <w:p>
      <w:pPr>
        <w:spacing w:after="80" w:before="80"/>
      </w:pPr>
      <w:r>
        <w:rPr>
          <w:rFonts w:ascii="Calibri" w:cs="Calibri" w:eastAsia="Calibri" w:hAnsi="Calibri"/>
          <w:color w:val="000000"/>
          <w:sz w:val="22"/>
          <w:szCs w:val="22"/>
        </w:rPr>
        <w:t xml:space="preserve">Same as Equipment: AccountID, EdorgID, FiscalYear. Sample data for LocalSubaward includes ContractNumberOfYears, DepartmentName, ExpenditureAmount, First50k, Excess50k, SubawardAmount, VendorOrganizationName.</w:t>
      </w:r>
    </w:p>
    <w:p>
      <w:pPr>
        <w:pStyle w:val="Heading2"/>
        <w:spacing w:after="80" w:before="280"/>
        <w:outlineLvl w:val="1"/>
      </w:pPr>
      <w:r>
        <w:rPr>
          <w:rFonts w:ascii="Calibri" w:cs="Calibri" w:eastAsia="Calibri" w:hAnsi="Calibri"/>
          <w:b/>
          <w:bCs/>
          <w:color w:val="239CFF"/>
          <w:sz w:val="26"/>
          <w:szCs w:val="26"/>
        </w:rPr>
        <w:t xml:space="preserve">5.3 Key Business Rule Demo — $50K Split</w:t>
      </w:r>
    </w:p>
    <w:p>
      <w:pPr>
        <w:spacing w:after="80" w:before="80"/>
      </w:pPr>
      <w:r>
        <w:rPr>
          <w:rFonts w:ascii="Calibri" w:cs="Calibri" w:eastAsia="Calibri" w:hAnsi="Calibri"/>
          <w:color w:val="000000"/>
          <w:sz w:val="22"/>
          <w:szCs w:val="22"/>
        </w:rPr>
        <w:t xml:space="preserve">The portal enforces the following logic for the $50K split:</w:t>
      </w:r>
    </w:p>
    <w:p>
      <w:pPr>
        <w:pStyle w:val="ListParagraph"/>
        <w:numPr>
          <w:ilvl w:val="0"/>
          <w:numId w:val="2"/>
        </w:numPr>
        <w:spacing w:after="40" w:before="40"/>
      </w:pPr>
      <w:r>
        <w:rPr>
          <w:rFonts w:ascii="Calibri" w:cs="Calibri" w:eastAsia="Calibri" w:hAnsi="Calibri"/>
          <w:sz w:val="22"/>
          <w:szCs w:val="22"/>
        </w:rPr>
        <w:t xml:space="preserve">If ExpenditureAmount ≤ 50,000: First50k = ExpenditureAmount and Excess50k = 0</w:t>
      </w:r>
    </w:p>
    <w:p>
      <w:pPr>
        <w:pStyle w:val="ListParagraph"/>
        <w:numPr>
          <w:ilvl w:val="0"/>
          <w:numId w:val="2"/>
        </w:numPr>
        <w:spacing w:after="40" w:before="40"/>
      </w:pPr>
      <w:r>
        <w:rPr>
          <w:rFonts w:ascii="Calibri" w:cs="Calibri" w:eastAsia="Calibri" w:hAnsi="Calibri"/>
          <w:sz w:val="22"/>
          <w:szCs w:val="22"/>
        </w:rPr>
        <w:t xml:space="preserve">If ExpenditureAmount &gt; 50,000: First50k = 50,000 and Excess50k = ExpenditureAmount − 50,000</w:t>
      </w:r>
    </w:p>
    <w:p>
      <w:pPr>
        <w:pStyle w:val="ListParagraph"/>
        <w:numPr>
          <w:ilvl w:val="0"/>
          <w:numId w:val="2"/>
        </w:numPr>
        <w:spacing w:after="40" w:before="40"/>
      </w:pPr>
      <w:r>
        <w:rPr>
          <w:rFonts w:ascii="Calibri" w:cs="Calibri" w:eastAsia="Calibri" w:hAnsi="Calibri"/>
          <w:sz w:val="22"/>
          <w:szCs w:val="22"/>
        </w:rPr>
        <w:t xml:space="preserve">In all cases: First50k + Excess50k = ExpenditureAmount must hold</w:t>
      </w:r>
    </w:p>
    <w:p>
      <w:pPr>
        <w:pStyle w:val="ListParagraph"/>
        <w:numPr>
          <w:ilvl w:val="0"/>
          <w:numId w:val="2"/>
        </w:numPr>
        <w:spacing w:after="40" w:before="40"/>
      </w:pPr>
      <w:r>
        <w:rPr>
          <w:rFonts w:ascii="Calibri" w:cs="Calibri" w:eastAsia="Calibri" w:hAnsi="Calibri"/>
          <w:sz w:val="22"/>
          <w:szCs w:val="22"/>
        </w:rPr>
        <w:t xml:space="preserve">SubawardAmount must be ≤ ExpenditureAmount</w:t>
      </w:r>
    </w:p>
    <w:p>
      <w:pPr>
        <w:pStyle w:val="Heading3"/>
        <w:spacing w:after="60" w:before="200"/>
        <w:outlineLvl w:val="2"/>
      </w:pPr>
      <w:r>
        <w:rPr>
          <w:rFonts w:ascii="Calibri" w:cs="Calibri" w:eastAsia="Calibri" w:hAnsi="Calibri"/>
          <w:color w:val="239CFF"/>
          <w:sz w:val="22"/>
          <w:szCs w:val="22"/>
        </w:rPr>
        <w:t xml:space="preserve">Demo Scenario — ExpenditureAmount = 24,937</w:t>
      </w:r>
    </w:p>
    <w:p>
      <w:pPr>
        <w:spacing w:after="80" w:before="80"/>
      </w:pPr>
      <w:r>
        <w:rPr>
          <w:rFonts w:ascii="Calibri" w:cs="Calibri" w:eastAsia="Calibri" w:hAnsi="Calibri"/>
          <w:color w:val="000000"/>
          <w:sz w:val="22"/>
          <w:szCs w:val="22"/>
        </w:rPr>
        <w:t xml:space="preserve">Since 24,937 ≤ 50,000: First50k should equal 24,937 and Excess50k should be 0. The portal validates all four rules simultaneously and flags any deviation.</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6. Unused Leave Payment Verification — Demo Flow</w:t>
      </w:r>
    </w:p>
    <w:p>
      <w:pPr>
        <w:pStyle w:val="Heading2"/>
        <w:spacing w:after="80" w:before="280"/>
        <w:outlineLvl w:val="1"/>
      </w:pPr>
      <w:r>
        <w:rPr>
          <w:rFonts w:ascii="Calibri" w:cs="Calibri" w:eastAsia="Calibri" w:hAnsi="Calibri"/>
          <w:b/>
          <w:bCs/>
          <w:color w:val="239CFF"/>
          <w:sz w:val="26"/>
          <w:szCs w:val="26"/>
        </w:rPr>
        <w:t xml:space="preserve">6.1 Overview</w:t>
      </w:r>
    </w:p>
    <w:p>
      <w:pPr>
        <w:spacing w:after="80" w:before="80"/>
      </w:pPr>
      <w:r>
        <w:rPr>
          <w:rFonts w:ascii="Calibri" w:cs="Calibri" w:eastAsia="Calibri" w:hAnsi="Calibri"/>
          <w:color w:val="000000"/>
          <w:sz w:val="22"/>
          <w:szCs w:val="22"/>
        </w:rPr>
        <w:t xml:space="preserve">This module validates LocalAccount → LocalActual → LocalUnusedLeavePayment. The module tracks individual employee leave payouts including Direct and Indirect amounts.</w:t>
      </w:r>
    </w:p>
    <w:p>
      <w:pPr>
        <w:pStyle w:val="Heading2"/>
        <w:spacing w:after="80" w:before="280"/>
        <w:outlineLvl w:val="1"/>
      </w:pPr>
      <w:r>
        <w:rPr>
          <w:rFonts w:ascii="Calibri" w:cs="Calibri" w:eastAsia="Calibri" w:hAnsi="Calibri"/>
          <w:b/>
          <w:bCs/>
          <w:color w:val="239CFF"/>
          <w:sz w:val="26"/>
          <w:szCs w:val="26"/>
        </w:rPr>
        <w:t xml:space="preserve">6.2 Key Fields</w:t>
      </w:r>
    </w:p>
    <w:p>
      <w:pPr>
        <w:pStyle w:val="ListParagraph"/>
        <w:numPr>
          <w:ilvl w:val="0"/>
          <w:numId w:val="2"/>
        </w:numPr>
        <w:spacing w:after="40" w:before="40"/>
      </w:pPr>
      <w:r>
        <w:rPr>
          <w:rFonts w:ascii="Calibri" w:cs="Calibri" w:eastAsia="Calibri" w:hAnsi="Calibri"/>
          <w:sz w:val="22"/>
          <w:szCs w:val="22"/>
        </w:rPr>
        <w:t xml:space="preserve">RecordIdentifier — Mandatory UUID-style identifier for each leave payment record</w:t>
      </w:r>
    </w:p>
    <w:p>
      <w:pPr>
        <w:pStyle w:val="ListParagraph"/>
        <w:numPr>
          <w:ilvl w:val="0"/>
          <w:numId w:val="2"/>
        </w:numPr>
        <w:spacing w:after="40" w:before="40"/>
      </w:pPr>
      <w:r>
        <w:rPr>
          <w:rFonts w:ascii="Calibri" w:cs="Calibri" w:eastAsia="Calibri" w:hAnsi="Calibri"/>
          <w:sz w:val="22"/>
          <w:szCs w:val="22"/>
        </w:rPr>
        <w:t xml:space="preserve">EmployeeName — Employee receiving the payout</w:t>
      </w:r>
    </w:p>
    <w:p>
      <w:pPr>
        <w:pStyle w:val="ListParagraph"/>
        <w:numPr>
          <w:ilvl w:val="0"/>
          <w:numId w:val="2"/>
        </w:numPr>
        <w:spacing w:after="40" w:before="40"/>
      </w:pPr>
      <w:r>
        <w:rPr>
          <w:rFonts w:ascii="Calibri" w:cs="Calibri" w:eastAsia="Calibri" w:hAnsi="Calibri"/>
          <w:sz w:val="22"/>
          <w:szCs w:val="22"/>
        </w:rPr>
        <w:t xml:space="preserve">JobTitle — Employee job title</w:t>
      </w:r>
    </w:p>
    <w:p>
      <w:pPr>
        <w:pStyle w:val="ListParagraph"/>
        <w:numPr>
          <w:ilvl w:val="0"/>
          <w:numId w:val="2"/>
        </w:numPr>
        <w:spacing w:after="40" w:before="40"/>
      </w:pPr>
      <w:r>
        <w:rPr>
          <w:rFonts w:ascii="Calibri" w:cs="Calibri" w:eastAsia="Calibri" w:hAnsi="Calibri"/>
          <w:sz w:val="22"/>
          <w:szCs w:val="22"/>
        </w:rPr>
        <w:t xml:space="preserve">DirectUnusedLeavePaymentAmount — Direct payout component</w:t>
      </w:r>
    </w:p>
    <w:p>
      <w:pPr>
        <w:pStyle w:val="ListParagraph"/>
        <w:numPr>
          <w:ilvl w:val="0"/>
          <w:numId w:val="2"/>
        </w:numPr>
        <w:spacing w:after="40" w:before="40"/>
      </w:pPr>
      <w:r>
        <w:rPr>
          <w:rFonts w:ascii="Calibri" w:cs="Calibri" w:eastAsia="Calibri" w:hAnsi="Calibri"/>
          <w:sz w:val="22"/>
          <w:szCs w:val="22"/>
        </w:rPr>
        <w:t xml:space="preserve">IndirectUnusedLeavePaymentAmount — Indirect payout component</w:t>
      </w:r>
    </w:p>
    <w:p>
      <w:pPr>
        <w:pStyle w:val="ListParagraph"/>
        <w:numPr>
          <w:ilvl w:val="0"/>
          <w:numId w:val="2"/>
        </w:numPr>
        <w:spacing w:after="40" w:before="40"/>
      </w:pPr>
      <w:r>
        <w:rPr>
          <w:rFonts w:ascii="Calibri" w:cs="Calibri" w:eastAsia="Calibri" w:hAnsi="Calibri"/>
          <w:sz w:val="22"/>
          <w:szCs w:val="22"/>
        </w:rPr>
        <w:t xml:space="preserve">PaymentDate — Date of payment; must be ≤ AsOfDate and within FiscalYear</w:t>
      </w:r>
    </w:p>
    <w:p>
      <w:pPr>
        <w:pStyle w:val="Heading2"/>
        <w:spacing w:after="80" w:before="280"/>
        <w:outlineLvl w:val="1"/>
      </w:pPr>
      <w:r>
        <w:rPr>
          <w:rFonts w:ascii="Calibri" w:cs="Calibri" w:eastAsia="Calibri" w:hAnsi="Calibri"/>
          <w:b/>
          <w:bCs/>
          <w:color w:val="239CFF"/>
          <w:sz w:val="26"/>
          <w:szCs w:val="26"/>
        </w:rPr>
        <w:t xml:space="preserve">6.3 Business Rule Demo</w:t>
      </w:r>
    </w:p>
    <w:p>
      <w:pPr>
        <w:spacing w:after="80" w:before="80"/>
      </w:pPr>
      <w:r>
        <w:rPr>
          <w:rFonts w:ascii="Calibri" w:cs="Calibri" w:eastAsia="Calibri" w:hAnsi="Calibri"/>
          <w:color w:val="000000"/>
          <w:sz w:val="22"/>
          <w:szCs w:val="22"/>
        </w:rPr>
        <w:t xml:space="preserve">The core rule: Direct + Indirect = Total Leave Payment. Example: Direct = 9,213 + Indirect = 8,162 = Total 17,375. Both values must be non-negative. If either is missing, the rule is marked FAIL.</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7. Financial Data Update — Demo Flow</w:t>
      </w:r>
    </w:p>
    <w:p>
      <w:pPr>
        <w:pStyle w:val="Heading2"/>
        <w:spacing w:after="80" w:before="280"/>
        <w:outlineLvl w:val="1"/>
      </w:pPr>
      <w:r>
        <w:rPr>
          <w:rFonts w:ascii="Calibri" w:cs="Calibri" w:eastAsia="Calibri" w:hAnsi="Calibri"/>
          <w:b/>
          <w:bCs/>
          <w:color w:val="239CFF"/>
          <w:sz w:val="26"/>
          <w:szCs w:val="26"/>
        </w:rPr>
        <w:t xml:space="preserve">7.1 Overview</w:t>
      </w:r>
    </w:p>
    <w:p>
      <w:pPr>
        <w:spacing w:after="80" w:before="80"/>
      </w:pPr>
      <w:r>
        <w:rPr>
          <w:rFonts w:ascii="Calibri" w:cs="Calibri" w:eastAsia="Calibri" w:hAnsi="Calibri"/>
          <w:color w:val="000000"/>
          <w:sz w:val="22"/>
          <w:szCs w:val="22"/>
        </w:rPr>
        <w:t xml:space="preserve">This module verifies that field updates submitted by the vendor are reflected in the live ODS API. The user provides expected updated values and the system fetches live data to compare field-by-field.</w:t>
      </w:r>
    </w:p>
    <w:p>
      <w:pPr>
        <w:pStyle w:val="Heading2"/>
        <w:spacing w:after="80" w:before="280"/>
        <w:outlineLvl w:val="1"/>
      </w:pPr>
      <w:r>
        <w:rPr>
          <w:rFonts w:ascii="Calibri" w:cs="Calibri" w:eastAsia="Calibri" w:hAnsi="Calibri"/>
          <w:b/>
          <w:bCs/>
          <w:color w:val="239CFF"/>
          <w:sz w:val="26"/>
          <w:szCs w:val="26"/>
        </w:rPr>
        <w:t xml:space="preserve">7.2 Inputs</w:t>
      </w:r>
    </w:p>
    <w:p>
      <w:pPr>
        <w:pStyle w:val="ListParagraph"/>
        <w:numPr>
          <w:ilvl w:val="0"/>
          <w:numId w:val="2"/>
        </w:numPr>
        <w:spacing w:after="40" w:before="40"/>
      </w:pPr>
      <w:r>
        <w:rPr>
          <w:rFonts w:ascii="Calibri" w:cs="Calibri" w:eastAsia="Calibri" w:hAnsi="Calibri"/>
          <w:sz w:val="22"/>
          <w:szCs w:val="22"/>
        </w:rPr>
        <w:t xml:space="preserve">AccountIdentifier — The account whose records were updated</w:t>
      </w:r>
    </w:p>
    <w:p>
      <w:pPr>
        <w:pStyle w:val="ListParagraph"/>
        <w:numPr>
          <w:ilvl w:val="0"/>
          <w:numId w:val="2"/>
        </w:numPr>
        <w:spacing w:after="40" w:before="40"/>
      </w:pPr>
      <w:r>
        <w:rPr>
          <w:rFonts w:ascii="Calibri" w:cs="Calibri" w:eastAsia="Calibri" w:hAnsi="Calibri"/>
          <w:sz w:val="22"/>
          <w:szCs w:val="22"/>
        </w:rPr>
        <w:t xml:space="preserve">EducationOrganizationId and FiscalYear — Standard query parameters</w:t>
      </w:r>
    </w:p>
    <w:p>
      <w:pPr>
        <w:pStyle w:val="ListParagraph"/>
        <w:numPr>
          <w:ilvl w:val="0"/>
          <w:numId w:val="2"/>
        </w:numPr>
        <w:spacing w:after="40" w:before="40"/>
      </w:pPr>
      <w:r>
        <w:rPr>
          <w:rFonts w:ascii="Calibri" w:cs="Calibri" w:eastAsia="Calibri" w:hAnsi="Calibri"/>
          <w:sz w:val="22"/>
          <w:szCs w:val="22"/>
        </w:rPr>
        <w:t xml:space="preserve">Per-resource expected values — Enter updated field values in the sample data grids</w:t>
      </w:r>
    </w:p>
    <w:p>
      <w:pPr>
        <w:pStyle w:val="Heading2"/>
        <w:spacing w:after="80" w:before="280"/>
        <w:outlineLvl w:val="1"/>
      </w:pPr>
      <w:r>
        <w:rPr>
          <w:rFonts w:ascii="Calibri" w:cs="Calibri" w:eastAsia="Calibri" w:hAnsi="Calibri"/>
          <w:b/>
          <w:bCs/>
          <w:color w:val="239CFF"/>
          <w:sz w:val="26"/>
          <w:szCs w:val="26"/>
        </w:rPr>
        <w:t xml:space="preserve">7.3 Outcome Interpretation</w:t>
      </w:r>
    </w:p>
    <w:p>
      <w:pPr>
        <w:pStyle w:val="ListParagraph"/>
        <w:numPr>
          <w:ilvl w:val="0"/>
          <w:numId w:val="2"/>
        </w:numPr>
        <w:spacing w:after="40" w:before="40"/>
      </w:pPr>
      <w:r>
        <w:rPr>
          <w:rFonts w:ascii="Calibri" w:cs="Calibri" w:eastAsia="Calibri" w:hAnsi="Calibri"/>
          <w:sz w:val="22"/>
          <w:szCs w:val="22"/>
        </w:rPr>
        <w:t xml:space="preserve">Match: API-returned value equals expected value → ✅ Pass</w:t>
      </w:r>
    </w:p>
    <w:p>
      <w:pPr>
        <w:pStyle w:val="ListParagraph"/>
        <w:numPr>
          <w:ilvl w:val="0"/>
          <w:numId w:val="2"/>
        </w:numPr>
        <w:spacing w:after="40" w:before="40"/>
      </w:pPr>
      <w:r>
        <w:rPr>
          <w:rFonts w:ascii="Calibri" w:cs="Calibri" w:eastAsia="Calibri" w:hAnsi="Calibri"/>
          <w:sz w:val="22"/>
          <w:szCs w:val="22"/>
        </w:rPr>
        <w:t xml:space="preserve">Mismatch: API-returned value differs from expected → ❌ Fail (vendor must repost)</w:t>
      </w:r>
    </w:p>
    <w:p>
      <w:pPr>
        <w:pStyle w:val="ListParagraph"/>
        <w:numPr>
          <w:ilvl w:val="0"/>
          <w:numId w:val="2"/>
        </w:numPr>
        <w:spacing w:after="40" w:before="40"/>
      </w:pPr>
      <w:r>
        <w:rPr>
          <w:rFonts w:ascii="Calibri" w:cs="Calibri" w:eastAsia="Calibri" w:hAnsi="Calibri"/>
          <w:sz w:val="22"/>
          <w:szCs w:val="22"/>
        </w:rPr>
        <w:t xml:space="preserve">Field missing in API response → ❌ Fail</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8. Financial Data Delete — Demo Flow</w:t>
      </w:r>
    </w:p>
    <w:p>
      <w:pPr>
        <w:pStyle w:val="Heading2"/>
        <w:spacing w:after="80" w:before="280"/>
        <w:outlineLvl w:val="1"/>
      </w:pPr>
      <w:r>
        <w:rPr>
          <w:rFonts w:ascii="Calibri" w:cs="Calibri" w:eastAsia="Calibri" w:hAnsi="Calibri"/>
          <w:b/>
          <w:bCs/>
          <w:color w:val="239CFF"/>
          <w:sz w:val="26"/>
          <w:szCs w:val="26"/>
        </w:rPr>
        <w:t xml:space="preserve">8.1 Overview</w:t>
      </w:r>
    </w:p>
    <w:p>
      <w:pPr>
        <w:spacing w:after="80" w:before="80"/>
      </w:pPr>
      <w:r>
        <w:rPr>
          <w:rFonts w:ascii="Calibri" w:cs="Calibri" w:eastAsia="Calibri" w:hAnsi="Calibri"/>
          <w:color w:val="000000"/>
          <w:sz w:val="22"/>
          <w:szCs w:val="22"/>
        </w:rPr>
        <w:t xml:space="preserve">This module verifies that specific records (identified by Record IDs) have been permanently deleted from the ODS. A GET request is sent to the path-parameter endpoint for each of the five resources.</w:t>
      </w:r>
    </w:p>
    <w:p>
      <w:pPr>
        <w:pStyle w:val="Heading2"/>
        <w:spacing w:after="80" w:before="280"/>
        <w:outlineLvl w:val="1"/>
      </w:pPr>
      <w:r>
        <w:rPr>
          <w:rFonts w:ascii="Calibri" w:cs="Calibri" w:eastAsia="Calibri" w:hAnsi="Calibri"/>
          <w:b/>
          <w:bCs/>
          <w:color w:val="239CFF"/>
          <w:sz w:val="26"/>
          <w:szCs w:val="26"/>
        </w:rPr>
        <w:t xml:space="preserve">8.2 Inputs</w:t>
      </w:r>
    </w:p>
    <w:p>
      <w:pPr>
        <w:spacing w:after="80" w:before="80"/>
      </w:pPr>
      <w:r>
        <w:rPr>
          <w:rFonts w:ascii="Calibri" w:cs="Calibri" w:eastAsia="Calibri" w:hAnsi="Calibri"/>
          <w:color w:val="000000"/>
          <w:sz w:val="22"/>
          <w:szCs w:val="22"/>
        </w:rPr>
        <w:t xml:space="preserve">A Record ID (path parameter) for each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Resource</w:t>
            </w:r>
          </w:p>
        </w:tc>
        <w:tc>
          <w:tcPr>
            <w:tcW w:type="dxa" w:w="57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Example Record ID</w:t>
            </w:r>
          </w:p>
        </w:tc>
      </w:tr>
      <w:tr>
        <w:tc>
          <w:tcPr>
            <w:tcW w:type="dxa" w:w="36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LocalAccount</w:t>
            </w:r>
          </w:p>
        </w:tc>
        <w:tc>
          <w:tcPr>
            <w:tcW w:type="dxa" w:w="57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2ac566c4a09a4d9b81d02c4145d8b1d5</w:t>
            </w:r>
          </w:p>
        </w:tc>
      </w:tr>
      <w:tr>
        <w:tc>
          <w:tcPr>
            <w:tcW w:type="dxa" w:w="36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LocalActual</w:t>
            </w:r>
          </w:p>
        </w:tc>
        <w:tc>
          <w:tcPr>
            <w:tcW w:type="dxa" w:w="57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752bc21ec874465b89b745cde4e01f8c</w:t>
            </w:r>
          </w:p>
        </w:tc>
      </w:tr>
      <w:tr>
        <w:tc>
          <w:tcPr>
            <w:tcW w:type="dxa" w:w="36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LocalCapitalizedEquipment</w:t>
            </w:r>
          </w:p>
        </w:tc>
        <w:tc>
          <w:tcPr>
            <w:tcW w:type="dxa" w:w="57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9fc553903e0d4af299ac1d689a90462d</w:t>
            </w:r>
          </w:p>
        </w:tc>
      </w:tr>
      <w:tr>
        <w:tc>
          <w:tcPr>
            <w:tcW w:type="dxa" w:w="36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LocalSubaward</w:t>
            </w:r>
          </w:p>
        </w:tc>
        <w:tc>
          <w:tcPr>
            <w:tcW w:type="dxa" w:w="57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c9b379218ebc4706814a78854393970e</w:t>
            </w:r>
          </w:p>
        </w:tc>
      </w:tr>
      <w:tr>
        <w:tc>
          <w:tcPr>
            <w:tcW w:type="dxa" w:w="36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LocalUnusedLeavePayment</w:t>
            </w:r>
          </w:p>
        </w:tc>
        <w:tc>
          <w:tcPr>
            <w:tcW w:type="dxa" w:w="57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2241cf98a1424dc9b81b311d1a061c58</w:t>
            </w:r>
          </w:p>
        </w:tc>
      </w:tr>
    </w:tbl>
    <w:p>
      <w:pPr>
        <w:pStyle w:val="Heading2"/>
        <w:spacing w:after="80" w:before="280"/>
        <w:outlineLvl w:val="1"/>
      </w:pPr>
      <w:r>
        <w:rPr>
          <w:rFonts w:ascii="Calibri" w:cs="Calibri" w:eastAsia="Calibri" w:hAnsi="Calibri"/>
          <w:b/>
          <w:bCs/>
          <w:color w:val="239CFF"/>
          <w:sz w:val="26"/>
          <w:szCs w:val="26"/>
        </w:rPr>
        <w:t xml:space="preserve">8.3 Pass Conditions</w:t>
      </w:r>
    </w:p>
    <w:p>
      <w:pPr>
        <w:pStyle w:val="ListParagraph"/>
        <w:numPr>
          <w:ilvl w:val="0"/>
          <w:numId w:val="2"/>
        </w:numPr>
        <w:spacing w:after="40" w:before="40"/>
      </w:pPr>
      <w:r>
        <w:rPr>
          <w:rFonts w:ascii="Calibri" w:cs="Calibri" w:eastAsia="Calibri" w:hAnsi="Calibri"/>
          <w:sz w:val="22"/>
          <w:szCs w:val="22"/>
        </w:rPr>
        <w:t xml:space="preserve">HTTP 404 — Record does not exist; deletion verified</w:t>
      </w:r>
    </w:p>
    <w:p>
      <w:pPr>
        <w:pStyle w:val="ListParagraph"/>
        <w:numPr>
          <w:ilvl w:val="0"/>
          <w:numId w:val="2"/>
        </w:numPr>
        <w:spacing w:after="40" w:before="40"/>
      </w:pPr>
      <w:r>
        <w:rPr>
          <w:rFonts w:ascii="Calibri" w:cs="Calibri" w:eastAsia="Calibri" w:hAnsi="Calibri"/>
          <w:sz w:val="22"/>
          <w:szCs w:val="22"/>
        </w:rPr>
        <w:t xml:space="preserve">HTTP 410 Gone — Record permanently deleted</w:t>
      </w:r>
    </w:p>
    <w:p>
      <w:pPr>
        <w:pStyle w:val="ListParagraph"/>
        <w:numPr>
          <w:ilvl w:val="0"/>
          <w:numId w:val="2"/>
        </w:numPr>
        <w:spacing w:after="40" w:before="40"/>
      </w:pPr>
      <w:r>
        <w:rPr>
          <w:rFonts w:ascii="Calibri" w:cs="Calibri" w:eastAsia="Calibri" w:hAnsi="Calibri"/>
          <w:sz w:val="22"/>
          <w:szCs w:val="22"/>
        </w:rPr>
        <w:t xml:space="preserve">HTTP 200 with empty/blank body — Zero records returned; deletion verified</w:t>
      </w:r>
    </w:p>
    <w:p>
      <w:pPr>
        <w:pStyle w:val="ListParagraph"/>
        <w:numPr>
          <w:ilvl w:val="0"/>
          <w:numId w:val="2"/>
        </w:numPr>
        <w:spacing w:after="40" w:before="40"/>
      </w:pPr>
      <w:r>
        <w:rPr>
          <w:rFonts w:ascii="Calibri" w:cs="Calibri" w:eastAsia="Calibri" w:hAnsi="Calibri"/>
          <w:sz w:val="22"/>
          <w:szCs w:val="22"/>
        </w:rPr>
        <w:t xml:space="preserve">HTTP 200 with data present — FAIL; record still exists in ODS</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9. Financial Data Reset — Demo Flow</w:t>
      </w:r>
    </w:p>
    <w:p>
      <w:pPr>
        <w:pStyle w:val="Heading2"/>
        <w:spacing w:after="80" w:before="280"/>
        <w:outlineLvl w:val="1"/>
      </w:pPr>
      <w:r>
        <w:rPr>
          <w:rFonts w:ascii="Calibri" w:cs="Calibri" w:eastAsia="Calibri" w:hAnsi="Calibri"/>
          <w:b/>
          <w:bCs/>
          <w:color w:val="239CFF"/>
          <w:sz w:val="26"/>
          <w:szCs w:val="26"/>
        </w:rPr>
        <w:t xml:space="preserve">9.1 Overview</w:t>
      </w:r>
    </w:p>
    <w:p>
      <w:pPr>
        <w:spacing w:after="80" w:before="80"/>
      </w:pPr>
      <w:r>
        <w:rPr>
          <w:rFonts w:ascii="Calibri" w:cs="Calibri" w:eastAsia="Calibri" w:hAnsi="Calibri"/>
          <w:color w:val="000000"/>
          <w:sz w:val="22"/>
          <w:szCs w:val="22"/>
        </w:rPr>
        <w:t xml:space="preserve">After a vendor performs a data reset, this module confirms all records for the given query parameter combination return zero count from the ODS.</w:t>
      </w:r>
    </w:p>
    <w:p>
      <w:pPr>
        <w:pStyle w:val="Heading2"/>
        <w:spacing w:after="80" w:before="280"/>
        <w:outlineLvl w:val="1"/>
      </w:pPr>
      <w:r>
        <w:rPr>
          <w:rFonts w:ascii="Calibri" w:cs="Calibri" w:eastAsia="Calibri" w:hAnsi="Calibri"/>
          <w:b/>
          <w:bCs/>
          <w:color w:val="239CFF"/>
          <w:sz w:val="26"/>
          <w:szCs w:val="26"/>
        </w:rPr>
        <w:t xml:space="preserve">9.2 Inputs</w:t>
      </w:r>
    </w:p>
    <w:p>
      <w:pPr>
        <w:pStyle w:val="ListParagraph"/>
        <w:numPr>
          <w:ilvl w:val="0"/>
          <w:numId w:val="2"/>
        </w:numPr>
        <w:spacing w:after="40" w:before="40"/>
      </w:pPr>
      <w:r>
        <w:rPr>
          <w:rFonts w:ascii="Calibri" w:cs="Calibri" w:eastAsia="Calibri" w:hAnsi="Calibri"/>
          <w:sz w:val="22"/>
          <w:szCs w:val="22"/>
        </w:rPr>
        <w:t xml:space="preserve">EducationOrganizationId — e.g., 1094950000</w:t>
      </w:r>
    </w:p>
    <w:p>
      <w:pPr>
        <w:pStyle w:val="ListParagraph"/>
        <w:numPr>
          <w:ilvl w:val="0"/>
          <w:numId w:val="2"/>
        </w:numPr>
        <w:spacing w:after="40" w:before="40"/>
      </w:pPr>
      <w:r>
        <w:rPr>
          <w:rFonts w:ascii="Calibri" w:cs="Calibri" w:eastAsia="Calibri" w:hAnsi="Calibri"/>
          <w:sz w:val="22"/>
          <w:szCs w:val="22"/>
        </w:rPr>
        <w:t xml:space="preserve">FiscalYear — e.g., 2025</w:t>
      </w:r>
    </w:p>
    <w:p>
      <w:pPr>
        <w:pStyle w:val="ListParagraph"/>
        <w:numPr>
          <w:ilvl w:val="0"/>
          <w:numId w:val="2"/>
        </w:numPr>
        <w:spacing w:after="40" w:before="40"/>
      </w:pPr>
      <w:r>
        <w:rPr>
          <w:rFonts w:ascii="Calibri" w:cs="Calibri" w:eastAsia="Calibri" w:hAnsi="Calibri"/>
          <w:sz w:val="22"/>
          <w:szCs w:val="22"/>
        </w:rPr>
        <w:t xml:space="preserve">FinancialCollectionDescriptor — e.g., uri://doe.in.gov/FinancialCollectionDescriptor#1</w:t>
      </w:r>
    </w:p>
    <w:p>
      <w:pPr>
        <w:pStyle w:val="Heading2"/>
        <w:spacing w:after="80" w:before="280"/>
        <w:outlineLvl w:val="1"/>
      </w:pPr>
      <w:r>
        <w:rPr>
          <w:rFonts w:ascii="Calibri" w:cs="Calibri" w:eastAsia="Calibri" w:hAnsi="Calibri"/>
          <w:b/>
          <w:bCs/>
          <w:color w:val="239CFF"/>
          <w:sz w:val="26"/>
          <w:szCs w:val="26"/>
        </w:rPr>
        <w:t xml:space="preserve">9.3 Resources Checked</w:t>
      </w:r>
    </w:p>
    <w:p>
      <w:pPr>
        <w:spacing w:after="80" w:before="80"/>
      </w:pPr>
      <w:r>
        <w:rPr>
          <w:rFonts w:ascii="Calibri" w:cs="Calibri" w:eastAsia="Calibri" w:hAnsi="Calibri"/>
          <w:color w:val="000000"/>
          <w:sz w:val="22"/>
          <w:szCs w:val="22"/>
        </w:rPr>
        <w:t xml:space="preserve">LocalActual, LocalCapitalizedEquipment, LocalSubaward, LocalUnusedLeavePayment. Each resource endpoint is called with ?totalCount=true appended. The Total-Count response header is read; pass condition is count = 0.</w:t>
      </w:r>
    </w:p>
    <w:p>
      <w:pPr>
        <w:pStyle w:val="Heading2"/>
        <w:spacing w:after="80" w:before="280"/>
        <w:outlineLvl w:val="1"/>
      </w:pPr>
      <w:r>
        <w:rPr>
          <w:rFonts w:ascii="Calibri" w:cs="Calibri" w:eastAsia="Calibri" w:hAnsi="Calibri"/>
          <w:b/>
          <w:bCs/>
          <w:color w:val="239CFF"/>
          <w:sz w:val="26"/>
          <w:szCs w:val="26"/>
        </w:rPr>
        <w:t xml:space="preserve">9.4 Pass/Fail Logic</w:t>
      </w:r>
    </w:p>
    <w:p>
      <w:pPr>
        <w:pStyle w:val="ListParagraph"/>
        <w:numPr>
          <w:ilvl w:val="0"/>
          <w:numId w:val="2"/>
        </w:numPr>
        <w:spacing w:after="40" w:before="40"/>
      </w:pPr>
      <w:r>
        <w:rPr>
          <w:rFonts w:ascii="Calibri" w:cs="Calibri" w:eastAsia="Calibri" w:hAnsi="Calibri"/>
          <w:sz w:val="22"/>
          <w:szCs w:val="22"/>
        </w:rPr>
        <w:t xml:space="preserve">HTTP 200 and count = 0 → ✅ Reset Complete</w:t>
      </w:r>
    </w:p>
    <w:p>
      <w:pPr>
        <w:pStyle w:val="ListParagraph"/>
        <w:numPr>
          <w:ilvl w:val="0"/>
          <w:numId w:val="2"/>
        </w:numPr>
        <w:spacing w:after="40" w:before="40"/>
      </w:pPr>
      <w:r>
        <w:rPr>
          <w:rFonts w:ascii="Calibri" w:cs="Calibri" w:eastAsia="Calibri" w:hAnsi="Calibri"/>
          <w:sz w:val="22"/>
          <w:szCs w:val="22"/>
        </w:rPr>
        <w:t xml:space="preserve">HTTP 200 and count &gt; 0 → ❌ Reset Incomplete; vendor must post zero-value records or delete</w:t>
      </w:r>
    </w:p>
    <w:p>
      <w:pPr>
        <w:pStyle w:val="ListParagraph"/>
        <w:numPr>
          <w:ilvl w:val="0"/>
          <w:numId w:val="2"/>
        </w:numPr>
        <w:spacing w:after="40" w:before="40"/>
      </w:pPr>
      <w:r>
        <w:rPr>
          <w:rFonts w:ascii="Calibri" w:cs="Calibri" w:eastAsia="Calibri" w:hAnsi="Calibri"/>
          <w:sz w:val="22"/>
          <w:szCs w:val="22"/>
        </w:rPr>
        <w:t xml:space="preserve">HTTP 200 but count unparseable → ⚠️ Flag; manual verification required</w:t>
      </w:r>
    </w:p>
    <w:p>
      <w:pPr>
        <w:pStyle w:val="ListParagraph"/>
        <w:numPr>
          <w:ilvl w:val="0"/>
          <w:numId w:val="2"/>
        </w:numPr>
        <w:spacing w:after="40" w:before="40"/>
      </w:pPr>
      <w:r>
        <w:rPr>
          <w:rFonts w:ascii="Calibri" w:cs="Calibri" w:eastAsia="Calibri" w:hAnsi="Calibri"/>
          <w:sz w:val="22"/>
          <w:szCs w:val="22"/>
        </w:rPr>
        <w:t xml:space="preserve">Non-200 status → ❌ Fail; endpoint unreachable or incorrect parameters</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10. Export and Reporting</w:t>
      </w:r>
    </w:p>
    <w:p>
      <w:pPr>
        <w:spacing w:after="80" w:before="80"/>
      </w:pPr>
      <w:r>
        <w:rPr>
          <w:rFonts w:ascii="Calibri" w:cs="Calibri" w:eastAsia="Calibri" w:hAnsi="Calibri"/>
          <w:color w:val="000000"/>
          <w:sz w:val="22"/>
          <w:szCs w:val="22"/>
        </w:rPr>
        <w:t xml:space="preserve">Every module includes a '📥 Export Report' download button that generates a timestamped Excel (.xlsx) workbook.</w:t>
      </w:r>
    </w:p>
    <w:p>
      <w:pPr>
        <w:pStyle w:val="Heading2"/>
        <w:spacing w:after="80" w:before="280"/>
        <w:outlineLvl w:val="1"/>
      </w:pPr>
      <w:r>
        <w:rPr>
          <w:rFonts w:ascii="Calibri" w:cs="Calibri" w:eastAsia="Calibri" w:hAnsi="Calibri"/>
          <w:b/>
          <w:bCs/>
          <w:color w:val="239CFF"/>
          <w:sz w:val="26"/>
          <w:szCs w:val="26"/>
        </w:rPr>
        <w:t xml:space="preserve">10.1 Verification Report Sheets</w:t>
      </w:r>
    </w:p>
    <w:p>
      <w:pPr>
        <w:pStyle w:val="ListParagraph"/>
        <w:numPr>
          <w:ilvl w:val="0"/>
          <w:numId w:val="2"/>
        </w:numPr>
        <w:spacing w:after="40" w:before="40"/>
      </w:pPr>
      <w:r>
        <w:rPr>
          <w:rFonts w:ascii="Calibri" w:cs="Calibri" w:eastAsia="Calibri" w:hAnsi="Calibri"/>
          <w:sz w:val="22"/>
          <w:szCs w:val="22"/>
        </w:rPr>
        <w:t xml:space="preserve">Summary — Overall resource-level pass/fail counts</w:t>
      </w:r>
    </w:p>
    <w:p>
      <w:pPr>
        <w:pStyle w:val="ListParagraph"/>
        <w:numPr>
          <w:ilvl w:val="0"/>
          <w:numId w:val="2"/>
        </w:numPr>
        <w:spacing w:after="40" w:before="40"/>
      </w:pPr>
      <w:r>
        <w:rPr>
          <w:rFonts w:ascii="Calibri" w:cs="Calibri" w:eastAsia="Calibri" w:hAnsi="Calibri"/>
          <w:sz w:val="22"/>
          <w:szCs w:val="22"/>
        </w:rPr>
        <w:t xml:space="preserve">Per-resource sheets — Raw API response data</w:t>
      </w:r>
    </w:p>
    <w:p>
      <w:pPr>
        <w:pStyle w:val="ListParagraph"/>
        <w:numPr>
          <w:ilvl w:val="0"/>
          <w:numId w:val="2"/>
        </w:numPr>
        <w:spacing w:after="40" w:before="40"/>
      </w:pPr>
      <w:r>
        <w:rPr>
          <w:rFonts w:ascii="Calibri" w:cs="Calibri" w:eastAsia="Calibri" w:hAnsi="Calibri"/>
          <w:sz w:val="22"/>
          <w:szCs w:val="22"/>
        </w:rPr>
        <w:t xml:space="preserve">Field Validation sheets — Field-by-field validation results</w:t>
      </w:r>
    </w:p>
    <w:p>
      <w:pPr>
        <w:pStyle w:val="ListParagraph"/>
        <w:numPr>
          <w:ilvl w:val="0"/>
          <w:numId w:val="2"/>
        </w:numPr>
        <w:spacing w:after="40" w:before="40"/>
      </w:pPr>
      <w:r>
        <w:rPr>
          <w:rFonts w:ascii="Calibri" w:cs="Calibri" w:eastAsia="Calibri" w:hAnsi="Calibri"/>
          <w:sz w:val="22"/>
          <w:szCs w:val="22"/>
        </w:rPr>
        <w:t xml:space="preserve">Business Rules sheets — Rule evaluation results per record</w:t>
      </w:r>
    </w:p>
    <w:p>
      <w:pPr>
        <w:pStyle w:val="ListParagraph"/>
        <w:numPr>
          <w:ilvl w:val="0"/>
          <w:numId w:val="2"/>
        </w:numPr>
        <w:spacing w:after="40" w:before="40"/>
      </w:pPr>
      <w:r>
        <w:rPr>
          <w:rFonts w:ascii="Calibri" w:cs="Calibri" w:eastAsia="Calibri" w:hAnsi="Calibri"/>
          <w:sz w:val="22"/>
          <w:szCs w:val="22"/>
        </w:rPr>
        <w:t xml:space="preserve">Cross-Table / Issues sheets — Failed validations only (for remediation)</w:t>
      </w:r>
    </w:p>
    <w:p>
      <w:pPr>
        <w:pStyle w:val="Heading2"/>
        <w:spacing w:after="80" w:before="280"/>
        <w:outlineLvl w:val="1"/>
      </w:pPr>
      <w:r>
        <w:rPr>
          <w:rFonts w:ascii="Calibri" w:cs="Calibri" w:eastAsia="Calibri" w:hAnsi="Calibri"/>
          <w:b/>
          <w:bCs/>
          <w:color w:val="239CFF"/>
          <w:sz w:val="26"/>
          <w:szCs w:val="26"/>
        </w:rPr>
        <w:t xml:space="preserve">10.2 Delete/Reset/Update Report Sheets</w:t>
      </w:r>
    </w:p>
    <w:p>
      <w:pPr>
        <w:pStyle w:val="ListParagraph"/>
        <w:numPr>
          <w:ilvl w:val="0"/>
          <w:numId w:val="2"/>
        </w:numPr>
        <w:spacing w:after="40" w:before="40"/>
      </w:pPr>
      <w:r>
        <w:rPr>
          <w:rFonts w:ascii="Calibri" w:cs="Calibri" w:eastAsia="Calibri" w:hAnsi="Calibri"/>
          <w:sz w:val="22"/>
          <w:szCs w:val="22"/>
        </w:rPr>
        <w:t xml:space="preserve">Main results sheet with all resources and statuses</w:t>
      </w:r>
    </w:p>
    <w:p>
      <w:pPr>
        <w:pStyle w:val="ListParagraph"/>
        <w:numPr>
          <w:ilvl w:val="0"/>
          <w:numId w:val="2"/>
        </w:numPr>
        <w:spacing w:after="40" w:before="40"/>
      </w:pPr>
      <w:r>
        <w:rPr>
          <w:rFonts w:ascii="Calibri" w:cs="Calibri" w:eastAsia="Calibri" w:hAnsi="Calibri"/>
          <w:sz w:val="22"/>
          <w:szCs w:val="22"/>
        </w:rPr>
        <w:t xml:space="preserve">Issues sheet (filtered to non-pass items only)</w:t>
      </w:r>
    </w:p>
    <w:p>
      <w:pPr>
        <w:spacing w:after="80" w:before="80"/>
      </w:pPr>
      <w:r>
        <w:rPr>
          <w:rFonts w:ascii="Calibri" w:cs="Calibri" w:eastAsia="Calibri" w:hAnsi="Calibri"/>
          <w:color w:val="000000"/>
          <w:sz w:val="22"/>
          <w:szCs w:val="22"/>
        </w:rPr>
        <w:t xml:space="preserve">File naming convention: EdWise_Finance_[Module]Report_YYYYMMDD_HHMM.xlsx</w:t>
      </w:r>
    </w:p>
    <w:p>
      <w:pPr>
        <w:pBdr>
          <w:bottom w:val="single" w:color="E2E8F0" w:sz="4"/>
        </w:pBdr>
        <w:spacing w:after="80" w:before="80"/>
      </w:pPr>
    </w:p>
    <w:p>
      <w:pPr>
        <w:pStyle w:val="Heading1"/>
        <w:spacing w:after="120" w:before="360"/>
        <w:outlineLvl w:val="0"/>
      </w:pPr>
      <w:r>
        <w:rPr>
          <w:rFonts w:ascii="Calibri" w:cs="Calibri" w:eastAsia="Calibri" w:hAnsi="Calibri"/>
          <w:b/>
          <w:bCs/>
          <w:smallCaps/>
          <w:color w:val="2F4FFB"/>
          <w:sz w:val="32"/>
          <w:szCs w:val="32"/>
        </w:rPr>
        <w:t xml:space="preserve">Document Information</w:t>
      </w:r>
    </w:p>
    <w:p>
      <w:pPr>
        <w:pStyle w:val="Heading2"/>
        <w:spacing w:after="80" w:before="280"/>
        <w:outlineLvl w:val="1"/>
      </w:pPr>
      <w:r>
        <w:rPr>
          <w:rFonts w:ascii="Calibri" w:cs="Calibri" w:eastAsia="Calibri" w:hAnsi="Calibri"/>
          <w:b/>
          <w:bCs/>
          <w:color w:val="239CFF"/>
          <w:sz w:val="26"/>
          <w:szCs w:val="26"/>
        </w:rPr>
        <w:t xml:space="preserve">Change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1200"/>
        <w:gridCol w:w="2160"/>
        <w:gridCol w:w="2400"/>
      </w:tblGrid>
      <w:tr>
        <w:trPr>
          <w:tblHeader/>
        </w:trPr>
        <w:tc>
          <w:tcPr>
            <w:tcW w:type="dxa" w:w="15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Date</w:t>
            </w:r>
          </w:p>
        </w:tc>
        <w:tc>
          <w:tcPr>
            <w:tcW w:type="dxa" w:w="204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Author</w:t>
            </w:r>
          </w:p>
        </w:tc>
        <w:tc>
          <w:tcPr>
            <w:tcW w:type="dxa" w:w="120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Version</w:t>
            </w:r>
          </w:p>
        </w:tc>
        <w:tc>
          <w:tcPr>
            <w:tcW w:type="dxa" w:w="21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Status</w:t>
            </w:r>
          </w:p>
        </w:tc>
        <w:tc>
          <w:tcPr>
            <w:tcW w:type="dxa" w:w="240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Change Reference</w:t>
            </w:r>
          </w:p>
        </w:tc>
      </w:tr>
      <w:tr>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2026-04-01</w:t>
            </w:r>
          </w:p>
        </w:tc>
        <w:tc>
          <w:tcPr>
            <w:tcW w:type="dxa" w:w="204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Edwise Group</w:t>
            </w:r>
          </w:p>
        </w:tc>
        <w:tc>
          <w:tcPr>
            <w:tcW w:type="dxa" w:w="12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1.0</w:t>
            </w:r>
          </w:p>
        </w:tc>
        <w:tc>
          <w:tcPr>
            <w:tcW w:type="dxa" w:w="21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Draft</w:t>
            </w:r>
          </w:p>
        </w:tc>
        <w:tc>
          <w:tcPr>
            <w:tcW w:type="dxa" w:w="24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Initial draft</w:t>
            </w:r>
          </w:p>
        </w:tc>
      </w:tr>
      <w:tr>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04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2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1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4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04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2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1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240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bl>
    <w:p>
      <w:pPr>
        <w:spacing w:after="80" w:before="80"/>
      </w:pPr>
      <w:r>
        <w:rPr>
          <w:rFonts w:ascii="Calibri" w:cs="Calibri" w:eastAsia="Calibri" w:hAnsi="Calibri"/>
          <w:color w:val="000000"/>
          <w:sz w:val="22"/>
          <w:szCs w:val="22"/>
        </w:rPr>
        <w:t xml:space="preserve">Status: Draft — Being edited; Baseline — Ready for review; Signoff Candidate — Issued to Client; Published — Approved</w:t>
      </w:r>
    </w:p>
    <w:p>
      <w:pPr>
        <w:pStyle w:val="Heading2"/>
        <w:spacing w:after="80" w:before="280"/>
        <w:outlineLvl w:val="1"/>
      </w:pPr>
      <w:r>
        <w:rPr>
          <w:rFonts w:ascii="Calibri" w:cs="Calibri" w:eastAsia="Calibri" w:hAnsi="Calibri"/>
          <w:b/>
          <w:bCs/>
          <w:color w:val="239CFF"/>
          <w:sz w:val="26"/>
          <w:szCs w:val="26"/>
        </w:rPr>
        <w:t xml:space="preserve">Contributors and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Name</w:t>
            </w:r>
          </w:p>
        </w:tc>
        <w:tc>
          <w:tcPr>
            <w:tcW w:type="dxa" w:w="468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Title</w:t>
            </w:r>
          </w:p>
        </w:tc>
      </w:tr>
      <w:tr>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468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bl>
    <w:p>
      <w:pPr>
        <w:pStyle w:val="Heading2"/>
        <w:spacing w:after="80" w:before="280"/>
        <w:outlineLvl w:val="1"/>
      </w:pPr>
      <w:r>
        <w:rPr>
          <w:rFonts w:ascii="Calibri" w:cs="Calibri" w:eastAsia="Calibri" w:hAnsi="Calibri"/>
          <w:b/>
          <w:bCs/>
          <w:color w:val="239CFF"/>
          <w:sz w:val="26"/>
          <w:szCs w:val="26"/>
        </w:rPr>
        <w:t xml:space="preserve">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rPr>
          <w:tblHeader/>
        </w:trPr>
        <w:tc>
          <w:tcPr>
            <w:tcW w:type="dxa" w:w="252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Name</w:t>
            </w:r>
          </w:p>
        </w:tc>
        <w:tc>
          <w:tcPr>
            <w:tcW w:type="dxa" w:w="15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Version</w:t>
            </w:r>
          </w:p>
        </w:tc>
        <w:tc>
          <w:tcPr>
            <w:tcW w:type="dxa" w:w="156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Date</w:t>
            </w:r>
          </w:p>
        </w:tc>
        <w:tc>
          <w:tcPr>
            <w:tcW w:type="dxa" w:w="3720"/>
            <w:tcBorders>
              <w:top w:val="single" w:color="239CFF" w:sz="4"/>
              <w:left w:val="single" w:color="239CFF" w:sz="4"/>
              <w:bottom w:val="single" w:color="239CFF" w:sz="4"/>
              <w:right w:val="single" w:color="239CFF" w:sz="4"/>
            </w:tcBorders>
            <w:shd w:fill="99D3FF" w:val="clear"/>
            <w:tcMar>
              <w:top w:type="dxa" w:w="80"/>
              <w:left w:type="dxa" w:w="120"/>
              <w:bottom w:type="dxa" w:w="80"/>
              <w:right w:type="dxa" w:w="120"/>
            </w:tcMar>
          </w:tcPr>
          <w:p>
            <w:r>
              <w:rPr>
                <w:rFonts w:ascii="Calibri" w:cs="Calibri" w:eastAsia="Calibri" w:hAnsi="Calibri"/>
                <w:b/>
                <w:bCs/>
                <w:color w:val="000000"/>
                <w:sz w:val="22"/>
                <w:szCs w:val="22"/>
              </w:rPr>
              <w:t xml:space="preserve">Comments</w:t>
            </w:r>
          </w:p>
        </w:tc>
      </w:tr>
      <w:tr>
        <w:tc>
          <w:tcPr>
            <w:tcW w:type="dxa" w:w="25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37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25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37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25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156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c>
          <w:tcPr>
            <w:tcW w:type="dxa" w:w="3720"/>
            <w:tcBorders>
              <w:top w:val="single" w:color="239CFF" w:sz="4"/>
              <w:left w:val="single" w:color="239CFF" w:sz="4"/>
              <w:bottom w:val="single" w:color="239CFF" w:sz="4"/>
              <w:right w:val="single" w:color="239CF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bl>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spacing w:after="0" w:before="60"/>
    </w:pPr>
    <w:r>
      <w:rPr>
        <w:rFonts w:ascii="Calibri" w:cs="Calibri" w:eastAsia="Calibri" w:hAnsi="Calibri"/>
        <w:color w:val="239CFF"/>
        <w:sz w:val="16"/>
        <w:szCs w:val="16"/>
      </w:rPr>
      <w:t xml:space="preserve">www.edwisegroup.com</w:t>
    </w:r>
    <w:r>
      <w:rPr>
        <w:rFonts w:ascii="Calibri" w:cs="Calibri" w:eastAsia="Calibri" w:hAnsi="Calibri"/>
        <w:sz w:val="16"/>
        <w:szCs w:val="16"/>
      </w:rPr>
      <w:t xml:space="preserve">	</w:t>
    </w:r>
    <w:r>
      <w:rPr>
        <w:rFonts w:ascii="Calibri" w:cs="Calibri" w:eastAsia="Calibri" w:hAnsi="Calibri"/>
        <w:color w:val="595959"/>
        <w:sz w:val="16"/>
        <w:szCs w:val="16"/>
      </w:rPr>
      <w:t xml:space="preserve">© Edwise Group — Confidential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drawing>
        <wp:inline distT="0" distB="0" distL="0" distR="0">
          <wp:extent cx="4381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228600"/>
                  </a:xfrm>
                  <a:prstGeom prst="rect">
                    <a:avLst/>
                  </a:prstGeom>
                </pic:spPr>
              </pic:pic>
            </a:graphicData>
          </a:graphic>
        </wp:inline>
      </w:drawing>
    </w:r>
    <w:r>
      <w:rPr>
        <w:rFonts w:ascii="Calibri" w:cs="Calibri" w:eastAsia="Calibri" w:hAnsi="Calibri"/>
        <w:sz w:val="16"/>
        <w:szCs w:val="16"/>
      </w:rPr>
      <w:t xml:space="preserve">	</w:t>
    </w:r>
    <w:r>
      <w:rPr>
        <w:rFonts w:ascii="Calibri" w:cs="Calibri" w:eastAsia="Calibri" w:hAnsi="Calibri"/>
        <w:color w:val="595959"/>
        <w:sz w:val="16"/>
        <w:szCs w:val="16"/>
      </w:rPr>
      <w:t xml:space="preserve">EdWise Finance Portal – Demo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Calibri" w:cs="Calibri" w:eastAsia="Calibri" w:hAnsi="Calibri"/>
      <w:b/>
      <w:bCs/>
      <w:smallCaps/>
      <w:color w:val="2F4FFB"/>
      <w:sz w:val="32"/>
      <w:szCs w:val="32"/>
    </w:rPr>
  </w:style>
  <w:style w:type="paragraph" w:styleId="Heading2">
    <w:name w:val="Heading 2"/>
    <w:basedOn w:val="Normal"/>
    <w:next w:val="Normal"/>
    <w:pPr>
      <w:spacing w:after="80" w:before="280"/>
      <w:outlineLvl w:val="1"/>
    </w:pPr>
    <w:rPr>
      <w:rFonts w:ascii="Calibri" w:cs="Calibri" w:eastAsia="Calibri" w:hAnsi="Calibri"/>
      <w:b/>
      <w:bCs/>
      <w:color w:val="239CFF"/>
      <w:sz w:val="26"/>
      <w:szCs w:val="26"/>
    </w:rPr>
  </w:style>
  <w:style w:type="paragraph" w:styleId="Heading3">
    <w:name w:val="Heading 3"/>
    <w:basedOn w:val="Normal"/>
    <w:next w:val="Normal"/>
    <w:pPr>
      <w:spacing w:after="60" w:before="200"/>
      <w:outlineLvl w:val="2"/>
    </w:pPr>
    <w:rPr>
      <w:rFonts w:ascii="Calibri" w:cs="Calibri" w:eastAsia="Calibri" w:hAnsi="Calibri"/>
      <w:b w:val="false"/>
      <w:bCs w:val="false"/>
      <w:color w:val="239C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b8b09fbfd32f9ca0fce39c2714849e312c874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e9b70c0203995802806017eb4031f88c01e8a8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2026-04-01T04:37:37.850Z</dcterms:created>
  <dcterms:modified xsi:type="dcterms:W3CDTF">2026-04-01T04:37:37.850Z</dcterms:modified>
</cp:coreProperties>
</file>

<file path=docProps/custom.xml><?xml version="1.0" encoding="utf-8"?>
<Properties xmlns="http://schemas.openxmlformats.org/officeDocument/2006/custom-properties" xmlns:vt="http://schemas.openxmlformats.org/officeDocument/2006/docPropsVTypes"/>
</file>