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428750" cy="49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rFonts w:ascii="Avenir Next LT Pro" w:cs="Avenir Next LT Pro" w:eastAsia="Avenir Next LT Pro" w:hAnsi="Avenir Next LT Pro"/>
          <w:b/>
          <w:bCs/>
          <w:smallCaps/>
          <w:color w:val="000000"/>
          <w:sz w:val="48"/>
          <w:szCs w:val="48"/>
        </w:rPr>
        <w:t xml:space="preserve">EdWise Group</w:t>
      </w:r>
    </w:p>
    <w:p>
      <w:r>
        <w:rPr>
          <w:rFonts w:ascii="Avenir Next LT Pro" w:cs="Avenir Next LT Pro" w:eastAsia="Avenir Next LT Pro" w:hAnsi="Avenir Next LT Pro"/>
          <w:smallCaps/>
          <w:color w:val="000000"/>
          <w:sz w:val="40"/>
          <w:szCs w:val="40"/>
        </w:rPr>
        <w:t xml:space="preserve">School Finance Portal</w:t>
      </w:r>
    </w:p>
    <w:p>
      <w:r>
        <w:rPr>
          <w:rFonts w:ascii="Avenir Next LT Pro Light" w:cs="Avenir Next LT Pro Light" w:eastAsia="Avenir Next LT Pro Light" w:hAnsi="Avenir Next LT Pro Light"/>
          <w:smallCaps/>
          <w:color w:val="000000"/>
          <w:sz w:val="36"/>
          <w:szCs w:val="36"/>
        </w:rPr>
        <w:t xml:space="preserve">Validation Rules</w:t>
      </w:r>
    </w:p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spacing w:after="120" w:before="360"/>
        <w:outlineLvl w:val="0"/>
      </w:pPr>
      <w:r>
        <w:rPr>
          <w:rFonts w:ascii="Calibri" w:cs="Calibri" w:eastAsia="Calibri" w:hAnsi="Calibri"/>
          <w:b/>
          <w:bCs/>
          <w:smallCaps/>
          <w:color w:val="2F4FFB"/>
          <w:sz w:val="32"/>
          <w:szCs w:val="32"/>
        </w:rPr>
        <w:t xml:space="preserve">Table of Contents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1. Introduction ..................................................................................................................  2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2. Field-Level Validation Rules .................................................................................  3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2.1 Common Fields (All Resources) .......................................................................  3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2.2 LocalAccount Fields ...........................................................................................  4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2.3 LocalActual Fields ..............................................................................................  5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2.4 LocalCapitalizedEquipment Fields .................................................................  6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2.5 LocalSubaward Fields ........................................................................................  7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2.6 LocalUnusedLeavePayment Fields ..................................................................  8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3. Business Rules ...........................................................................................................  9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3.1 Capitalized Equipment Rules (§1) ....................................................................  9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3.2 Cross-Table Consistency (§2) ..........................................................................  10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3.3 Budget and Allocation (§3) ...............................................................................  11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3.4 Duplicate Detection (§4) ....................................................................................  12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3.5 Time-Based Validations (§5) ..............................................................................  13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3.6 Fund Classification (§6) ......................................................................................  14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3.7 Multi-Year Contract Rules (§7) ..........................................................................  15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3.8 Reasonability Checks (§8) ..................................................................................  16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3.9 Lifecycle Validations (§9) ....................................................................................  17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   3.10 Descriptor Consistency (§10) ..........................................................................  18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4. API Validation Rules .................................................................................................  19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5. Delete Verification Rules ..........................................................................................  20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6. Reset Verification Rules ...........................................................................................  21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7. Document Information ............................................................................................  22</w:t>
      </w:r>
    </w:p>
    <w:p>
      <w:pPr>
        <w:pBdr>
          <w:bottom w:val="single" w:color="E2E8F0" w:sz="4"/>
        </w:pBdr>
        <w:spacing w:after="80" w:before="80"/>
      </w:pPr>
    </w:p>
    <w:p>
      <w:pPr>
        <w:pStyle w:val="Heading1"/>
        <w:spacing w:after="120" w:before="360"/>
        <w:outlineLvl w:val="0"/>
      </w:pPr>
      <w:r>
        <w:rPr>
          <w:rFonts w:ascii="Calibri" w:cs="Calibri" w:eastAsia="Calibri" w:hAnsi="Calibri"/>
          <w:b/>
          <w:bCs/>
          <w:smallCaps/>
          <w:color w:val="2F4FFB"/>
          <w:sz w:val="32"/>
          <w:szCs w:val="32"/>
        </w:rPr>
        <w:t xml:space="preserve">1. Introduction</w:t>
      </w:r>
    </w:p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1.1 Document Purpose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This document defines all field-level validation rules, business rules, API validation rules, and expected pass/fail conditions for the EdWise School Finance Vendor Certification Portal. It serves as the authoritative reference for understanding what constitutes a passing or failing validation result for Indiana DOE school finance data submitted via the Ed-Fi ODS 2026 API.</w:t>
      </w:r>
    </w:p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1.2 Status Codes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400"/>
        <w:gridCol w:w="5520"/>
      </w:tblGrid>
      <w:tr>
        <w:trPr>
          <w:tblHeader/>
        </w:trPr>
        <w:tc>
          <w:tcPr>
            <w:tcW w:type="dxa" w:w="144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Label</w:t>
            </w:r>
          </w:p>
        </w:tc>
        <w:tc>
          <w:tcPr>
            <w:tcW w:type="dxa" w:w="55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144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Pass</w:t>
            </w:r>
          </w:p>
        </w:tc>
        <w:tc>
          <w:tcPr>
            <w:tcW w:type="dxa" w:w="55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All conditions met. No corrective action required.</w:t>
            </w:r>
          </w:p>
        </w:tc>
      </w:tr>
      <w:tr>
        <w:tc>
          <w:tcPr>
            <w:tcW w:type="dxa" w:w="144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</w:t>
            </w:r>
          </w:p>
        </w:tc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Fail</w:t>
            </w:r>
          </w:p>
        </w:tc>
        <w:tc>
          <w:tcPr>
            <w:tcW w:type="dxa" w:w="55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Condition not met. Vendor must correct and resubmit.</w:t>
            </w:r>
          </w:p>
        </w:tc>
      </w:tr>
      <w:tr>
        <w:tc>
          <w:tcPr>
            <w:tcW w:type="dxa" w:w="144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⚠️</w:t>
            </w:r>
          </w:p>
        </w:tc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Flag</w:t>
            </w:r>
          </w:p>
        </w:tc>
        <w:tc>
          <w:tcPr>
            <w:tcW w:type="dxa" w:w="55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Within tolerance but warrants manual DOE review.</w:t>
            </w:r>
          </w:p>
        </w:tc>
      </w:tr>
      <w:tr>
        <w:tc>
          <w:tcPr>
            <w:tcW w:type="dxa" w:w="144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⏭</w:t>
            </w:r>
          </w:p>
        </w:tc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Skipped</w:t>
            </w:r>
          </w:p>
        </w:tc>
        <w:tc>
          <w:tcPr>
            <w:tcW w:type="dxa" w:w="55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Prerequisite not available; rule not evaluated.</w:t>
            </w:r>
          </w:p>
        </w:tc>
      </w:tr>
    </w:tbl>
    <w:p>
      <w:pPr>
        <w:pBdr>
          <w:bottom w:val="single" w:color="E2E8F0" w:sz="4"/>
        </w:pBdr>
        <w:spacing w:after="80" w:before="80"/>
      </w:pPr>
    </w:p>
    <w:p>
      <w:pPr>
        <w:pStyle w:val="Heading1"/>
        <w:spacing w:after="120" w:before="360"/>
        <w:outlineLvl w:val="0"/>
      </w:pPr>
      <w:r>
        <w:rPr>
          <w:rFonts w:ascii="Calibri" w:cs="Calibri" w:eastAsia="Calibri" w:hAnsi="Calibri"/>
          <w:b/>
          <w:bCs/>
          <w:smallCaps/>
          <w:color w:val="2F4FFB"/>
          <w:sz w:val="32"/>
          <w:szCs w:val="32"/>
        </w:rPr>
        <w:t xml:space="preserve">2. Field-Level Validation Rules</w:t>
      </w:r>
    </w:p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2.1 Common Fields (All Resources)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The following rules apply to fields that appear in multiple resources.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 on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Validation Rule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AccountIdentifier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non-empty. Must match the accountIdentifier query parameter exactly. Must be alphanumeric with hyphens only. Must structurally match pattern: Section-Fund-Function-Object-OperationalUnit-SubCategory when LocalAccount dimension codes are available.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EducationOrganizationId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present, numeric, and match the educationOrganizationId query parameter.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FiscalYear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numeric, within 2000–2100 range, and match the fiscalYear query parameter.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FinancialCollectionDescriptor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Code value (after # separator) must exist in the FinancialCollectionDescriptors API. API lookup required.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AsOfDate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in YYYY-MM-DD format. Must be a valid calendar date. Must fall within the FiscalYear window (July 1 to June 30 of the fiscal year).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RecordIdentifier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Mandatory for LocalCapitalizedEquipment, LocalSubaward, LocalUnusedLeavePayment. Must be alphanumeric (letters, digits, hyphens, underscores only).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2.2 LocalAccount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 on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Validation Rule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AccountName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a non-empty string.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ChartOfAccountIdentifier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non-empty. Validated via Chart of Accounts API (GET /chartOfAccounts?accountIdentifier=X&amp;educationOrganizationId=Y).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ChartOfAccountEducationOrganizationId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numeric. Validated jointly with ChartOfAccountIdentifier via Chart of Accounts API.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FunctionCode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exactly 5 digits (zero-padded). Validated via FunctionCode dimension API.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FundCode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exactly 4 digits (zero-padded). Validated via FundCode dimension API.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ObjectCode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exactly 3 digits (zero-padded). Validated via ObjectCode dimension API.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OperationalUnitCode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exactly 4 digits (zero-padded). Validated via OperationalUnitCode dimension API.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SectionCode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exactly 1 character. Validated via SectionCode dimension API.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SubCategoryCode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exactly 2 digits (zero-padded). Validated via SubCategoryCode dimension API.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2.3 LocalActual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rPr>
          <w:tblHeader/>
        </w:trP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 on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Validation Rule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Amount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numeric and non-negative. Zero is permitted (e.g. for reset verification).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AsOfDate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YYYY-MM-DD format. Valid calendar date. Within FiscalYear window.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FinancialCollectionDescriptor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See common fields above. API lookup required.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2.4 LocalCapitalizedEquipment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 on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Validation Rule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EquipmentType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Non-empty string. Describes the category of equipment purchased.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EquipmentDescription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Non-empty string. Provides a human-readable description of the asset.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AcquisitionDate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YYYY-MM-DD format. Valid calendar date. Must be within FiscalYear window. Must be ≤ AsOfDate.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PaymentAmount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numeric and non-negative. Must be ≥ CapitalizedThreshold. Must be ≥ PerUnitCost.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PerUnitCost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numeric and non-negative. Must be ≤ PaymentAmount.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CapitalizedThreshold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numeric and non-negative. PaymentAmount must meet or exceed this threshold for the asset to qualify as capitalized equipment.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2.5 LocalSubaward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 on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Validation Rule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ContractNumberOfYears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Must be a non-negative integer. Expected range: 1–30. Must be &gt; 0 for a valid contract.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DepartmentName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Non-empty string.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ExpenditureAmount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Numeric and non-negative. Must equal First50k + Excess50k.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First50k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Numeric. Must be ≤ 50,000. When ExpenditureAmount ≤ 50k, must equal ExpenditureAmount. When ExpenditureAmount &gt; 50k, must equal exactly 50,000.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Excess50k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Numeric. Must equal ExpenditureAmount − First50k. When ExpenditureAmount ≤ 50k, must be 0.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SubawardAmount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Numeric and &gt; 0. Must be ≤ ExpenditureAmount.</w:t>
            </w:r>
          </w:p>
        </w:tc>
      </w:tr>
      <w:tr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VendorOrganizationName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5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Non-empty string. Name of the subcontracted vendor.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2.6 LocalUnusedLeavePayment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rPr>
          <w:tblHeader/>
        </w:trPr>
        <w:tc>
          <w:tcPr>
            <w:tcW w:type="dxa" w:w="2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 on Fail</w:t>
            </w:r>
          </w:p>
        </w:tc>
        <w:tc>
          <w:tcPr>
            <w:tcW w:type="dxa" w:w="4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Validation Rule</w:t>
            </w:r>
          </w:p>
        </w:tc>
      </w:tr>
      <w:tr>
        <w:tc>
          <w:tcPr>
            <w:tcW w:type="dxa" w:w="2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DirectUnusedLeavePaymentAmount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Numeric and non-negative.</w:t>
            </w:r>
          </w:p>
        </w:tc>
      </w:tr>
      <w:tr>
        <w:tc>
          <w:tcPr>
            <w:tcW w:type="dxa" w:w="2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IndirectUnusedLeavePaymentAmount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Numeric and non-negative.</w:t>
            </w:r>
          </w:p>
        </w:tc>
      </w:tr>
      <w:tr>
        <w:tc>
          <w:tcPr>
            <w:tcW w:type="dxa" w:w="2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EmployeeName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Non-empty string.</w:t>
            </w:r>
          </w:p>
        </w:tc>
      </w:tr>
      <w:tr>
        <w:tc>
          <w:tcPr>
            <w:tcW w:type="dxa" w:w="2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JobTitle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Non-empty string.</w:t>
            </w:r>
          </w:p>
        </w:tc>
      </w:tr>
      <w:tr>
        <w:tc>
          <w:tcPr>
            <w:tcW w:type="dxa" w:w="2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PaymentDate</w:t>
            </w:r>
          </w:p>
        </w:tc>
        <w:tc>
          <w:tcPr>
            <w:tcW w:type="dxa" w:w="16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YYYY-MM-DD format. Valid calendar date. Within FiscalYear window. Must be ≤ AsOfDate.</w:t>
            </w:r>
          </w:p>
        </w:tc>
      </w:tr>
    </w:tbl>
    <w:p>
      <w:pPr>
        <w:pBdr>
          <w:bottom w:val="single" w:color="E2E8F0" w:sz="4"/>
        </w:pBdr>
        <w:spacing w:after="80" w:before="80"/>
      </w:pPr>
    </w:p>
    <w:p>
      <w:pPr>
        <w:pStyle w:val="Heading1"/>
        <w:spacing w:after="120" w:before="360"/>
        <w:outlineLvl w:val="0"/>
      </w:pPr>
      <w:r>
        <w:rPr>
          <w:rFonts w:ascii="Calibri" w:cs="Calibri" w:eastAsia="Calibri" w:hAnsi="Calibri"/>
          <w:b/>
          <w:bCs/>
          <w:smallCaps/>
          <w:color w:val="2F4FFB"/>
          <w:sz w:val="32"/>
          <w:szCs w:val="32"/>
        </w:rPr>
        <w:t xml:space="preserve">3. Business Rules</w:t>
      </w:r>
    </w:p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3.1 §1 — Capitalized Equipment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4760"/>
      </w:tblGrid>
      <w:tr>
        <w:trPr>
          <w:tblHeader/>
        </w:trPr>
        <w:tc>
          <w:tcPr>
            <w:tcW w:type="dxa" w:w="3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7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PerUnitCost ≤ PaymentAmount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 if false</w:t>
            </w:r>
          </w:p>
        </w:tc>
        <w:tc>
          <w:tcPr>
            <w:tcW w:type="dxa" w:w="47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PerUnitCost must be less than or equal to PaymentAmount. A unit cost greater than total payment is logically invalid.</w:t>
            </w:r>
          </w:p>
        </w:tc>
      </w:tr>
      <w:tr>
        <w:tc>
          <w:tcPr>
            <w:tcW w:type="dxa" w:w="3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PaymentAmount ≥ CapitalizedThreshold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 if false</w:t>
            </w:r>
          </w:p>
        </w:tc>
        <w:tc>
          <w:tcPr>
            <w:tcW w:type="dxa" w:w="47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The total payment amount must meet or exceed the capitalization threshold. Below this threshold, the item does not qualify as a capital asset.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3.2 §1 — Subaward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4160"/>
      </w:tblGrid>
      <w:tr>
        <w:trPr>
          <w:tblHeader/>
        </w:trP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First50k + Excess50k = ExpenditureAmount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Sum must equal ExpenditureAmount within ±0.01 tolerance.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First50k ≤ 50,000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First50k must not exceed the $50,000 cap under any circumstances.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ExpenditureAmount ≤ 50k: First50k = Expenditure, Excess50k = 0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When expenditure does not exceed $50k, all of it goes to First50k.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ExpenditureAmount &gt; 50k: First50k = 50,000, Excess50k = Exp−50k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When expenditure exceeds $50k, First50k is capped at 50,000.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Excess50k = ExpenditureAmount − First50k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Redundant cross-check of the arithmetic split.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SubawardAmount ≤ ExpenditureAmount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The subaward portion must not exceed total expenditure.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3.3 §1 — Unused Leave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4160"/>
      </w:tblGrid>
      <w:tr>
        <w:trPr>
          <w:tblHeader/>
        </w:trP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Direct + Indirect = Total Leave Payment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 if missing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Both Direct and Indirect amounts must be present and non-negative. Their sum is the total payout.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3.4 §2 — Cross-Table Consistency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4160"/>
      </w:tblGrid>
      <w:tr>
        <w:trPr>
          <w:tblHeader/>
        </w:trP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Total Spending ≤ Actual Amount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Sum of Equipment + Subaward + Leave payments must not exceed LocalActual Amount.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Each category ≤ Actual Amount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Equipment (PaymentAmount), Subaward (ExpenditureAmount), and Leave (Direct+Indirect) must each individually not exceed the Actual Amount.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3.5 §3 — Budget and Allocation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4160"/>
      </w:tblGrid>
      <w:tr>
        <w:trPr>
          <w:tblHeader/>
        </w:trP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Actual Amount ≤ Approved Budget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When the user provides an Approved Budget in Step 1, the LocalActual Amount must not exceed it.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Running Balance After Each Allocation ≥ 0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After sequentially deducting Equipment, Subaward, and Leave amounts from the Actual, the running balance must remain ≥ 0.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3.6 §4 — Duplicate Detection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4160"/>
      </w:tblGrid>
      <w:tr>
        <w:trPr>
          <w:tblHeader/>
        </w:trP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No Duplicate Transactions Within Table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Same combination of AccountIdentifier + FiscalYear + AsOfDate + Amount must not appear more than once in the same resource table.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No Cross-Table Double-Counting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⚠️ Flag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Same combination appearing across multiple resource tables is flagged for review as potential double-counting.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3.7 §5 — Time-Based Validations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4160"/>
      </w:tblGrid>
      <w:tr>
        <w:trPr>
          <w:tblHeader/>
        </w:trP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AsOfDate Within FiscalYear Window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AsOfDate must fall between July 1 (FY−1) and June 30 (FY). FiscalYear 2025 = 2024-07-01 to 2025-06-30.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AcquisitionDate Within FiscalYear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For LocalCapitalizedEquipment only.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AcquisitionDate ≤ AsOfDate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Equipment cannot be acquired after the reporting date.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PaymentDate Within FiscalYear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For LocalUnusedLeavePayment only.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PaymentDate ≤ AsOfDate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Leave payment cannot be recorded after the reporting date.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3.8 §6 — Fund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4160"/>
      </w:tblGrid>
      <w:tr>
        <w:trPr>
          <w:tblHeader/>
        </w:trP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Capital Fund Not Used for Leave Payments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FundCode in 4xxx range must not be associated with LocalUnusedLeavePayment transactions.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Capital FunctionCode Not Used for Leave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FunctionCode in 4xxx range must not be associated with leave payment transactions.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ObjectCode Alignment with Transaction Type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⚠️ Flag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ObjectCode in payroll range (100–290) combined with equipment transactions is flagged for review.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AccountIdentifier Structure Segments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⚠️ Flag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AccountIdentifier with fewer than 3 segments flagged; expected multi-dimension format S-FUND-FUNC-OBJ-OPUNIT-SUBCAT.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3.9 §7 — Multi-Year Contract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4160"/>
      </w:tblGrid>
      <w:tr>
        <w:trPr>
          <w:tblHeader/>
        </w:trP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ContractNumberOfYears &gt; 0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 valid contract must have at least 1 year.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ContractNumberOfYears Reasonability (1–30)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Values outside 1–30 indicate likely data entry errors.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No Excessive Single-Year Concentration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⚠️ Flag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ExpenditureAmount &gt; $500,000 on a multi-year contract is flagged for distribution review.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ExpenditureAmount Aligned with Contract Years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Annual average (Expenditure ÷ Years) must be &gt; 0.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3.10 §8 — Reasonability Checks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4160"/>
      </w:tblGrid>
      <w:tr>
        <w:trPr>
          <w:tblHeader/>
        </w:trP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PaymentAmount / PerUnitCost = Realistic Quantity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Implied unit quantity must be ≥ 1. PaymentAmount less than one unit cost is logically impossible.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PaymentAmount &gt; $1,000,000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⚠️ Flag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Flagged for review as potential data entry error.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ExpenditureAmount &gt; $1,000,000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⚠️ Flag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Flagged for review.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SubawardAmount &gt; 0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 subaward entry must have a positive value.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Total Leave Payment &gt; $500,000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⚠️ Flag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Flagged for review.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3.11 §9 — Lifecycle Validations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4160"/>
      </w:tblGrid>
      <w:tr>
        <w:trPr>
          <w:tblHeader/>
        </w:trP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LocalAccount Exists (Foundation Layer)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All transactions must have a corresponding LocalAccount record for the AccountIdentifier.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LocalActual Exists Before Payment Transactions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Payment resources (Equipment, Subaward, Leave) must not be posted without a LocalActual record.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Equipment Payment Has Expenditure Context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LocalCapitalizedEquipment must have corresponding LocalActual.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Subaward Payment Has Expenditure Context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LocalSubaward must have corresponding LocalActual.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Leave Payment Has Expenditure Context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LocalUnusedLeavePayment must have corresponding LocalActual.</w:t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3.12 §10 — Descriptor Consistency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00"/>
        <w:gridCol w:w="4160"/>
      </w:tblGrid>
      <w:tr>
        <w:trPr>
          <w:tblHeader/>
        </w:trP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Rule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Pass Condition</w:t>
            </w:r>
          </w:p>
        </w:tc>
      </w:tr>
      <w:tr>
        <w:tc>
          <w:tcPr>
            <w:tcW w:type="dxa" w:w="3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FinancialCollectionDescriptor Consistent Across Resources</w:t>
            </w:r>
          </w:p>
        </w:tc>
        <w:tc>
          <w:tcPr>
            <w:tcW w:type="dxa" w:w="1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4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All resources sharing the same AccountIdentifier and fiscal year must use the same FinancialCollectionDescriptor code value.</w:t>
            </w:r>
          </w:p>
        </w:tc>
      </w:tr>
    </w:tbl>
    <w:p>
      <w:pPr>
        <w:pBdr>
          <w:bottom w:val="single" w:color="E2E8F0" w:sz="4"/>
        </w:pBdr>
        <w:spacing w:after="80" w:before="80"/>
      </w:pPr>
    </w:p>
    <w:p>
      <w:pPr>
        <w:pStyle w:val="Heading1"/>
        <w:spacing w:after="120" w:before="360"/>
        <w:outlineLvl w:val="0"/>
      </w:pPr>
      <w:r>
        <w:rPr>
          <w:rFonts w:ascii="Calibri" w:cs="Calibri" w:eastAsia="Calibri" w:hAnsi="Calibri"/>
          <w:b/>
          <w:bCs/>
          <w:smallCaps/>
          <w:color w:val="2F4FFB"/>
          <w:sz w:val="32"/>
          <w:szCs w:val="32"/>
        </w:rPr>
        <w:t xml:space="preserve">4. API Validation Rules</w:t>
      </w:r>
    </w:p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4.1 Code Dimension API Validation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Dimension codes are validated via live API calls during field-level validation. The following table defines the required digit lengths and API endpoint patterns.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5960"/>
      </w:tblGrid>
      <w:tr>
        <w:trPr>
          <w:tblHeader/>
        </w:trP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Field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Required Length</w:t>
            </w:r>
          </w:p>
        </w:tc>
        <w:tc>
          <w:tcPr>
            <w:tcW w:type="dxa" w:w="5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API Endpoint Pattern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FundCode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4 digits</w:t>
            </w:r>
          </w:p>
        </w:tc>
        <w:tc>
          <w:tcPr>
            <w:tcW w:type="dxa" w:w="5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{FINANCE_BASE_EDFI}/fundDimensions?fiscalYear=2025&amp;code={code}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FunctionCode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5 digits</w:t>
            </w:r>
          </w:p>
        </w:tc>
        <w:tc>
          <w:tcPr>
            <w:tcW w:type="dxa" w:w="5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{FINANCE_BASE_EDFI}/functionDimensions?fiscalYear=2025&amp;code={code}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ObjectCode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3 digits</w:t>
            </w:r>
          </w:p>
        </w:tc>
        <w:tc>
          <w:tcPr>
            <w:tcW w:type="dxa" w:w="5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{FINANCE_BASE_EDFI}/objectDimensions?fiscalYear=2025&amp;code={code}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OperationalUnitCode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4 digits</w:t>
            </w:r>
          </w:p>
        </w:tc>
        <w:tc>
          <w:tcPr>
            <w:tcW w:type="dxa" w:w="5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{FINANCE_BASE_EDFI}/operationalUnitDimensions?fiscalYear=2025&amp;code={code}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SectionCode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 character</w:t>
            </w:r>
          </w:p>
        </w:tc>
        <w:tc>
          <w:tcPr>
            <w:tcW w:type="dxa" w:w="5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{FINANCE_BASE_IDOE}/sectionDimensions?fiscalYear=2025&amp;code={code}</w:t>
            </w:r>
          </w:p>
        </w:tc>
      </w:tr>
      <w:tr>
        <w:tc>
          <w:tcPr>
            <w:tcW w:type="dxa" w:w="2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SubCategoryCode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 digits</w:t>
            </w:r>
          </w:p>
        </w:tc>
        <w:tc>
          <w:tcPr>
            <w:tcW w:type="dxa" w:w="59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{FINANCE_BASE_IDOE}/subCategoryDimensions?fiscalYear=2025&amp;code={code}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Pass condition: HTTP 200 with at least one record returned. Fail condition: HTTP 200 with empty list, or any non-200 status. Zero-padding is required when codes have fewer digits than the required length.</w:t>
      </w:r>
    </w:p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4.2 Chart of Accounts API Validation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ChartOfAccountIdentifier and ChartOfAccountEducationOrganizationId are validated jointly via: GET {FINANCE_BASE_EDFI}/chartOfAccounts?fiscalYear=2025&amp;accountIdentifier={id}&amp;educationOrganizationId={edorgId}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Pass: HTTP 200 with ≥ 1 record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Fail: Empty response or non-200 status</w:t>
      </w:r>
    </w:p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4.3 Financial Collection Descriptor Validation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The FinancialCollectionDescriptor field contains a full URI (e.g., uri://doe.in.gov/FinancialCollectionDescriptor#1). The code value after '#' is extracted and validated via: GET {FINANCE_BASE_EDFI}/financialCollectionDescriptors?codeValue={code}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Pass: HTTP 200 with ≥ 1 record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Fail: Empty response or non-200 status</w:t>
      </w:r>
    </w:p>
    <w:p>
      <w:pPr>
        <w:pBdr>
          <w:bottom w:val="single" w:color="E2E8F0" w:sz="4"/>
        </w:pBdr>
        <w:spacing w:after="80" w:before="80"/>
      </w:pPr>
    </w:p>
    <w:p>
      <w:pPr>
        <w:pStyle w:val="Heading1"/>
        <w:spacing w:after="120" w:before="360"/>
        <w:outlineLvl w:val="0"/>
      </w:pPr>
      <w:r>
        <w:rPr>
          <w:rFonts w:ascii="Calibri" w:cs="Calibri" w:eastAsia="Calibri" w:hAnsi="Calibri"/>
          <w:b/>
          <w:bCs/>
          <w:smallCaps/>
          <w:color w:val="2F4FFB"/>
          <w:sz w:val="32"/>
          <w:szCs w:val="32"/>
        </w:rPr>
        <w:t xml:space="preserve">5. Delete Verification Rules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The delete verification module sends a GET request to the path-parameter endpoint: {BASE_URL}/{resourceName}/{recordId}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HTTP Status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Result</w:t>
            </w:r>
          </w:p>
        </w:tc>
        <w:tc>
          <w:tcPr>
            <w:tcW w:type="dxa" w:w="6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Interpretation</w:t>
            </w:r>
          </w:p>
        </w:tc>
      </w:tr>
      <w:tr>
        <w:tc>
          <w:tcPr>
            <w:tcW w:type="dxa" w:w="1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404 Not Found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✅ Pass</w:t>
            </w:r>
          </w:p>
        </w:tc>
        <w:tc>
          <w:tcPr>
            <w:tcW w:type="dxa" w:w="6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Record does not exist in the ODS. Delete verified.</w:t>
            </w:r>
          </w:p>
        </w:tc>
      </w:tr>
      <w:tr>
        <w:tc>
          <w:tcPr>
            <w:tcW w:type="dxa" w:w="1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410 Gone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✅ Pass</w:t>
            </w:r>
          </w:p>
        </w:tc>
        <w:tc>
          <w:tcPr>
            <w:tcW w:type="dxa" w:w="6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Record permanently deleted.</w:t>
            </w:r>
          </w:p>
        </w:tc>
      </w:tr>
      <w:tr>
        <w:tc>
          <w:tcPr>
            <w:tcW w:type="dxa" w:w="1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200 + Empty Body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✅ Pass</w:t>
            </w:r>
          </w:p>
        </w:tc>
        <w:tc>
          <w:tcPr>
            <w:tcW w:type="dxa" w:w="6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API returned blank/empty response; no data for this Record ID.</w:t>
            </w:r>
          </w:p>
        </w:tc>
      </w:tr>
      <w:tr>
        <w:tc>
          <w:tcPr>
            <w:tcW w:type="dxa" w:w="1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200 + Data Present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6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Record STILL EXISTS. Vendor must delete before certification.</w:t>
            </w:r>
          </w:p>
        </w:tc>
      </w:tr>
      <w:tr>
        <w:tc>
          <w:tcPr>
            <w:tcW w:type="dxa" w:w="1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Other Status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6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Unexpected response; verify Record ID and endpoint URL.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Resources covered: LocalAccount, LocalActual, LocalCapitalizedEquipment, LocalSubaward, LocalUnusedLeavePayment.</w:t>
      </w:r>
    </w:p>
    <w:p>
      <w:pPr>
        <w:pBdr>
          <w:bottom w:val="single" w:color="E2E8F0" w:sz="4"/>
        </w:pBdr>
        <w:spacing w:after="80" w:before="80"/>
      </w:pPr>
    </w:p>
    <w:p>
      <w:pPr>
        <w:pStyle w:val="Heading1"/>
        <w:spacing w:after="120" w:before="360"/>
        <w:outlineLvl w:val="0"/>
      </w:pPr>
      <w:r>
        <w:rPr>
          <w:rFonts w:ascii="Calibri" w:cs="Calibri" w:eastAsia="Calibri" w:hAnsi="Calibri"/>
          <w:b/>
          <w:bCs/>
          <w:smallCaps/>
          <w:color w:val="2F4FFB"/>
          <w:sz w:val="32"/>
          <w:szCs w:val="32"/>
        </w:rPr>
        <w:t xml:space="preserve">6. Reset Verification Rules</w:t>
      </w:r>
    </w:p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The reset verification module sends a GET request with query parameters: ?educationOrganizationId={id}&amp;fiscalYear={fy}&amp;financialCollectionDescriptor={descriptor}&amp;totalCount=true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Condition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Result</w:t>
            </w:r>
          </w:p>
        </w:tc>
        <w:tc>
          <w:tcPr>
            <w:tcW w:type="dxa" w:w="6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Interpretation</w:t>
            </w:r>
          </w:p>
        </w:tc>
      </w:tr>
      <w:tr>
        <w:tc>
          <w:tcPr>
            <w:tcW w:type="dxa" w:w="1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HTTP 200, Count = 0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✅ Pass</w:t>
            </w:r>
          </w:p>
        </w:tc>
        <w:tc>
          <w:tcPr>
            <w:tcW w:type="dxa" w:w="6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All records for this org/year/descriptor have been reset. No data remains.</w:t>
            </w:r>
          </w:p>
        </w:tc>
      </w:tr>
      <w:tr>
        <w:tc>
          <w:tcPr>
            <w:tcW w:type="dxa" w:w="1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HTTP 200, Count &gt; 0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6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Records still exist. Vendor must delete or post zero-value records.</w:t>
            </w:r>
          </w:p>
        </w:tc>
      </w:tr>
      <w:tr>
        <w:tc>
          <w:tcPr>
            <w:tcW w:type="dxa" w:w="1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HTTP 200, Count unparseable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⚠️ Flag</w:t>
            </w:r>
          </w:p>
        </w:tc>
        <w:tc>
          <w:tcPr>
            <w:tcW w:type="dxa" w:w="6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Manual verification required.</w:t>
            </w:r>
          </w:p>
        </w:tc>
      </w:tr>
      <w:tr>
        <w:tc>
          <w:tcPr>
            <w:tcW w:type="dxa" w:w="18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Non-200 Status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❌ Fail</w:t>
            </w:r>
          </w:p>
        </w:tc>
        <w:tc>
          <w:tcPr>
            <w:tcW w:type="dxa" w:w="63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Endpoint unreachable or query parameters incorrect.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Resources covered: LocalActual, LocalCapitalizedEquipment, LocalSubaward, LocalUnusedLeavePayment. Note: LocalAccount is NOT included in the reset verification check.</w:t>
      </w:r>
    </w:p>
    <w:p>
      <w:pPr>
        <w:pBdr>
          <w:bottom w:val="single" w:color="E2E8F0" w:sz="4"/>
        </w:pBdr>
        <w:spacing w:after="80" w:before="80"/>
      </w:pPr>
    </w:p>
    <w:p>
      <w:pPr>
        <w:pStyle w:val="Heading1"/>
        <w:spacing w:after="120" w:before="360"/>
        <w:outlineLvl w:val="0"/>
      </w:pPr>
      <w:r>
        <w:rPr>
          <w:rFonts w:ascii="Calibri" w:cs="Calibri" w:eastAsia="Calibri" w:hAnsi="Calibri"/>
          <w:b/>
          <w:bCs/>
          <w:smallCaps/>
          <w:color w:val="2F4FFB"/>
          <w:sz w:val="32"/>
          <w:szCs w:val="32"/>
        </w:rPr>
        <w:t xml:space="preserve">Document Information</w:t>
      </w:r>
    </w:p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Change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040"/>
        <w:gridCol w:w="1200"/>
        <w:gridCol w:w="2160"/>
        <w:gridCol w:w="2400"/>
      </w:tblGrid>
      <w:tr>
        <w:trPr>
          <w:tblHeader/>
        </w:trPr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Date</w:t>
            </w:r>
          </w:p>
        </w:tc>
        <w:tc>
          <w:tcPr>
            <w:tcW w:type="dxa" w:w="204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Author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Version</w:t>
            </w:r>
          </w:p>
        </w:tc>
        <w:tc>
          <w:tcPr>
            <w:tcW w:type="dxa" w:w="2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Status</w:t>
            </w:r>
          </w:p>
        </w:tc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Change Reference</w:t>
            </w:r>
          </w:p>
        </w:tc>
      </w:tr>
      <w:tr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2026-04-01</w:t>
            </w:r>
          </w:p>
        </w:tc>
        <w:tc>
          <w:tcPr>
            <w:tcW w:type="dxa" w:w="204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Edwise Group</w:t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2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Draft</w:t>
            </w:r>
          </w:p>
        </w:tc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Initial draft</w:t>
            </w:r>
          </w:p>
        </w:tc>
      </w:tr>
      <w:tr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4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4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1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Status: Draft — Being edited; Baseline — Ready for review; Signoff Candidate — Issued to Client; Published — Approved</w:t>
      </w:r>
    </w:p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Contributors and Reviewers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Name</w:t>
            </w:r>
          </w:p>
        </w:tc>
        <w:tc>
          <w:tcPr>
            <w:tcW w:type="dxa" w:w="468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Title</w:t>
            </w:r>
          </w:p>
        </w:tc>
      </w:tr>
      <w:tr>
        <w:tc>
          <w:tcPr>
            <w:tcW w:type="dxa" w:w="468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68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68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68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80" w:before="280"/>
        <w:outlineLvl w:val="1"/>
      </w:pPr>
      <w:r>
        <w:rPr>
          <w:rFonts w:ascii="Calibri" w:cs="Calibri" w:eastAsia="Calibri" w:hAnsi="Calibri"/>
          <w:b/>
          <w:bCs/>
          <w:color w:val="239CFF"/>
          <w:sz w:val="26"/>
          <w:szCs w:val="26"/>
        </w:rPr>
        <w:t xml:space="preserve">Approvers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1560"/>
        <w:gridCol w:w="1560"/>
        <w:gridCol w:w="3720"/>
      </w:tblGrid>
      <w:tr>
        <w:trPr>
          <w:tblHeader/>
        </w:trPr>
        <w:tc>
          <w:tcPr>
            <w:tcW w:type="dxa" w:w="25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Name</w:t>
            </w:r>
          </w:p>
        </w:tc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Version</w:t>
            </w:r>
          </w:p>
        </w:tc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Date</w:t>
            </w:r>
          </w:p>
        </w:tc>
        <w:tc>
          <w:tcPr>
            <w:tcW w:type="dxa" w:w="37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99D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Comments</w:t>
            </w:r>
          </w:p>
        </w:tc>
      </w:tr>
      <w:tr>
        <w:tc>
          <w:tcPr>
            <w:tcW w:type="dxa" w:w="25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720"/>
            <w:tcBorders>
              <w:top w:val="single" w:color="239CFF" w:sz="4"/>
              <w:left w:val="single" w:color="239CFF" w:sz="4"/>
              <w:bottom w:val="single" w:color="239CFF" w:sz="4"/>
              <w:right w:val="single" w:color="239CF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9"/>
      <w:footerReference w:type="default" r:id="rId10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2"/>
      </w:pBdr>
      <w:tabs>
        <w:tab w:val="right" w:pos="9026"/>
      </w:tabs>
      <w:spacing w:after="0" w:before="60"/>
    </w:pPr>
    <w:r>
      <w:rPr>
        <w:rFonts w:ascii="Calibri" w:cs="Calibri" w:eastAsia="Calibri" w:hAnsi="Calibri"/>
        <w:color w:val="239CFF"/>
        <w:sz w:val="16"/>
        <w:szCs w:val="16"/>
      </w:rPr>
      <w:t xml:space="preserve">www.edwisegroup.com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595959"/>
        <w:sz w:val="16"/>
        <w:szCs w:val="16"/>
      </w:rPr>
      <w:t xml:space="preserve">© Edwise Group — Confidential  |  Page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tabs>
        <w:tab w:val="right" w:pos="9026"/>
      </w:tabs>
      <w:spacing w:after="80" w:before="0"/>
    </w:pPr>
    <w:r>
      <w:drawing>
        <wp:inline distT="0" distB="0" distL="0" distR="0">
          <wp:extent cx="4381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81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595959"/>
        <w:sz w:val="16"/>
        <w:szCs w:val="16"/>
      </w:rPr>
      <w:t xml:space="preserve">EdWise Finance Portal – Validation Rules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360"/>
      <w:outlineLvl w:val="0"/>
    </w:pPr>
    <w:rPr>
      <w:rFonts w:ascii="Calibri" w:cs="Calibri" w:eastAsia="Calibri" w:hAnsi="Calibri"/>
      <w:b/>
      <w:bCs/>
      <w:smallCaps/>
      <w:color w:val="2F4FFB"/>
      <w:sz w:val="32"/>
      <w:szCs w:val="32"/>
    </w:rPr>
  </w:style>
  <w:style w:type="paragraph" w:styleId="Heading2">
    <w:name w:val="Heading 2"/>
    <w:basedOn w:val="Normal"/>
    <w:next w:val="Normal"/>
    <w:pPr>
      <w:spacing w:after="80" w:before="280"/>
      <w:outlineLvl w:val="1"/>
    </w:pPr>
    <w:rPr>
      <w:rFonts w:ascii="Calibri" w:cs="Calibri" w:eastAsia="Calibri" w:hAnsi="Calibri"/>
      <w:b/>
      <w:bCs/>
      <w:color w:val="239CFF"/>
      <w:sz w:val="26"/>
      <w:szCs w:val="26"/>
    </w:rPr>
  </w:style>
  <w:style w:type="paragraph" w:styleId="Heading3">
    <w:name w:val="Heading 3"/>
    <w:basedOn w:val="Normal"/>
    <w:next w:val="Normal"/>
    <w:pPr>
      <w:spacing w:after="60" w:before="200"/>
      <w:outlineLvl w:val="2"/>
    </w:pPr>
    <w:rPr>
      <w:rFonts w:ascii="Calibri" w:cs="Calibri" w:eastAsia="Calibri" w:hAnsi="Calibri"/>
      <w:b w:val="false"/>
      <w:bCs w:val="false"/>
      <w:color w:val="239CF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0b8b09fbfd32f9ca0fce39c2714849e312c874b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9b70c0203995802806017eb4031f88c01e8a81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2026-04-01T04:37:38.050Z</dcterms:created>
  <dcterms:modified xsi:type="dcterms:W3CDTF">2026-04-01T04:37:38.050Z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