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this varies within couples.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usually examine one outcome at a time, though a day’s activities must sum to 1,440 minutes.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Trend studies document a narrowing of husbands’ and wives’ housework</w:t>
      </w:r>
      <w:r>
        <w:t xml:space="preserve"> </w:t>
      </w:r>
      <w:r>
        <w:t xml:space="preserve">since the 1960s, but no convergence to equality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Cross-national studies</w:t>
      </w:r>
      <w:r>
        <w:t xml:space="preserve"> </w:t>
      </w:r>
      <w:r>
        <w:t xml:space="preserve">show that the gap is larger where macro-level gender inequality is</w:t>
      </w:r>
      <w:r>
        <w:t xml:space="preserve"> </w:t>
      </w:r>
      <w:r>
        <w:t xml:space="preserve">greater and where policies support a male-breadwinner arrangement</w:t>
      </w:r>
      <w:r>
        <w:t xml:space="preserve"> </w:t>
      </w:r>
      <w:r>
        <w:t xml:space="preserve">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Aguiar &amp;</w:t>
      </w:r>
      <w:r>
        <w:t xml:space="preserve"> </w:t>
      </w:r>
      <w:r>
        <w:t xml:space="preserve">Hurst () and Gimenez-Nadal &amp;</w:t>
      </w:r>
      <w:r>
        <w:t xml:space="preserve"> </w:t>
      </w:r>
      <w:r>
        <w:t xml:space="preserve">Sevilla () use complete time</w:t>
      </w:r>
      <w:r>
        <w:t xml:space="preserve"> </w:t>
      </w:r>
      <w:r>
        <w:t xml:space="preserve">budgets to trace substitution between market work, home production and</w:t>
      </w:r>
      <w:r>
        <w:t xml:space="preserve"> </w:t>
      </w:r>
      <w:r>
        <w:t xml:space="preserve">leisure. Burda et al. () show that in</w:t>
      </w:r>
      <w:r>
        <w:t xml:space="preserve"> </w:t>
      </w:r>
      <w:r>
        <w:t xml:space="preserve">rich countries men and women do roughly the same total amount of paid</w:t>
      </w:r>
      <w:r>
        <w:t xml:space="preserve"> </w:t>
      </w:r>
      <w:r>
        <w:t xml:space="preserve">and unpaid work, while in poorer countries women do more. Marriage could</w:t>
      </w:r>
      <w:r>
        <w:t xml:space="preserve"> </w:t>
      </w:r>
      <w:r>
        <w:t xml:space="preserve">therefore raise women’s total work, or it could shift work from the</w:t>
      </w:r>
      <w:r>
        <w:t xml:space="preserve"> </w:t>
      </w:r>
      <w:r>
        <w:t xml:space="preserve">market to the home with little change in total work. Only a full</w:t>
      </w:r>
      <w:r>
        <w:t xml:space="preserve"> </w:t>
      </w:r>
      <w:r>
        <w:t xml:space="preserve">accounting distinguishes the two.</w:t>
      </w:r>
    </w:p>
    <w:p>
      <w:pPr>
        <w:pStyle w:val="BodyText"/>
      </w:pPr>
      <w:r>
        <w:t xml:space="preserve">Free time also differs in quality: women’s leisure is more often</w:t>
      </w:r>
      <w:r>
        <w:t xml:space="preserve"> </w:t>
      </w:r>
      <w:r>
        <w:t xml:space="preserve">fragmented or combined with care (; ). 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 (); married</w:t>
      </w:r>
      <w:r>
        <w:t xml:space="preserve"> </w:t>
      </w:r>
      <w:r>
        <w:t xml:space="preserve">Americans have fewer ties to kin, friends and neighbours than the</w:t>
      </w:r>
      <w:r>
        <w:t xml:space="preserve"> </w:t>
      </w:r>
      <w:r>
        <w:t xml:space="preserve">never-married 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</w:t>
      </w:r>
      <w:r>
        <w:t xml:space="preserve"> </w:t>
      </w:r>
      <w:r>
        <w:t xml:space="preserve">Self-reported sleep problems follow both gender and socio-economic</w:t>
      </w:r>
      <w:r>
        <w:t xml:space="preserve"> </w:t>
      </w:r>
      <w:r>
        <w:t xml:space="preserve">position ().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Regional</w:t>
      </w:r>
      <w:r>
        <w:t xml:space="preserve"> </w:t>
      </w:r>
      <w:r>
        <w:t xml:space="preserve">differences in women’s autonomy are large and are not explained by</w:t>
      </w:r>
      <w:r>
        <w:t xml:space="preserve"> </w:t>
      </w:r>
      <w:r>
        <w:t xml:space="preserve">religion alone (). Joint residence could reduce a young wife’s domestic load if</w:t>
      </w:r>
      <w:r>
        <w:t xml:space="preserve"> </w:t>
      </w:r>
      <w:r>
        <w:t xml:space="preserve">senior women share the cooking and cleaning, or increase it if the</w:t>
      </w:r>
      <w:r>
        <w:t xml:space="preserve"> </w:t>
      </w:r>
      <w:r>
        <w:t xml:space="preserve">junior wife does the heaviest work. Its effect is an empirical question</w:t>
      </w:r>
      <w:r>
        <w:t xml:space="preserve"> </w:t>
      </w:r>
      <w:r>
        <w:t xml:space="preserve">that the 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ghted means by sex and marital status, ages 20–3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ried minus never-married, minutes per day, ages 20–39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</w:t>
      </w:r>
      <w:r>
        <w:t xml:space="preserve"> </w:t>
      </w:r>
      <w:hyperlink w:anchor="S-fig:fig-decomp">
        <w:r>
          <w:rPr>
            <w:rStyle w:val="Hyperlink"/>
          </w:rPr>
          <w:t xml:space="preserve">[S-fig:fig-decomp]</w:t>
        </w:r>
      </w:hyperlink>
      <w:r>
        <w:t xml:space="preserve"> </w:t>
      </w:r>
      <w:r>
        <w:t xml:space="preserve">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esidence">
        <w:r>
          <w:rPr>
            <w:rStyle w:val="Hyperlink"/>
          </w:rPr>
          <w:t xml:space="preserve">[S-tab:residence]</w:t>
        </w:r>
      </w:hyperlink>
      <w:r>
        <w:t xml:space="preserve"> </w:t>
      </w:r>
      <w:r>
        <w:t xml:space="preserve">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men: married minus never-married under alternative treatments of selection, minutes per day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</w:t>
      </w:r>
      <w:r>
        <w:t xml:space="preserve"> </w:t>
      </w:r>
      <w:hyperlink w:anchor="S-fig:fig-overlap">
        <w:r>
          <w:rPr>
            <w:rStyle w:val="Hyperlink"/>
          </w:rPr>
          <w:t xml:space="preserve">[S-fig:fig-overlap]</w:t>
        </w:r>
      </w:hyperlink>
      <w:r>
        <w:t xml:space="preserve"> </w:t>
      </w:r>
      <w:r>
        <w:t xml:space="preserve">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</w:t>
      </w:r>
      <w:r>
        <w:t xml:space="preserve"> </w:t>
      </w:r>
      <w:r>
        <w:t xml:space="preserve">Table</w:t>
      </w:r>
      <w:r>
        <w:t xml:space="preserve"> </w:t>
      </w:r>
      <w:hyperlink w:anchor="S-tab:balance">
        <w:r>
          <w:rPr>
            <w:rStyle w:val="Hyperlink"/>
          </w:rPr>
          <w:t xml:space="preserve">[S-tab:balance]</w:t>
        </w:r>
      </w:hyperlink>
      <w:r>
        <w:t xml:space="preserve"> </w:t>
      </w:r>
      <w:r>
        <w:t xml:space="preserve">is 0.13, and Appendix Table</w:t>
      </w:r>
      <w:r>
        <w:t xml:space="preserve"> </w:t>
      </w:r>
      <w:hyperlink w:anchor="S-tab:oster">
        <w:r>
          <w:rPr>
            <w:rStyle w:val="Hyperlink"/>
          </w:rPr>
          <w:t xml:space="preserve">[S-tab:oster]</w:t>
        </w:r>
      </w:hyperlink>
      <w:r>
        <w:t xml:space="preserve"> </w:t>
      </w:r>
      <w:r>
        <w:t xml:space="preserve">reports the coefficient-stability calculation in full.</w:t>
      </w:r>
      <w:r>
        <w:t xml:space="preserve"> </w:t>
      </w:r>
      <w:r>
        <w:t xml:space="preserve">The reweighted, regression-adjusted coefficient is 233.0 minutes (SE</w:t>
      </w:r>
      <w:r>
        <w:t xml:space="preserve"> </w:t>
      </w:r>
      <w:r>
        <w:t xml:space="preserve">5.5) (without controls, 248.7 minutes (SE 5.8)). Reweighting</w:t>
      </w:r>
      <w:r>
        <w:t xml:space="preserve"> </w:t>
      </w:r>
      <w:r>
        <w:t xml:space="preserve">concentrates weight on the never-married women who most resemble the</w:t>
      </w:r>
      <w:r>
        <w:t xml:space="preserve"> </w:t>
      </w:r>
      <w:r>
        <w:t xml:space="preserve">married, so the effective sample of never-married women falls from</w:t>
      </w:r>
      <w:r>
        <w:t xml:space="preserve"> </w:t>
      </w:r>
      <w:r>
        <w:t xml:space="preserve">13,940 to about 1,209, and 2.0% of the weighted never-married have</w:t>
      </w:r>
      <w:r>
        <w:t xml:space="preserve"> </w:t>
      </w:r>
      <w:r>
        <w:t xml:space="preserve">propensities above the cap. The bias-adjusted coefficient on unpaid work</w:t>
      </w:r>
      <w:r>
        <w:t xml:space="preserve"> </w:t>
      </w:r>
      <w:r>
        <w:t xml:space="preserve">is 264.3 minutes. Selection on unobservables would have to be 18.1 times</w:t>
      </w:r>
      <w:r>
        <w:t xml:space="preserve"> </w:t>
      </w:r>
      <w:r>
        <w:t xml:space="preserve">as strong as selection on observables to explain away the unpaid-work</w:t>
      </w:r>
      <w:r>
        <w:t xml:space="preserve"> </w:t>
      </w:r>
      <w:r>
        <w:t xml:space="preserve">difference.</w:t>
      </w:r>
    </w:p>
    <w:p>
      <w:pPr>
        <w:pStyle w:val="BodyText"/>
      </w:pPr>
      <w:r>
        <w:t xml:space="preserve">Figure</w:t>
      </w:r>
      <w:r>
        <w:t xml:space="preserve"> </w:t>
      </w:r>
      <w:hyperlink w:anchor="S-fig:fig-agegrad">
        <w:r>
          <w:rPr>
            <w:rStyle w:val="Hyperlink"/>
          </w:rPr>
          <w:t xml:space="preserve">[S-fig:fig-agegrad]</w:t>
        </w:r>
      </w:hyperlink>
      <w:r>
        <w:t xml:space="preserve"> </w:t>
      </w:r>
      <w:r>
        <w:t xml:space="preserve">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couple gaps, linked couples with wives aged 20–5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</w:t>
      </w:r>
      <w:r>
        <w:t xml:space="preserve"> </w:t>
      </w:r>
      <w:hyperlink w:anchor="S-fig:fig-agegap">
        <w:r>
          <w:rPr>
            <w:rStyle w:val="Hyperlink"/>
          </w:rPr>
          <w:t xml:space="preserve">[S-fig:fig-agegap]</w:t>
        </w:r>
      </w:hyperlink>
      <w:r>
        <w:t xml:space="preserve"> </w:t>
      </w:r>
      <w:r>
        <w:t xml:space="preserve">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widow">
        <w:r>
          <w:rPr>
            <w:rStyle w:val="Hyperlink"/>
          </w:rPr>
          <w:t xml:space="preserve">[S-tab:widow]</w:t>
        </w:r>
      </w:hyperlink>
      <w:r>
        <w:t xml:space="preserve"> </w:t>
      </w:r>
      <w:r>
        <w:t xml:space="preserve">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obust">
        <w:r>
          <w:rPr>
            <w:rStyle w:val="Hyperlink"/>
          </w:rPr>
          <w:t xml:space="preserve">[S-tab:robust]</w:t>
        </w:r>
      </w:hyperlink>
      <w:r>
        <w:t xml:space="preserve"> </w:t>
      </w:r>
      <w:r>
        <w:t xml:space="preserve">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12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Aguiar, M., &amp; Hurst, E. (2007). Measuring trends in leisure: The</w:t>
      </w:r>
      <w:r>
        <w:t xml:space="preserve"> </w:t>
      </w:r>
      <w:r>
        <w:t xml:space="preserve">allocation of time over five decades.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122</w:t>
      </w:r>
      <w:r>
        <w:t xml:space="preserve">(3), 969–1006.</w:t>
      </w:r>
      <w:r>
        <w:t xml:space="preserve"> </w:t>
      </w:r>
      <w:hyperlink r:id="rId41">
        <w:r>
          <w:rPr>
            <w:rStyle w:val="Hyperlink"/>
          </w:rPr>
          <w:t xml:space="preserve">https://doi.org/10.1162/qjec.122.3.969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2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3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4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Arber, S., Bote, M., &amp; Meadows, R. (2009). Gender and socio-economic</w:t>
      </w:r>
      <w:r>
        <w:t xml:space="preserve"> </w:t>
      </w:r>
      <w:r>
        <w:t xml:space="preserve">patterning of self-reported sleep problems in</w:t>
      </w:r>
      <w:r>
        <w:t xml:space="preserve"> </w:t>
      </w:r>
      <w:r>
        <w:t xml:space="preserve">Britain</w:t>
      </w:r>
      <w:r>
        <w:t xml:space="preserve">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281–289.</w:t>
      </w:r>
      <w:r>
        <w:t xml:space="preserve"> </w:t>
      </w:r>
      <w:hyperlink r:id="rId45">
        <w:r>
          <w:rPr>
            <w:rStyle w:val="Hyperlink"/>
          </w:rPr>
          <w:t xml:space="preserve">https://doi.org/10.1016/j.socscimed.2008.10.016</w:t>
        </w:r>
      </w:hyperlink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6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7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8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9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51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Bianchi, S. M., Milkie, M. A., Sayer, L. C., &amp; Robinson, J. P. (2000).</w:t>
      </w:r>
      <w:r>
        <w:t xml:space="preserve"> </w:t>
      </w:r>
      <w:r>
        <w:t xml:space="preserve">Is anyone doing the housework? Trends in the gender division of</w:t>
      </w:r>
      <w:r>
        <w:t xml:space="preserve"> </w:t>
      </w:r>
      <w:r>
        <w:t xml:space="preserve">household labor.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 191–228.</w:t>
      </w:r>
      <w:r>
        <w:t xml:space="preserve"> </w:t>
      </w:r>
      <w:hyperlink r:id="rId52">
        <w:r>
          <w:rPr>
            <w:rStyle w:val="Hyperlink"/>
          </w:rPr>
          <w:t xml:space="preserve">https://doi.org/10.2307/2675569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3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4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Bittman, M., &amp; Wajcman, J. (2000). The rush hour: The character of</w:t>
      </w:r>
      <w:r>
        <w:t xml:space="preserve"> </w:t>
      </w:r>
      <w:r>
        <w:t xml:space="preserve">leisure time and gender equity.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</w:t>
      </w:r>
      <w:r>
        <w:t xml:space="preserve"> </w:t>
      </w:r>
      <w:r>
        <w:t xml:space="preserve">165–189.</w:t>
      </w:r>
      <w:r>
        <w:t xml:space="preserve"> </w:t>
      </w:r>
      <w:hyperlink r:id="rId55">
        <w:r>
          <w:rPr>
            <w:rStyle w:val="Hyperlink"/>
          </w:rPr>
          <w:t xml:space="preserve">https://doi.org/10.2307/2675568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6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7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8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9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60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61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62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63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4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5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6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7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8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9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70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71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72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Gimenez-Nadal, J. I., &amp; Sevilla, A. (2012). Trends in time allocation:</w:t>
      </w:r>
      <w:r>
        <w:t xml:space="preserve"> </w:t>
      </w:r>
      <w:r>
        <w:t xml:space="preserve">A cross-country analysis.</w:t>
      </w:r>
      <w:r>
        <w:t xml:space="preserve"> </w:t>
      </w:r>
      <w:r>
        <w:rPr>
          <w:i/>
          <w:iCs/>
        </w:rPr>
        <w:t xml:space="preserve">European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(6),</w:t>
      </w:r>
      <w:r>
        <w:t xml:space="preserve"> </w:t>
      </w:r>
      <w:r>
        <w:t xml:space="preserve">1338–1359.</w:t>
      </w:r>
      <w:r>
        <w:t xml:space="preserve"> </w:t>
      </w:r>
      <w:hyperlink r:id="rId73">
        <w:r>
          <w:rPr>
            <w:rStyle w:val="Hyperlink"/>
          </w:rPr>
          <w:t xml:space="preserve">https://doi.org/10.1016/j.euroecorev.2012.02.011</w:t>
        </w:r>
      </w:hyperlink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74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5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6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7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8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9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80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81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82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83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84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Jejeebhoy, S. J., &amp; Sathar, Z. A. (2001). Women’s autonomy in</w:t>
      </w:r>
      <w:r>
        <w:t xml:space="preserve"> </w:t>
      </w:r>
      <w:r>
        <w:t xml:space="preserve">India</w:t>
      </w:r>
      <w:r>
        <w:t xml:space="preserve"> </w:t>
      </w:r>
      <w:r>
        <w:t xml:space="preserve">and</w:t>
      </w:r>
      <w:r>
        <w:t xml:space="preserve"> </w:t>
      </w:r>
      <w:r>
        <w:t xml:space="preserve">Pakistan</w:t>
      </w:r>
      <w:r>
        <w:t xml:space="preserve">: The influence of religion and region.</w:t>
      </w:r>
      <w:r>
        <w:t xml:space="preserve"> </w:t>
      </w:r>
      <w:r>
        <w:rPr>
          <w:i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(4), 687–712.</w:t>
      </w:r>
      <w:r>
        <w:t xml:space="preserve"> </w:t>
      </w:r>
      <w:hyperlink r:id="rId85">
        <w:r>
          <w:rPr>
            <w:rStyle w:val="Hyperlink"/>
          </w:rPr>
          <w:t xml:space="preserve">https://doi.org/10.1111/j.1728-4457.2001.00687.x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Kan, M. Y., Sullivan, O., &amp; Gershuny, J. (2011). Gender convergence in</w:t>
      </w:r>
      <w:r>
        <w:t xml:space="preserve"> </w:t>
      </w:r>
      <w:r>
        <w:t xml:space="preserve">domestic work: Discerning the effects of interactional and institutional</w:t>
      </w:r>
      <w:r>
        <w:t xml:space="preserve"> </w:t>
      </w:r>
      <w:r>
        <w:t xml:space="preserve">barriers from large-scale data.</w:t>
      </w:r>
      <w: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(2),</w:t>
      </w:r>
      <w:r>
        <w:t xml:space="preserve"> </w:t>
      </w:r>
      <w:r>
        <w:t xml:space="preserve">234–251.</w:t>
      </w:r>
      <w:r>
        <w:t xml:space="preserve"> </w:t>
      </w:r>
      <w:hyperlink r:id="rId87">
        <w:r>
          <w:rPr>
            <w:rStyle w:val="Hyperlink"/>
          </w:rPr>
          <w:t xml:space="preserve">https://doi.org/10.1177/0038038510394014</w:t>
        </w:r>
      </w:hyperlink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8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9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90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91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92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93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94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95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7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8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 india 2019</w:t>
      </w:r>
      <w:r>
        <w:t xml:space="preserve">.</w:t>
      </w:r>
      <w:r>
        <w:t xml:space="preserve"> </w:t>
      </w:r>
      <w:r>
        <w:t xml:space="preserve">Ministry of Statistics; Programme Implementation, Government of India.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 Ministry of Statistics; Programme</w:t>
      </w:r>
      <w:r>
        <w:t xml:space="preserve"> </w:t>
      </w:r>
      <w:r>
        <w:t xml:space="preserve">Implementation, Government of India.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9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100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101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102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103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Sayer, L. C. (2005). Gender, time and inequality: Trends in women’s and</w:t>
      </w:r>
      <w:r>
        <w:t xml:space="preserve"> </w:t>
      </w:r>
      <w:r>
        <w:t xml:space="preserve">men’s paid work, unpaid work and free time.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(1), 285–303.</w:t>
      </w:r>
      <w:r>
        <w:t xml:space="preserve"> </w:t>
      </w:r>
      <w:hyperlink r:id="rId104">
        <w:r>
          <w:rPr>
            <w:rStyle w:val="Hyperlink"/>
          </w:rPr>
          <w:t xml:space="preserve">https://doi.org/10.1353/sof.2005.0126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105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106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107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8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10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11">
        <w:r>
          <w:rPr>
            <w:rStyle w:val="Hyperlink"/>
          </w:rPr>
          <w:t xml:space="preserve">https://doi.org/10.1177/0891243287001002002</w:t>
        </w:r>
      </w:hyperlink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2026-10-12T14:56:47Z</dcterms:created>
  <dcterms:modified xsi:type="dcterms:W3CDTF">2026-10-12T14:56:47Z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this varies within couples.Background: Studies usually examine one outcome at a time, though a day’s activities must sum to 1,440 minutes.Method: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men’s.Keywords: marriage, time use, unpaid work, gender, patrilocality, India</vt:lpwstr>
  </property>
  <property fmtid="{D5CDD505-2E9C-101B-9397-08002B2CF9AE}" pid="3" name="date">
    <vt:lpwstr/>
  </property>
</Properties>
</file>