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Married and Never-Married Days: Marriage, Gender and the Full</w:t>
      </w:r>
      <w:r>
        <w:t xml:space="preserve"> </w:t>
      </w:r>
      <w:r>
        <w:t xml:space="preserve">Time Budget in India</w:t>
      </w:r>
    </w:p>
    <w:p>
      <w:pPr>
        <w:pStyle w:val="Author"/>
      </w:pPr>
      <w:r>
        <w:t xml:space="preserve">Manuscript anonymized for review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b/>
          <w:bCs/>
        </w:rPr>
        <w:t xml:space="preserve">Objective:</w:t>
      </w:r>
      <w:r>
        <w:t xml:space="preserve"> </w:t>
      </w:r>
      <w:r>
        <w:t xml:space="preserve">This study asks which activities differ alongside married Indian women’s higher unpaid work, and how the division varies within couples and with co-residence with parents-in-law.</w:t>
      </w:r>
    </w:p>
    <w:p>
      <w:pPr>
        <w:pStyle w:val="Abstract"/>
      </w:pPr>
      <w:r>
        <w:rPr>
          <w:b/>
          <w:bCs/>
        </w:rPr>
        <w:t xml:space="preserve">Background:</w:t>
      </w:r>
      <w:r>
        <w:t xml:space="preserve"> </w:t>
      </w:r>
      <w:r>
        <w:t xml:space="preserve">Studies of marriage and time use usually examine one outcome at a time, such as housework or sleep. Because a day’s activities must sum to 1,440 minutes, differences in one activity must be matched elsewhere, and India’s patrilocal marriage system makes these trade-offs especially consequential for women.</w:t>
      </w:r>
    </w:p>
    <w:p>
      <w:pPr>
        <w:pStyle w:val="Abstract"/>
      </w:pPr>
      <w:r>
        <w:rPr>
          <w:b/>
          <w:bCs/>
        </w:rPr>
        <w:t xml:space="preserve">Method:</w:t>
      </w:r>
      <w:r>
        <w:t xml:space="preserve"> </w:t>
      </w:r>
      <w:r>
        <w:t xml:space="preserve">Using all 450,457 diaries of India’s Time Use Survey 2024, the study compares 88,337 married and never-married women and 87,364 men aged 20 to 39 across nine activity divisions. Selection is addressed by age restriction, reweighting and bias adjustment; 106,858 linked couples give within-household comparisons.</w:t>
      </w:r>
    </w:p>
    <w:p>
      <w:pPr>
        <w:pStyle w:val="Abstract"/>
      </w:pPr>
      <w:r>
        <w:rPr>
          <w:b/>
          <w:bCs/>
        </w:rPr>
        <w:t xml:space="preserve">Results:</w:t>
      </w:r>
      <w:r>
        <w:t xml:space="preserve"> </w:t>
      </w:r>
      <w:r>
        <w:t xml:space="preserve">Married women reported 280 minutes more of unpaid domestic and care work than never-married women; for men the difference was 26 minutes more. Reweighted, it was 233; bias-adjusted, 264. Wives did 367 minutes more of unpaid work than their husbands, and their share of the couple’s unpaid work was 91%. Co-residence with parents-in-law made no detectable difference.</w:t>
      </w:r>
    </w:p>
    <w:p>
      <w:pPr>
        <w:pStyle w:val="Abstract"/>
      </w:pPr>
      <w:r>
        <w:rPr>
          <w:b/>
          <w:bCs/>
        </w:rPr>
        <w:t xml:space="preserve">Conclusion:</w:t>
      </w:r>
      <w:r>
        <w:t xml:space="preserve"> </w:t>
      </w:r>
      <w:r>
        <w:t xml:space="preserve">Marital status divides women’s days far more than men’s; married women’s additional unpaid work coincides mainly with less paid work and learning, and much of it accompanies motherhood rather than marriage alone.</w:t>
      </w:r>
    </w:p>
    <w:p>
      <w:pPr>
        <w:pStyle w:val="Abstract"/>
      </w:pPr>
      <w:r>
        <w:rPr>
          <w:b/>
          <w:bCs/>
        </w:rPr>
        <w:t xml:space="preserve">Keywords:</w:t>
      </w:r>
      <w:r>
        <w:t xml:space="preserve"> </w:t>
      </w:r>
      <w:r>
        <w:t xml:space="preserve">marriage, time use, unpaid work, gender, patrilocality, India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Marriage is closely tied to how time is used. In diary studies from</w:t>
      </w:r>
      <w:r>
        <w:t xml:space="preserve"> </w:t>
      </w:r>
      <w:r>
        <w:t xml:space="preserve">high-income countries, married women do more housework than women in</w:t>
      </w:r>
      <w:r>
        <w:t xml:space="preserve"> </w:t>
      </w:r>
      <w:r>
        <w:t xml:space="preserve">other living arrangements, and the gender gap in housework is largest</w:t>
      </w:r>
      <w:r>
        <w:t xml:space="preserve"> </w:t>
      </w:r>
      <w:r>
        <w:t xml:space="preserve">among the married (Shelton &amp; John,</w:t>
      </w:r>
      <w:r>
        <w:t xml:space="preserve"> </w:t>
      </w:r>
      <w:r>
        <w:t xml:space="preserve">1996; South &amp; Spitze, 1994). Men’s</w:t>
      </w:r>
      <w:r>
        <w:t xml:space="preserve"> </w:t>
      </w:r>
      <w:r>
        <w:t xml:space="preserve">housework, in contrast, falls or stays flat when they enter a union</w:t>
      </w:r>
      <w:r>
        <w:t xml:space="preserve"> </w:t>
      </w:r>
      <w:r>
        <w:t xml:space="preserve">(Baxter et al., 2008;</w:t>
      </w:r>
      <w:r>
        <w:t xml:space="preserve"> </w:t>
      </w:r>
      <w:r>
        <w:t xml:space="preserve">Gupta, 1999). Explanations range</w:t>
      </w:r>
      <w:r>
        <w:t xml:space="preserve"> </w:t>
      </w:r>
      <w:r>
        <w:t xml:space="preserve">from specialization within the household</w:t>
      </w:r>
      <w:r>
        <w:t xml:space="preserve"> </w:t>
      </w:r>
      <w:r>
        <w:t xml:space="preserve">(Becker, 1985,</w:t>
      </w:r>
      <w:r>
        <w:t xml:space="preserve"> </w:t>
      </w:r>
      <w:r>
        <w:t xml:space="preserve">1991) and bargaining over the</w:t>
      </w:r>
      <w:r>
        <w:t xml:space="preserve"> </w:t>
      </w:r>
      <w:r>
        <w:t xml:space="preserve">division of labor (Lundberg &amp;</w:t>
      </w:r>
      <w:r>
        <w:t xml:space="preserve"> </w:t>
      </w:r>
      <w:r>
        <w:t xml:space="preserve">Pollak, 1993; Manser &amp; Brown, 1980)</w:t>
      </w:r>
      <w:r>
        <w:t xml:space="preserve"> </w:t>
      </w:r>
      <w:r>
        <w:t xml:space="preserve">to the performance of gender in everyday interaction</w:t>
      </w:r>
      <w:r>
        <w:t xml:space="preserve"> </w:t>
      </w:r>
      <w:r>
        <w:t xml:space="preserve">(Akerlof &amp; Kranton, 2000;</w:t>
      </w:r>
      <w:r>
        <w:t xml:space="preserve"> </w:t>
      </w:r>
      <w:r>
        <w:t xml:space="preserve">Brines, 1994;</w:t>
      </w:r>
      <w:r>
        <w:t xml:space="preserve"> </w:t>
      </w:r>
      <w:r>
        <w:t xml:space="preserve">West &amp; Zimmerman, 1987).</w:t>
      </w:r>
    </w:p>
    <w:p>
      <w:pPr>
        <w:pStyle w:val="BodyText"/>
      </w:pPr>
      <w:r>
        <w:t xml:space="preserve">India offers a sharp setting for these questions. In the Time Use Survey</w:t>
      </w:r>
      <w:r>
        <w:t xml:space="preserve"> </w:t>
      </w:r>
      <w:r>
        <w:t xml:space="preserve">2024, 99% of women and 95% of men aged 35 to 39 have ever been</w:t>
      </w:r>
      <w:r>
        <w:t xml:space="preserve"> </w:t>
      </w:r>
      <w:r>
        <w:t xml:space="preserve">married. Residence after marriage is usually with the husband’s family</w:t>
      </w:r>
      <w:r>
        <w:t xml:space="preserve"> </w:t>
      </w:r>
      <w:r>
        <w:t xml:space="preserve">(Dyson &amp; Moore, 1983;</w:t>
      </w:r>
      <w:r>
        <w:t xml:space="preserve"> </w:t>
      </w:r>
      <w:r>
        <w:t xml:space="preserve">Khalil &amp; Mookerjee, 2019): 29% of</w:t>
      </w:r>
      <w:r>
        <w:t xml:space="preserve"> </w:t>
      </w:r>
      <w:r>
        <w:t xml:space="preserve">married women aged 20 to 39 in the survey are daughters-in-law of the</w:t>
      </w:r>
      <w:r>
        <w:t xml:space="preserve"> </w:t>
      </w:r>
      <w:r>
        <w:t xml:space="preserve">household head. Married women’s employment is low and has not risen with</w:t>
      </w:r>
      <w:r>
        <w:t xml:space="preserve"> </w:t>
      </w:r>
      <w:r>
        <w:t xml:space="preserve">education (Afridi et al., 2018;</w:t>
      </w:r>
      <w:r>
        <w:t xml:space="preserve"> </w:t>
      </w:r>
      <w:r>
        <w:t xml:space="preserve">Chatterjee et al., 2018;</w:t>
      </w:r>
      <w:r>
        <w:t xml:space="preserve"> </w:t>
      </w:r>
      <w:r>
        <w:t xml:space="preserve">Klasen &amp; Pieters, 2015). For most</w:t>
      </w:r>
      <w:r>
        <w:t xml:space="preserve"> </w:t>
      </w:r>
      <w:r>
        <w:t xml:space="preserve">Indian women, marriage is the transition that sets the terms of adult</w:t>
      </w:r>
      <w:r>
        <w:t xml:space="preserve"> </w:t>
      </w:r>
      <w:r>
        <w:t xml:space="preserve">time use.</w:t>
      </w:r>
    </w:p>
    <w:p>
      <w:pPr>
        <w:pStyle w:val="BodyText"/>
      </w:pPr>
      <w:r>
        <w:t xml:space="preserve">Most studies of marriage and time use take one outcome at a time.</w:t>
      </w:r>
      <w:r>
        <w:t xml:space="preserve"> </w:t>
      </w:r>
      <w:r>
        <w:t xml:space="preserve">Separate literatures examine housework</w:t>
      </w:r>
      <w:r>
        <w:t xml:space="preserve"> </w:t>
      </w:r>
      <w:r>
        <w:t xml:space="preserve">(Coltrane, 2000;</w:t>
      </w:r>
      <w:r>
        <w:t xml:space="preserve"> </w:t>
      </w:r>
      <w:r>
        <w:t xml:space="preserve">Lachance-Grzela &amp; Bouchard, 2010),</w:t>
      </w:r>
      <w:r>
        <w:t xml:space="preserve"> </w:t>
      </w:r>
      <w:r>
        <w:t xml:space="preserve">sleep (Burgard &amp; Ailshire, 2013;</w:t>
      </w:r>
      <w:r>
        <w:t xml:space="preserve"> </w:t>
      </w:r>
      <w:r>
        <w:t xml:space="preserve">Maume et al., 2010), free time</w:t>
      </w:r>
      <w:r>
        <w:t xml:space="preserve"> </w:t>
      </w:r>
      <w:r>
        <w:t xml:space="preserve">(Mattingly &amp; Bianchi, 2003), exercise</w:t>
      </w:r>
      <w:r>
        <w:t xml:space="preserve"> </w:t>
      </w:r>
      <w:r>
        <w:t xml:space="preserve">(Nomaguchi &amp; Bianchi, 2004) and</w:t>
      </w:r>
      <w:r>
        <w:t xml:space="preserve"> </w:t>
      </w:r>
      <w:r>
        <w:t xml:space="preserve">social ties (Sarkisian &amp;</w:t>
      </w:r>
      <w:r>
        <w:t xml:space="preserve"> </w:t>
      </w:r>
      <w:r>
        <w:t xml:space="preserve">Gerstel, 2016). A day is a fixed budget, however. Any increase in</w:t>
      </w:r>
      <w:r>
        <w:t xml:space="preserve"> </w:t>
      </w:r>
      <w:r>
        <w:t xml:space="preserve">unpaid work must come out of paid work, learning, leisure, social life,</w:t>
      </w:r>
      <w:r>
        <w:t xml:space="preserve"> </w:t>
      </w:r>
      <w:r>
        <w:t xml:space="preserve">self-care or sleep. Looking at one outcome at a time cannot tell which,</w:t>
      </w:r>
      <w:r>
        <w:t xml:space="preserve"> </w:t>
      </w:r>
      <w:r>
        <w:t xml:space="preserve">and a set of separate</w:t>
      </w:r>
      <w:r>
        <w:t xml:space="preserve"> </w:t>
      </w:r>
      <w:r>
        <w:t xml:space="preserve">“marriage penalties”</w:t>
      </w:r>
      <w:r>
        <w:t xml:space="preserve"> </w:t>
      </w:r>
      <w:r>
        <w:t xml:space="preserve">estimated on different</w:t>
      </w:r>
      <w:r>
        <w:t xml:space="preserve"> </w:t>
      </w:r>
      <w:r>
        <w:t xml:space="preserve">samples and specifications need not add up. For India, Janiso et al.</w:t>
      </w:r>
      <w:r>
        <w:t xml:space="preserve"> </w:t>
      </w:r>
      <w:r>
        <w:t xml:space="preserve">(2024) use the Time Use Survey 2019</w:t>
      </w:r>
      <w:r>
        <w:t xml:space="preserve"> </w:t>
      </w:r>
      <w:r>
        <w:t xml:space="preserve">to decompose the large gap between women and men in unpaid housework and</w:t>
      </w:r>
      <w:r>
        <w:t xml:space="preserve"> </w:t>
      </w:r>
      <w:r>
        <w:t xml:space="preserve">care work; this paper instead compares married with never-married women</w:t>
      </w:r>
      <w:r>
        <w:t xml:space="preserve"> </w:t>
      </w:r>
      <w:r>
        <w:t xml:space="preserve">and men, across the whole day, using the 2024 round. This paper</w:t>
      </w:r>
      <w:r>
        <w:t xml:space="preserve"> </w:t>
      </w:r>
      <w:r>
        <w:t xml:space="preserve">estimates the components together. I decompose the</w:t>
      </w:r>
      <w:r>
        <w:t xml:space="preserve"> </w:t>
      </w:r>
      <w:r>
        <w:t xml:space="preserve">married–never-married difference into all nine divisions of the</w:t>
      </w:r>
      <w:r>
        <w:t xml:space="preserve"> </w:t>
      </w:r>
      <w:r>
        <w:t xml:space="preserve">International Classification of Activities for Time-Use Statistics 2016</w:t>
      </w:r>
      <w:r>
        <w:t xml:space="preserve"> </w:t>
      </w:r>
      <w:r>
        <w:t xml:space="preserve">(ICATUS 2016, United Nations Statistics</w:t>
      </w:r>
      <w:r>
        <w:t xml:space="preserve"> </w:t>
      </w:r>
      <w:r>
        <w:t xml:space="preserve">Division, 2016). The divisions partition the day, so the components sum</w:t>
      </w:r>
      <w:r>
        <w:t xml:space="preserve"> </w:t>
      </w:r>
      <w:r>
        <w:t xml:space="preserve">to zero by construction, and sub-rows for sleep, socializing, exercise</w:t>
      </w:r>
      <w:r>
        <w:t xml:space="preserve"> </w:t>
      </w:r>
      <w:r>
        <w:t xml:space="preserve">and religious practice show where these commonly studied outcomes sit</w:t>
      </w:r>
      <w:r>
        <w:t xml:space="preserve"> </w:t>
      </w:r>
      <w:r>
        <w:t xml:space="preserve">within the budget.</w:t>
      </w:r>
    </w:p>
    <w:p>
      <w:pPr>
        <w:pStyle w:val="BodyText"/>
      </w:pPr>
      <w:r>
        <w:t xml:space="preserve">The paper makes three further contributions. First, it treats selection</w:t>
      </w:r>
      <w:r>
        <w:t xml:space="preserve"> </w:t>
      </w:r>
      <w:r>
        <w:t xml:space="preserve">into marriage as a central problem rather than a caveat. Never-married</w:t>
      </w:r>
      <w:r>
        <w:t xml:space="preserve"> </w:t>
      </w:r>
      <w:r>
        <w:t xml:space="preserve">women in their thirties are rare in India, and they are likely to differ</w:t>
      </w:r>
      <w:r>
        <w:t xml:space="preserve"> </w:t>
      </w:r>
      <w:r>
        <w:t xml:space="preserve">from married women in schooling, work orientation and health</w:t>
      </w:r>
      <w:r>
        <w:t xml:space="preserve"> </w:t>
      </w:r>
      <w:r>
        <w:t xml:space="preserve">(Goldman, 1993). I report the</w:t>
      </w:r>
      <w:r>
        <w:t xml:space="preserve"> </w:t>
      </w:r>
      <w:r>
        <w:t xml:space="preserve">decomposition for women aged 20 to 26, where never-married women are</w:t>
      </w:r>
      <w:r>
        <w:t xml:space="preserve"> </w:t>
      </w:r>
      <w:r>
        <w:t xml:space="preserve">least selected; reweight the never-married to the covariate distribution</w:t>
      </w:r>
      <w:r>
        <w:t xml:space="preserve"> </w:t>
      </w:r>
      <w:r>
        <w:t xml:space="preserve">of the married (DiNardo et al., 1996);</w:t>
      </w:r>
      <w:r>
        <w:t xml:space="preserve"> </w:t>
      </w:r>
      <w:r>
        <w:t xml:space="preserve">compute bias-adjusted coefficients and breakdown values in the spirit of</w:t>
      </w:r>
      <w:r>
        <w:t xml:space="preserve"> </w:t>
      </w:r>
      <w:r>
        <w:t xml:space="preserve">Oster (2019); and trace how the</w:t>
      </w:r>
      <w:r>
        <w:t xml:space="preserve"> </w:t>
      </w:r>
      <w:r>
        <w:t xml:space="preserve">gap changes with age as the never-married become more selected. Second,</w:t>
      </w:r>
      <w:r>
        <w:t xml:space="preserve"> </w:t>
      </w:r>
      <w:r>
        <w:t xml:space="preserve">it uses household structure to examine patrilocality directly. Comparing</w:t>
      </w:r>
      <w:r>
        <w:t xml:space="preserve"> </w:t>
      </w:r>
      <w:r>
        <w:t xml:space="preserve">daughters-in-law of the head with wives who head their own household (or</w:t>
      </w:r>
      <w:r>
        <w:t xml:space="preserve"> </w:t>
      </w:r>
      <w:r>
        <w:t xml:space="preserve">whose husband does) separates two accounts of the joint family: one in</w:t>
      </w:r>
      <w:r>
        <w:t xml:space="preserve"> </w:t>
      </w:r>
      <w:r>
        <w:t xml:space="preserve">which the mother-in-law shares domestic work, and one in which the</w:t>
      </w:r>
      <w:r>
        <w:t xml:space="preserve"> </w:t>
      </w:r>
      <w:r>
        <w:t xml:space="preserve">junior wife carries the heaviest load</w:t>
      </w:r>
      <w:r>
        <w:t xml:space="preserve"> </w:t>
      </w:r>
      <w:r>
        <w:t xml:space="preserve">(Kandiyoti, 1988). Third, it</w:t>
      </w:r>
      <w:r>
        <w:t xml:space="preserve"> </w:t>
      </w:r>
      <w:r>
        <w:t xml:space="preserve">links spouses’ diaries within households and examines the within-couple</w:t>
      </w:r>
      <w:r>
        <w:t xml:space="preserve"> </w:t>
      </w:r>
      <w:r>
        <w:t xml:space="preserve">division of unpaid work by the wife’s employment, spouses’ relative</w:t>
      </w:r>
      <w:r>
        <w:t xml:space="preserve"> </w:t>
      </w:r>
      <w:r>
        <w:t xml:space="preserve">education and the spousal age gap. These comparisons hold the household</w:t>
      </w:r>
      <w:r>
        <w:t xml:space="preserve"> </w:t>
      </w:r>
      <w:r>
        <w:t xml:space="preserve">constant and do not depend on the never-married comparison group.</w:t>
      </w:r>
    </w:p>
    <w:p>
      <w:pPr>
        <w:pStyle w:val="BodyText"/>
      </w:pPr>
      <w:r>
        <w:t xml:space="preserve">Married women aged 20 to 39 report 279.7 minutes (SE 2.5) more unpaid</w:t>
      </w:r>
      <w:r>
        <w:t xml:space="preserve"> </w:t>
      </w:r>
      <w:r>
        <w:t xml:space="preserve">domestic and care work per day than never-married women of the same age,</w:t>
      </w:r>
      <w:r>
        <w:t xml:space="preserve"> </w:t>
      </w:r>
      <w:r>
        <w:t xml:space="preserve">education, caste, religion and state. The corresponding difference for</w:t>
      </w:r>
      <w:r>
        <w:t xml:space="preserve"> </w:t>
      </w:r>
      <w:r>
        <w:t xml:space="preserve">men is 26.2 minutes (SE 0.9) more, and the gendered difference in a</w:t>
      </w:r>
      <w:r>
        <w:t xml:space="preserve"> </w:t>
      </w:r>
      <w:r>
        <w:t xml:space="preserve">pooled model is 261.9 minutes (SE 2.6). For women, the largest</w:t>
      </w:r>
      <w:r>
        <w:t xml:space="preserve"> </w:t>
      </w:r>
      <w:r>
        <w:t xml:space="preserve">offsetting reductions are in learning (119 minutes) and employment</w:t>
      </w:r>
      <w:r>
        <w:t xml:space="preserve"> </w:t>
      </w:r>
      <w:r>
        <w:t xml:space="preserve">(incl. travel) (85 minutes). Married women slept 9 minutes less than</w:t>
      </w:r>
      <w:r>
        <w:t xml:space="preserve"> </w:t>
      </w:r>
      <w:r>
        <w:t xml:space="preserve">never-married women. Among linked spouses, wives’ unpaid work exceeds</w:t>
      </w:r>
      <w:r>
        <w:t xml:space="preserve"> </w:t>
      </w:r>
      <w:r>
        <w:t xml:space="preserve">husbands’ by 366.9 minutes (SE 1.1) a day, and husbands’ paid work</w:t>
      </w:r>
      <w:r>
        <w:t xml:space="preserve"> </w:t>
      </w:r>
      <w:r>
        <w:t xml:space="preserve">exceeds wives’ by 336.4 minutes (SE 1.5).</w:t>
      </w:r>
    </w:p>
    <w:bookmarkEnd w:id="9"/>
    <w:bookmarkStart w:id="14" w:name="background"/>
    <w:p>
      <w:pPr>
        <w:pStyle w:val="Heading1"/>
      </w:pPr>
      <w:r>
        <w:t xml:space="preserve">Background</w:t>
      </w:r>
    </w:p>
    <w:bookmarkStart w:id="10" w:name="X1d6b3771fd25023756a600574cba792d743594c"/>
    <w:p>
      <w:pPr>
        <w:pStyle w:val="Heading2"/>
      </w:pPr>
      <w:r>
        <w:t xml:space="preserve">Marriage and the division of household</w:t>
      </w:r>
      <w:r>
        <w:t xml:space="preserve"> </w:t>
      </w:r>
      <w:r>
        <w:t xml:space="preserve">labor</w:t>
      </w:r>
    </w:p>
    <w:p>
      <w:pPr>
        <w:pStyle w:val="FirstParagraph"/>
      </w:pPr>
      <w:r>
        <w:t xml:space="preserve">The finding that marriage widens the gender gap in housework is among</w:t>
      </w:r>
      <w:r>
        <w:t xml:space="preserve"> </w:t>
      </w:r>
      <w:r>
        <w:t xml:space="preserve">the most replicated in family research. South &amp; Spitze</w:t>
      </w:r>
      <w:r>
        <w:t xml:space="preserve"> </w:t>
      </w:r>
      <w:r>
        <w:t xml:space="preserve">(1994) show that women in</w:t>
      </w:r>
      <w:r>
        <w:t xml:space="preserve"> </w:t>
      </w:r>
      <w:r>
        <w:t xml:space="preserve">married-couple households spend more time on housework than women in</w:t>
      </w:r>
      <w:r>
        <w:t xml:space="preserve"> </w:t>
      </w:r>
      <w:r>
        <w:t xml:space="preserve">other living arrangements. Panel studies find that men’s housework falls</w:t>
      </w:r>
      <w:r>
        <w:t xml:space="preserve"> </w:t>
      </w:r>
      <w:r>
        <w:t xml:space="preserve">when they marry or cohabit (Gupta,</w:t>
      </w:r>
      <w:r>
        <w:t xml:space="preserve"> </w:t>
      </w:r>
      <w:r>
        <w:t xml:space="preserve">1999), and that women’s housework responds more than men’s to union and</w:t>
      </w:r>
      <w:r>
        <w:t xml:space="preserve"> </w:t>
      </w:r>
      <w:r>
        <w:t xml:space="preserve">parenthood transitions (Baxter et al.,</w:t>
      </w:r>
      <w:r>
        <w:t xml:space="preserve"> </w:t>
      </w:r>
      <w:r>
        <w:t xml:space="preserve">2008; Sanchez &amp; Thomson, 1997).</w:t>
      </w:r>
    </w:p>
    <w:p>
      <w:pPr>
        <w:pStyle w:val="BodyText"/>
      </w:pPr>
      <w:r>
        <w:t xml:space="preserve">Two families of theory organize this work. In economic models, spouses</w:t>
      </w:r>
      <w:r>
        <w:t xml:space="preserve"> </w:t>
      </w:r>
      <w:r>
        <w:t xml:space="preserve">specialize by comparative advantage</w:t>
      </w:r>
      <w:r>
        <w:t xml:space="preserve"> </w:t>
      </w:r>
      <w:r>
        <w:t xml:space="preserve">(Becker, 1985,</w:t>
      </w:r>
      <w:r>
        <w:t xml:space="preserve"> </w:t>
      </w:r>
      <w:r>
        <w:t xml:space="preserve">1991), home production competes with</w:t>
      </w:r>
      <w:r>
        <w:t xml:space="preserve"> </w:t>
      </w:r>
      <w:r>
        <w:t xml:space="preserve">market work and leisure (Becker, 1965;</w:t>
      </w:r>
      <w:r>
        <w:t xml:space="preserve"> </w:t>
      </w:r>
      <w:r>
        <w:t xml:space="preserve">Gronau, 1977), and in bargaining</w:t>
      </w:r>
      <w:r>
        <w:t xml:space="preserve"> </w:t>
      </w:r>
      <w:r>
        <w:t xml:space="preserve">models a spouse’s earnings and outside options buy relief from housework</w:t>
      </w:r>
      <w:r>
        <w:t xml:space="preserve"> </w:t>
      </w:r>
      <w:r>
        <w:t xml:space="preserve">(Chiappori, 1992;</w:t>
      </w:r>
      <w:r>
        <w:t xml:space="preserve"> </w:t>
      </w:r>
      <w:r>
        <w:t xml:space="preserve">Lundberg &amp; Pollak, 1993;</w:t>
      </w:r>
      <w:r>
        <w:t xml:space="preserve"> </w:t>
      </w:r>
      <w:r>
        <w:t xml:space="preserve">Manser &amp; Brown, 1980;</w:t>
      </w:r>
      <w:r>
        <w:t xml:space="preserve"> </w:t>
      </w:r>
      <w:r>
        <w:t xml:space="preserve">McElroy &amp; Horney, 1981);</w:t>
      </w:r>
      <w:r>
        <w:t xml:space="preserve"> </w:t>
      </w:r>
      <w:r>
        <w:t xml:space="preserve">relative-resources theory makes a similar prediction</w:t>
      </w:r>
      <w:r>
        <w:t xml:space="preserve"> </w:t>
      </w:r>
      <w:r>
        <w:t xml:space="preserve">(Blood &amp; Wolfe, 1960), and feminist</w:t>
      </w:r>
      <w:r>
        <w:t xml:space="preserve"> </w:t>
      </w:r>
      <w:r>
        <w:t xml:space="preserve">economists add norms and extra-household institutions</w:t>
      </w:r>
      <w:r>
        <w:t xml:space="preserve"> </w:t>
      </w:r>
      <w:r>
        <w:t xml:space="preserve">(Agarwal, 1997;</w:t>
      </w:r>
      <w:r>
        <w:t xml:space="preserve"> </w:t>
      </w:r>
      <w:r>
        <w:t xml:space="preserve">Sen, 1990).</w:t>
      </w:r>
    </w:p>
    <w:p>
      <w:pPr>
        <w:pStyle w:val="BodyText"/>
      </w:pPr>
      <w:r>
        <w:t xml:space="preserve">The second family treats housework as a way of performing gender</w:t>
      </w:r>
      <w:r>
        <w:t xml:space="preserve"> </w:t>
      </w:r>
      <w:r>
        <w:t xml:space="preserve">(West &amp; Zimmerman, 1987). Economically</w:t>
      </w:r>
      <w:r>
        <w:t xml:space="preserve"> </w:t>
      </w:r>
      <w:r>
        <w:t xml:space="preserve">dependent husbands have been found to do less housework, not more</w:t>
      </w:r>
      <w:r>
        <w:t xml:space="preserve"> </w:t>
      </w:r>
      <w:r>
        <w:t xml:space="preserve">(Brines, 1994;</w:t>
      </w:r>
      <w:r>
        <w:t xml:space="preserve"> </w:t>
      </w:r>
      <w:r>
        <w:t xml:space="preserve">Greenstein, 2000), wives’</w:t>
      </w:r>
      <w:r>
        <w:t xml:space="preserve"> </w:t>
      </w:r>
      <w:r>
        <w:t xml:space="preserve">housework can rise again once they out-earn their husbands</w:t>
      </w:r>
      <w:r>
        <w:t xml:space="preserve"> </w:t>
      </w:r>
      <w:r>
        <w:t xml:space="preserve">(Bertrand et al., 2015;</w:t>
      </w:r>
      <w:r>
        <w:t xml:space="preserve"> </w:t>
      </w:r>
      <w:r>
        <w:t xml:space="preserve">Bittman et al., 2003), and Akerlof &amp;</w:t>
      </w:r>
      <w:r>
        <w:t xml:space="preserve"> </w:t>
      </w:r>
      <w:r>
        <w:t xml:space="preserve">Kranton (2000) formalize the idea as</w:t>
      </w:r>
      <w:r>
        <w:t xml:space="preserve"> </w:t>
      </w:r>
      <w:r>
        <w:t xml:space="preserve">identity. The evidence is contested</w:t>
      </w:r>
      <w:r>
        <w:t xml:space="preserve"> </w:t>
      </w:r>
      <w:r>
        <w:t xml:space="preserve">(Gupta, 2007;</w:t>
      </w:r>
      <w:r>
        <w:t xml:space="preserve"> </w:t>
      </w:r>
      <w:r>
        <w:t xml:space="preserve">Killewald &amp; Gough, 2010), and</w:t>
      </w:r>
      <w:r>
        <w:t xml:space="preserve"> </w:t>
      </w:r>
      <w:r>
        <w:t xml:space="preserve">structural accounts locate gender in institutions as well as in couples</w:t>
      </w:r>
      <w:r>
        <w:t xml:space="preserve"> </w:t>
      </w:r>
      <w:r>
        <w:t xml:space="preserve">(Ridgeway &amp; Correll, 2004;</w:t>
      </w:r>
      <w:r>
        <w:t xml:space="preserve"> </w:t>
      </w:r>
      <w:r>
        <w:t xml:space="preserve">Risman, 2004), one reason couple-level</w:t>
      </w:r>
      <w:r>
        <w:t xml:space="preserve"> </w:t>
      </w:r>
      <w:r>
        <w:t xml:space="preserve">resource effects may be weak where institutional constraints are strong.</w:t>
      </w:r>
    </w:p>
    <w:bookmarkEnd w:id="10"/>
    <w:bookmarkStart w:id="11" w:name="the-time-budget-as-a-whole"/>
    <w:p>
      <w:pPr>
        <w:pStyle w:val="Heading2"/>
      </w:pPr>
      <w:r>
        <w:t xml:space="preserve">The time budget as a</w:t>
      </w:r>
      <w:r>
        <w:t xml:space="preserve"> </w:t>
      </w:r>
      <w:r>
        <w:t xml:space="preserve">whole</w:t>
      </w:r>
    </w:p>
    <w:p>
      <w:pPr>
        <w:pStyle w:val="FirstParagraph"/>
      </w:pPr>
      <w:r>
        <w:t xml:space="preserve">Time-budget research has long argued that activities should be studied</w:t>
      </w:r>
      <w:r>
        <w:t xml:space="preserve"> </w:t>
      </w:r>
      <w:r>
        <w:t xml:space="preserve">together because the day is fixed</w:t>
      </w:r>
      <w:r>
        <w:t xml:space="preserve"> </w:t>
      </w:r>
      <w:r>
        <w:t xml:space="preserve">(Gershuny, 2000;</w:t>
      </w:r>
      <w:r>
        <w:t xml:space="preserve"> </w:t>
      </w:r>
      <w:r>
        <w:t xml:space="preserve">Juster &amp; Stafford, 1991;</w:t>
      </w:r>
      <w:r>
        <w:t xml:space="preserve"> </w:t>
      </w:r>
      <w:r>
        <w:t xml:space="preserve">Robinson &amp; Godbey, 1997). Burda et al.</w:t>
      </w:r>
      <w:r>
        <w:t xml:space="preserve"> </w:t>
      </w:r>
      <w:r>
        <w:t xml:space="preserve">(2013) show that in rich countries men</w:t>
      </w:r>
      <w:r>
        <w:t xml:space="preserve"> </w:t>
      </w:r>
      <w:r>
        <w:t xml:space="preserve">and women do roughly the same total amount of paid and unpaid work,</w:t>
      </w:r>
      <w:r>
        <w:t xml:space="preserve"> </w:t>
      </w:r>
      <w:r>
        <w:t xml:space="preserve">while in poorer countries women do more. Marriage could therefore raise</w:t>
      </w:r>
      <w:r>
        <w:t xml:space="preserve"> </w:t>
      </w:r>
      <w:r>
        <w:t xml:space="preserve">women’s total work, or it could shift work from the market to the home</w:t>
      </w:r>
      <w:r>
        <w:t xml:space="preserve"> </w:t>
      </w:r>
      <w:r>
        <w:t xml:space="preserve">with little change in total work. Only a full accounting distinguishes</w:t>
      </w:r>
      <w:r>
        <w:t xml:space="preserve"> </w:t>
      </w:r>
      <w:r>
        <w:t xml:space="preserve">the two.</w:t>
      </w:r>
    </w:p>
    <w:p>
      <w:pPr>
        <w:pStyle w:val="BodyText"/>
      </w:pPr>
      <w:r>
        <w:t xml:space="preserve">Marriage may reshape social life too, as a</w:t>
      </w:r>
      <w:r>
        <w:t xml:space="preserve"> </w:t>
      </w:r>
      <w:r>
        <w:t xml:space="preserve">“greedy”</w:t>
      </w:r>
      <w:r>
        <w:t xml:space="preserve"> </w:t>
      </w:r>
      <w:r>
        <w:t xml:space="preserve">institution</w:t>
      </w:r>
      <w:r>
        <w:t xml:space="preserve"> </w:t>
      </w:r>
      <w:r>
        <w:t xml:space="preserve">(Coser, 1974); married Americans have</w:t>
      </w:r>
      <w:r>
        <w:t xml:space="preserve"> </w:t>
      </w:r>
      <w:r>
        <w:t xml:space="preserve">fewer ties to kin, friends and neighbors than the never-married</w:t>
      </w:r>
      <w:r>
        <w:t xml:space="preserve"> </w:t>
      </w:r>
      <w:r>
        <w:t xml:space="preserve">(Sarkisian &amp; Gerstel, 2016).</w:t>
      </w:r>
    </w:p>
    <w:bookmarkEnd w:id="11"/>
    <w:bookmarkStart w:id="12" w:name="sleep-health-behavior-and-marriage"/>
    <w:p>
      <w:pPr>
        <w:pStyle w:val="Heading2"/>
      </w:pPr>
      <w:r>
        <w:t xml:space="preserve">Sleep, health behavior and</w:t>
      </w:r>
      <w:r>
        <w:t xml:space="preserve"> </w:t>
      </w:r>
      <w:r>
        <w:t xml:space="preserve">marriage</w:t>
      </w:r>
    </w:p>
    <w:p>
      <w:pPr>
        <w:pStyle w:val="FirstParagraph"/>
      </w:pPr>
      <w:r>
        <w:t xml:space="preserve">Sleep is the largest single use of time, and it is not fixed. Biddle &amp;</w:t>
      </w:r>
      <w:r>
        <w:t xml:space="preserve"> </w:t>
      </w:r>
      <w:r>
        <w:t xml:space="preserve">Hamermesh (1990) show that sleep</w:t>
      </w:r>
      <w:r>
        <w:t xml:space="preserve"> </w:t>
      </w:r>
      <w:r>
        <w:t xml:space="preserve">responds to the value of time, and in the American Time Use Survey work</w:t>
      </w:r>
      <w:r>
        <w:t xml:space="preserve"> </w:t>
      </w:r>
      <w:r>
        <w:t xml:space="preserve">time is the activity most strongly traded off against sleep</w:t>
      </w:r>
      <w:r>
        <w:t xml:space="preserve"> </w:t>
      </w:r>
      <w:r>
        <w:t xml:space="preserve">(Basner et al., 2007). Gender matters</w:t>
      </w:r>
      <w:r>
        <w:t xml:space="preserve"> </w:t>
      </w:r>
      <w:r>
        <w:t xml:space="preserve">for sleep as well. If marriage adds morning and evening domestic tasks</w:t>
      </w:r>
      <w:r>
        <w:t xml:space="preserve"> </w:t>
      </w:r>
      <w:r>
        <w:t xml:space="preserve">(cooking before others wake, cleaning up after others eat), sleep is a</w:t>
      </w:r>
      <w:r>
        <w:t xml:space="preserve"> </w:t>
      </w:r>
      <w:r>
        <w:t xml:space="preserve">plausible margin of adjustment.</w:t>
      </w:r>
    </w:p>
    <w:p>
      <w:pPr>
        <w:pStyle w:val="BodyText"/>
      </w:pPr>
      <w:r>
        <w:t xml:space="preserve">Sleep, exercise and personal care fall in divisions 8 and 9, so their</w:t>
      </w:r>
      <w:r>
        <w:t xml:space="preserve"> </w:t>
      </w:r>
      <w:r>
        <w:t xml:space="preserve">marriage gaps can be read against the gaps in work.</w:t>
      </w:r>
    </w:p>
    <w:bookmarkEnd w:id="12"/>
    <w:bookmarkStart w:id="13" w:name="marriage-in-india"/>
    <w:p>
      <w:pPr>
        <w:pStyle w:val="Heading2"/>
      </w:pPr>
      <w:r>
        <w:t xml:space="preserve">Marriage in India</w:t>
      </w:r>
    </w:p>
    <w:p>
      <w:pPr>
        <w:pStyle w:val="FirstParagraph"/>
      </w:pPr>
      <w:r>
        <w:t xml:space="preserve">Three features of Indian marriage bear on time use. The first is</w:t>
      </w:r>
      <w:r>
        <w:t xml:space="preserve"> </w:t>
      </w:r>
      <w:r>
        <w:t xml:space="preserve">patrilocality. A woman usually moves into her husband’s household at</w:t>
      </w:r>
      <w:r>
        <w:t xml:space="preserve"> </w:t>
      </w:r>
      <w:r>
        <w:t xml:space="preserve">marriage, and in many regions marries outside her natal village</w:t>
      </w:r>
      <w:r>
        <w:t xml:space="preserve"> </w:t>
      </w:r>
      <w:r>
        <w:t xml:space="preserve">(Dyson &amp; Moore, 1983;</w:t>
      </w:r>
      <w:r>
        <w:t xml:space="preserve"> </w:t>
      </w:r>
      <w:r>
        <w:t xml:space="preserve">Rahman &amp; Rao, 2004). In a joint</w:t>
      </w:r>
      <w:r>
        <w:t xml:space="preserve"> </w:t>
      </w:r>
      <w:r>
        <w:t xml:space="preserve">household, the new wife is junior to her mother-in-law. Kandiyoti</w:t>
      </w:r>
      <w:r>
        <w:t xml:space="preserve"> </w:t>
      </w:r>
      <w:r>
        <w:t xml:space="preserve">(1988) describes a</w:t>
      </w:r>
      <w:r>
        <w:t xml:space="preserve"> </w:t>
      </w:r>
      <w:r>
        <w:t xml:space="preserve">“patriarchal</w:t>
      </w:r>
      <w:r>
        <w:t xml:space="preserve"> </w:t>
      </w:r>
      <w:r>
        <w:t xml:space="preserve">bargain”</w:t>
      </w:r>
      <w:r>
        <w:t xml:space="preserve"> </w:t>
      </w:r>
      <w:r>
        <w:t xml:space="preserve">in which young brides accept subordination and heavy work in</w:t>
      </w:r>
      <w:r>
        <w:t xml:space="preserve"> </w:t>
      </w:r>
      <w:r>
        <w:t xml:space="preserve">return for authority later in life, when they become mothers-in-law.</w:t>
      </w:r>
      <w:r>
        <w:t xml:space="preserve"> </w:t>
      </w:r>
      <w:r>
        <w:t xml:space="preserve">Recent studies find that co-residence with in-laws is associated with</w:t>
      </w:r>
      <w:r>
        <w:t xml:space="preserve"> </w:t>
      </w:r>
      <w:r>
        <w:t xml:space="preserve">less say over household decisions and less freedom of movement</w:t>
      </w:r>
      <w:r>
        <w:t xml:space="preserve"> </w:t>
      </w:r>
      <w:r>
        <w:t xml:space="preserve">(Debnath, 2015;</w:t>
      </w:r>
      <w:r>
        <w:t xml:space="preserve"> </w:t>
      </w:r>
      <w:r>
        <w:t xml:space="preserve">Khalil &amp; Mookerjee, 2019), and</w:t>
      </w:r>
      <w:r>
        <w:t xml:space="preserve"> </w:t>
      </w:r>
      <w:r>
        <w:t xml:space="preserve">that mothers-in-law restrict daughters-in-law’s mobility and social</w:t>
      </w:r>
      <w:r>
        <w:t xml:space="preserve"> </w:t>
      </w:r>
      <w:r>
        <w:t xml:space="preserve">contacts outside the household</w:t>
      </w:r>
      <w:r>
        <w:t xml:space="preserve"> </w:t>
      </w:r>
      <w:r>
        <w:t xml:space="preserve">(Anukriti et al., 2020). Joint</w:t>
      </w:r>
      <w:r>
        <w:t xml:space="preserve"> </w:t>
      </w:r>
      <w:r>
        <w:t xml:space="preserve">residence could reduce a young wife’s domestic load if senior women</w:t>
      </w:r>
      <w:r>
        <w:t xml:space="preserve"> </w:t>
      </w:r>
      <w:r>
        <w:t xml:space="preserve">share the cooking and cleaning, or increase it if the junior wife does</w:t>
      </w:r>
      <w:r>
        <w:t xml:space="preserve"> </w:t>
      </w:r>
      <w:r>
        <w:t xml:space="preserve">the heaviest work. Its effect is an empirical question that the</w:t>
      </w:r>
      <w:r>
        <w:t xml:space="preserve"> </w:t>
      </w:r>
      <w:r>
        <w:t xml:space="preserve">household roster can address.</w:t>
      </w:r>
    </w:p>
    <w:p>
      <w:pPr>
        <w:pStyle w:val="BodyText"/>
      </w:pPr>
      <w:r>
        <w:t xml:space="preserve">The second is the timing and form of marriage. Most marriages are</w:t>
      </w:r>
      <w:r>
        <w:t xml:space="preserve"> </w:t>
      </w:r>
      <w:r>
        <w:t xml:space="preserve">arranged, though women’s say has grown</w:t>
      </w:r>
      <w:r>
        <w:t xml:space="preserve"> </w:t>
      </w:r>
      <w:r>
        <w:t xml:space="preserve">(Allendorf &amp; Pandian, 2016); age</w:t>
      </w:r>
      <w:r>
        <w:t xml:space="preserve"> </w:t>
      </w:r>
      <w:r>
        <w:t xml:space="preserve">at marriage reflects community gender scripts</w:t>
      </w:r>
      <w:r>
        <w:t xml:space="preserve"> </w:t>
      </w:r>
      <w:r>
        <w:t xml:space="preserve">(Desai &amp; Andrist, 2010), labor-market</w:t>
      </w:r>
      <w:r>
        <w:t xml:space="preserve"> </w:t>
      </w:r>
      <w:r>
        <w:t xml:space="preserve">opportunity (Jensen, 2012) and schooling</w:t>
      </w:r>
      <w:r>
        <w:t xml:space="preserve"> </w:t>
      </w:r>
      <w:r>
        <w:t xml:space="preserve">(Field &amp; Ambrus, 2008). Women who remain</w:t>
      </w:r>
      <w:r>
        <w:t xml:space="preserve"> </w:t>
      </w:r>
      <w:r>
        <w:t xml:space="preserve">unmarried in their late twenties and thirties are therefore a selected</w:t>
      </w:r>
      <w:r>
        <w:t xml:space="preserve"> </w:t>
      </w:r>
      <w:r>
        <w:t xml:space="preserve">group, the main threat to any married–never-married comparison.</w:t>
      </w:r>
    </w:p>
    <w:p>
      <w:pPr>
        <w:pStyle w:val="BodyText"/>
      </w:pPr>
      <w:r>
        <w:t xml:space="preserve">The third is women’s employment, which is low and fell for much of the</w:t>
      </w:r>
      <w:r>
        <w:t xml:space="preserve"> </w:t>
      </w:r>
      <w:r>
        <w:t xml:space="preserve">2000s and 2010s, especially among married rural women</w:t>
      </w:r>
      <w:r>
        <w:t xml:space="preserve"> </w:t>
      </w:r>
      <w:r>
        <w:t xml:space="preserve">(Afridi et al., 2018;</w:t>
      </w:r>
      <w:r>
        <w:t xml:space="preserve"> </w:t>
      </w:r>
      <w:r>
        <w:t xml:space="preserve">Fletcher et al., 2017;</w:t>
      </w:r>
      <w:r>
        <w:t xml:space="preserve"> </w:t>
      </w:r>
      <w:r>
        <w:t xml:space="preserve">Mehrotra &amp; Parida, 2017), with</w:t>
      </w:r>
      <w:r>
        <w:t xml:space="preserve"> </w:t>
      </w:r>
      <w:r>
        <w:t xml:space="preserve">explanations ranging from rising incomes and labor demand to status and</w:t>
      </w:r>
      <w:r>
        <w:t xml:space="preserve"> </w:t>
      </w:r>
      <w:r>
        <w:t xml:space="preserve">mobility norms (Dhanaraj &amp; Mahambare,</w:t>
      </w:r>
      <w:r>
        <w:t xml:space="preserve"> </w:t>
      </w:r>
      <w:r>
        <w:t xml:space="preserve">2019; Eswaran et al., 2013;</w:t>
      </w:r>
      <w:r>
        <w:t xml:space="preserve"> </w:t>
      </w:r>
      <w:r>
        <w:t xml:space="preserve">Field et al., 2021;</w:t>
      </w:r>
      <w:r>
        <w:t xml:space="preserve"> </w:t>
      </w:r>
      <w:r>
        <w:t xml:space="preserve">Jayachandran, 2021;</w:t>
      </w:r>
      <w:r>
        <w:t xml:space="preserve"> </w:t>
      </w:r>
      <w:r>
        <w:t xml:space="preserve">Klasen &amp; Pieters, 2015). Women</w:t>
      </w:r>
      <w:r>
        <w:t xml:space="preserve"> </w:t>
      </w:r>
      <w:r>
        <w:t xml:space="preserve">carry most unpaid and own-use work</w:t>
      </w:r>
      <w:r>
        <w:t xml:space="preserve"> </w:t>
      </w:r>
      <w:r>
        <w:t xml:space="preserve">(Hirway &amp; Jose, 2011). If</w:t>
      </w:r>
      <w:r>
        <w:t xml:space="preserve"> </w:t>
      </w:r>
      <w:r>
        <w:t xml:space="preserve">marriage moves women out of paid work and into domestic work, the time</w:t>
      </w:r>
      <w:r>
        <w:t xml:space="preserve"> </w:t>
      </w:r>
      <w:r>
        <w:t xml:space="preserve">budget will show it; if it adds domestic work on top, leisure, social</w:t>
      </w:r>
      <w:r>
        <w:t xml:space="preserve"> </w:t>
      </w:r>
      <w:r>
        <w:t xml:space="preserve">time or sleep must absorb it.</w:t>
      </w:r>
    </w:p>
    <w:bookmarkEnd w:id="13"/>
    <w:bookmarkEnd w:id="14"/>
    <w:bookmarkStart w:id="15" w:name="hypotheses"/>
    <w:p>
      <w:pPr>
        <w:pStyle w:val="Heading1"/>
      </w:pPr>
      <w:r>
        <w:t xml:space="preserve">Hypotheses</w:t>
      </w:r>
    </w:p>
    <w:p>
      <w:pPr>
        <w:pStyle w:val="FirstParagraph"/>
      </w:pPr>
      <w:r>
        <w:t xml:space="preserve">The theories above make overlapping predictions about the size of the</w:t>
      </w:r>
      <w:r>
        <w:t xml:space="preserve"> </w:t>
      </w:r>
      <w:r>
        <w:t xml:space="preserve">marriage gap and distinct predictions about its sources and moderators.</w:t>
      </w:r>
      <w:r>
        <w:t xml:space="preserve"> </w:t>
      </w:r>
      <w:r>
        <w:t xml:space="preserve">I state them as expectations that the data can contradict.</w:t>
      </w:r>
    </w:p>
    <w:p>
      <w:pPr>
        <w:pStyle w:val="BodyText"/>
      </w:pPr>
      <w:r>
        <w:rPr>
          <w:i/>
          <w:iCs/>
        </w:rPr>
        <w:t xml:space="preserve">H1 (gendered reallocation).</w:t>
      </w:r>
      <w:r>
        <w:t xml:space="preserve"> </w:t>
      </w:r>
      <w:r>
        <w:t xml:space="preserve">Marriage is associated with a larger</w:t>
      </w:r>
      <w:r>
        <w:t xml:space="preserve"> </w:t>
      </w:r>
      <w:r>
        <w:t xml:space="preserve">increase in unpaid domestic and care work for women than for men.</w:t>
      </w:r>
      <w:r>
        <w:t xml:space="preserve"> </w:t>
      </w:r>
      <w:r>
        <w:t xml:space="preserve">Specialization, bargaining with gendered threat points, doing gender and</w:t>
      </w:r>
      <w:r>
        <w:t xml:space="preserve"> </w:t>
      </w:r>
      <w:r>
        <w:t xml:space="preserve">patrilocal norms all predict this.</w:t>
      </w:r>
    </w:p>
    <w:p>
      <w:pPr>
        <w:pStyle w:val="BodyText"/>
      </w:pPr>
      <w:r>
        <w:rPr>
          <w:i/>
          <w:iCs/>
        </w:rPr>
        <w:t xml:space="preserve">H2 (sources of the additional unpaid time).</w:t>
      </w:r>
      <w:r>
        <w:t xml:space="preserve"> </w:t>
      </w:r>
      <w:r>
        <w:t xml:space="preserve">Specialization</w:t>
      </w:r>
      <w:r>
        <w:t xml:space="preserve"> </w:t>
      </w:r>
      <w:r>
        <w:t xml:space="preserve">predicts that women’s additional unpaid work is financed mainly by lower</w:t>
      </w:r>
      <w:r>
        <w:t xml:space="preserve"> </w:t>
      </w:r>
      <w:r>
        <w:t xml:space="preserve">paid work and learning, so total work changes little (H2a). A</w:t>
      </w:r>
      <w:r>
        <w:t xml:space="preserve"> </w:t>
      </w:r>
      <w:r>
        <w:t xml:space="preserve">time-squeeze or greedy-institution account predicts that it is financed</w:t>
      </w:r>
      <w:r>
        <w:t xml:space="preserve"> </w:t>
      </w:r>
      <w:r>
        <w:t xml:space="preserve">mainly by lower leisure, social time and self-care, including sleep, so</w:t>
      </w:r>
      <w:r>
        <w:t xml:space="preserve"> </w:t>
      </w:r>
      <w:r>
        <w:t xml:space="preserve">total work rises (H2b). Because sleep responds to the value of time but</w:t>
      </w:r>
      <w:r>
        <w:t xml:space="preserve"> </w:t>
      </w:r>
      <w:r>
        <w:t xml:space="preserve">has a biological floor (Basner et al.,</w:t>
      </w:r>
      <w:r>
        <w:t xml:space="preserve"> </w:t>
      </w:r>
      <w:r>
        <w:t xml:space="preserve">2007; Biddle &amp; Hamermesh, 1990), I</w:t>
      </w:r>
      <w:r>
        <w:t xml:space="preserve"> </w:t>
      </w:r>
      <w:r>
        <w:t xml:space="preserve">expect sleep to adjust less than free time.</w:t>
      </w:r>
    </w:p>
    <w:p>
      <w:pPr>
        <w:pStyle w:val="BodyText"/>
      </w:pPr>
      <w:r>
        <w:rPr>
          <w:i/>
          <w:iCs/>
        </w:rPr>
        <w:t xml:space="preserve">H3 (patrilocal co-residence).</w:t>
      </w:r>
      <w:r>
        <w:t xml:space="preserve"> </w:t>
      </w:r>
      <w:r>
        <w:t xml:space="preserve">If senior women share domestic</w:t>
      </w:r>
      <w:r>
        <w:t xml:space="preserve"> </w:t>
      </w:r>
      <w:r>
        <w:t xml:space="preserve">work, daughters-in-law of the head do less unpaid work than wives in</w:t>
      </w:r>
      <w:r>
        <w:t xml:space="preserve"> </w:t>
      </w:r>
      <w:r>
        <w:t xml:space="preserve">households without a parent generation (H3a, substitution). If the</w:t>
      </w:r>
      <w:r>
        <w:t xml:space="preserve"> </w:t>
      </w:r>
      <w:r>
        <w:t xml:space="preserve">household hierarchy assigns the heaviest work to the junior wife and</w:t>
      </w:r>
      <w:r>
        <w:t xml:space="preserve"> </w:t>
      </w:r>
      <w:r>
        <w:t xml:space="preserve">restricts her movement (Anukriti et</w:t>
      </w:r>
      <w:r>
        <w:t xml:space="preserve"> </w:t>
      </w:r>
      <w:r>
        <w:t xml:space="preserve">al., 2020; Kandiyoti, 1988),</w:t>
      </w:r>
      <w:r>
        <w:t xml:space="preserve"> </w:t>
      </w:r>
      <w:r>
        <w:t xml:space="preserve">daughters-in-law do more unpaid work, less paid work and less social</w:t>
      </w:r>
      <w:r>
        <w:t xml:space="preserve"> </w:t>
      </w:r>
      <w:r>
        <w:t xml:space="preserve">time outside the home (H3b, hierarchy).</w:t>
      </w:r>
    </w:p>
    <w:p>
      <w:pPr>
        <w:pStyle w:val="BodyText"/>
      </w:pPr>
      <w:r>
        <w:rPr>
          <w:i/>
          <w:iCs/>
        </w:rPr>
        <w:t xml:space="preserve">H4 (relative resources within couples).</w:t>
      </w:r>
      <w:r>
        <w:t xml:space="preserve"> </w:t>
      </w:r>
      <w:r>
        <w:t xml:space="preserve">Bargaining and</w:t>
      </w:r>
      <w:r>
        <w:t xml:space="preserve"> </w:t>
      </w:r>
      <w:r>
        <w:t xml:space="preserve">relative-resources theories predict that the wife–husband gap in unpaid</w:t>
      </w:r>
      <w:r>
        <w:t xml:space="preserve"> </w:t>
      </w:r>
      <w:r>
        <w:t xml:space="preserve">work is smaller when the wife is employed, when she is more educated</w:t>
      </w:r>
      <w:r>
        <w:t xml:space="preserve"> </w:t>
      </w:r>
      <w:r>
        <w:t xml:space="preserve">than her husband, and when the spousal age gap is smaller. Age gaps</w:t>
      </w:r>
      <w:r>
        <w:t xml:space="preserve"> </w:t>
      </w:r>
      <w:r>
        <w:t xml:space="preserve">proxy for seniority in a hierarchical marriage and are larger when women</w:t>
      </w:r>
      <w:r>
        <w:t xml:space="preserve"> </w:t>
      </w:r>
      <w:r>
        <w:t xml:space="preserve">marry young (Desai &amp; Andrist, 2010).</w:t>
      </w:r>
      <w:r>
        <w:t xml:space="preserve"> </w:t>
      </w:r>
      <w:r>
        <w:t xml:space="preserve">Doing-gender accounts predict weaker, or non-monotonic, associations</w:t>
      </w:r>
      <w:r>
        <w:t xml:space="preserve"> </w:t>
      </w:r>
      <w:r>
        <w:t xml:space="preserve">with the wife’s relative position</w:t>
      </w:r>
      <w:r>
        <w:t xml:space="preserve"> </w:t>
      </w:r>
      <w:r>
        <w:t xml:space="preserve">(Brines, 1994;</w:t>
      </w:r>
      <w:r>
        <w:t xml:space="preserve"> </w:t>
      </w:r>
      <w:r>
        <w:t xml:space="preserve">Greenstein, 2000).</w:t>
      </w:r>
    </w:p>
    <w:bookmarkEnd w:id="15"/>
    <w:bookmarkStart w:id="20" w:name="method"/>
    <w:p>
      <w:pPr>
        <w:pStyle w:val="Heading1"/>
      </w:pPr>
      <w:r>
        <w:t xml:space="preserve">Method</w:t>
      </w:r>
    </w:p>
    <w:bookmarkStart w:id="16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I use the 2024 round because it is the most recent and its diaries cover</w:t>
      </w:r>
      <w:r>
        <w:t xml:space="preserve"> </w:t>
      </w:r>
      <w:r>
        <w:t xml:space="preserve">every household member aged six and above; the 2019 round</w:t>
      </w:r>
      <w:r>
        <w:t xml:space="preserve"> </w:t>
      </w:r>
      <w:r>
        <w:t xml:space="preserve">(National Statistical Office, 2020) uses the</w:t>
      </w:r>
      <w:r>
        <w:t xml:space="preserve"> </w:t>
      </w:r>
      <w:r>
        <w:t xml:space="preserve">same design, and with a harmonized specification (age, state, diary day</w:t>
      </w:r>
      <w:r>
        <w:t xml:space="preserve"> </w:t>
      </w:r>
      <w:r>
        <w:t xml:space="preserve">and residence) the married–never-married difference in women’s unpaid</w:t>
      </w:r>
      <w:r>
        <w:t xml:space="preserve"> </w:t>
      </w:r>
      <w:r>
        <w:t xml:space="preserve">work is 284.4 minutes (SE 2.6) in 2019 and 291.7 minutes (SE 2.5) in</w:t>
      </w:r>
      <w:r>
        <w:t xml:space="preserve"> </w:t>
      </w:r>
      <w:r>
        <w:t xml:space="preserve">2024, and for men 15.7 minutes (SE 1.0) and 25.7 minutes (SE 1.0), so</w:t>
      </w:r>
      <w:r>
        <w:t xml:space="preserve"> </w:t>
      </w:r>
      <w:r>
        <w:t xml:space="preserve">the pattern is not specific to one round. The Time Use Survey 2024,</w:t>
      </w:r>
      <w:r>
        <w:t xml:space="preserve"> </w:t>
      </w:r>
      <w:r>
        <w:t xml:space="preserve">conducted by India’s National Statistics Office from January to December</w:t>
      </w:r>
      <w:r>
        <w:t xml:space="preserve"> </w:t>
      </w:r>
      <w:r>
        <w:t xml:space="preserve">2024, records the activities of every household member aged six and</w:t>
      </w:r>
      <w:r>
        <w:t xml:space="preserve"> </w:t>
      </w:r>
      <w:r>
        <w:t xml:space="preserve">above over the 24 hours from 4:00 a.m. on the day before the interview</w:t>
      </w:r>
      <w:r>
        <w:t xml:space="preserve"> </w:t>
      </w:r>
      <w:r>
        <w:t xml:space="preserve">(National Statistics Office, 2025).</w:t>
      </w:r>
      <w:r>
        <w:t xml:space="preserve"> </w:t>
      </w:r>
      <w:r>
        <w:t xml:space="preserve">Activities are coded to the three-digit level of ICATUS 2016</w:t>
      </w:r>
      <w:r>
        <w:t xml:space="preserve"> </w:t>
      </w:r>
      <w:r>
        <w:t xml:space="preserve">(United Nations Statistics Division, 2016).</w:t>
      </w:r>
      <w:r>
        <w:t xml:space="preserve"> </w:t>
      </w:r>
      <w:r>
        <w:t xml:space="preserve">Where activities overlap, the survey flags one as the major activity. I</w:t>
      </w:r>
      <w:r>
        <w:t xml:space="preserve"> </w:t>
      </w:r>
      <w:r>
        <w:t xml:space="preserve">use every activity record (10,211,478 records from 450,457 diaries in</w:t>
      </w:r>
      <w:r>
        <w:t xml:space="preserve"> </w:t>
      </w:r>
      <w:r>
        <w:t xml:space="preserve">139,487 households) and aggregate major activities to the person-day, so</w:t>
      </w:r>
      <w:r>
        <w:t xml:space="preserve"> </w:t>
      </w:r>
      <w:r>
        <w:t xml:space="preserve">all but 5 of the 450,457 diaries partition exactly 1,440 minutes. The</w:t>
      </w:r>
      <w:r>
        <w:t xml:space="preserve"> </w:t>
      </w:r>
      <w:r>
        <w:t xml:space="preserve">roster lists 454,192 persons aged six and above; 3,735 of them have no</w:t>
      </w:r>
      <w:r>
        <w:t xml:space="preserve"> </w:t>
      </w:r>
      <w:r>
        <w:t xml:space="preserve">diary records in the file, which leaves the 450,457 diaries, and the 49</w:t>
      </w:r>
      <w:r>
        <w:t xml:space="preserve"> </w:t>
      </w:r>
      <w:r>
        <w:t xml:space="preserve">diaries of third-gender respondents are excluded from the comparisons of</w:t>
      </w:r>
      <w:r>
        <w:t xml:space="preserve"> </w:t>
      </w:r>
      <w:r>
        <w:t xml:space="preserve">women and men. Some diaries are reported by another household member; I</w:t>
      </w:r>
      <w:r>
        <w:t xml:space="preserve"> </w:t>
      </w:r>
      <w:r>
        <w:t xml:space="preserve">control for proxy reporting and drop proxy diaries in a robustness</w:t>
      </w:r>
      <w:r>
        <w:t xml:space="preserve"> </w:t>
      </w:r>
      <w:r>
        <w:t xml:space="preserve">check. All estimates use the survey multipliers, and standard errors are</w:t>
      </w:r>
      <w:r>
        <w:t xml:space="preserve"> </w:t>
      </w:r>
      <w:r>
        <w:t xml:space="preserve">clustered on the first-stage unit, the primary sampling unit</w:t>
      </w:r>
      <w:r>
        <w:t xml:space="preserve"> </w:t>
      </w:r>
      <w:r>
        <w:t xml:space="preserve">(Abadie et al., 2023;</w:t>
      </w:r>
      <w:r>
        <w:t xml:space="preserve"> </w:t>
      </w:r>
      <w:r>
        <w:t xml:space="preserve">Solon et al., 2015).</w:t>
      </w:r>
    </w:p>
    <w:bookmarkEnd w:id="16"/>
    <w:bookmarkStart w:id="17" w:name="samples"/>
    <w:p>
      <w:pPr>
        <w:pStyle w:val="Heading2"/>
      </w:pPr>
      <w:r>
        <w:t xml:space="preserve">Samples</w:t>
      </w:r>
    </w:p>
    <w:p>
      <w:pPr>
        <w:pStyle w:val="FirstParagraph"/>
      </w:pPr>
      <w:r>
        <w:t xml:space="preserve">The main sample consists of never-married and currently married women</w:t>
      </w:r>
      <w:r>
        <w:t xml:space="preserve"> </w:t>
      </w:r>
      <w:r>
        <w:t xml:space="preserve">and men aged 20 to 39 (88,337 women and 87,364 men). Widowed, divorced</w:t>
      </w:r>
      <w:r>
        <w:t xml:space="preserve"> </w:t>
      </w:r>
      <w:r>
        <w:t xml:space="preserve">and separated persons are excluded from the main comparison and studied</w:t>
      </w:r>
      <w:r>
        <w:t xml:space="preserve"> </w:t>
      </w:r>
      <w:r>
        <w:t xml:space="preserve">separately at ages 50 to 79. In the main age range, 85% of women and</w:t>
      </w:r>
      <w:r>
        <w:t xml:space="preserve"> </w:t>
      </w:r>
      <w:r>
        <w:t xml:space="preserve">65% of men are currently married.</w:t>
      </w:r>
    </w:p>
    <w:p>
      <w:pPr>
        <w:pStyle w:val="BodyText"/>
      </w:pPr>
      <w:r>
        <w:t xml:space="preserve">The couple sample uses the household roster to link spouses. A head is</w:t>
      </w:r>
      <w:r>
        <w:t xml:space="preserve"> </w:t>
      </w:r>
      <w:r>
        <w:t xml:space="preserve">linked to the spouse of the head, and a married child of the head is</w:t>
      </w:r>
      <w:r>
        <w:t xml:space="preserve"> </w:t>
      </w:r>
      <w:r>
        <w:t xml:space="preserve">linked to the child’s spouse when each is unique in the household and</w:t>
      </w:r>
      <w:r>
        <w:t xml:space="preserve"> </w:t>
      </w:r>
      <w:r>
        <w:t xml:space="preserve">the two are of opposite sex. 89% of married persons in the survey have</w:t>
      </w:r>
      <w:r>
        <w:t xml:space="preserve"> </w:t>
      </w:r>
      <w:r>
        <w:t xml:space="preserve">a linked spouse diary. Couples with several married children of the head</w:t>
      </w:r>
      <w:r>
        <w:t xml:space="preserve"> </w:t>
      </w:r>
      <w:r>
        <w:t xml:space="preserve">in the same household are not linked, which under-represents the largest</w:t>
      </w:r>
      <w:r>
        <w:t xml:space="preserve"> </w:t>
      </w:r>
      <w:r>
        <w:t xml:space="preserve">joint households. I keep linked wives aged 20 to 59 (106,858 couples;</w:t>
      </w:r>
      <w:r>
        <w:t xml:space="preserve"> </w:t>
      </w:r>
      <w:r>
        <w:t xml:space="preserve">106,424 have complete covariates and enter the couple regressions).</w:t>
      </w:r>
      <w:r>
        <w:t xml:space="preserve"> </w:t>
      </w:r>
      <w:r>
        <w:t xml:space="preserve">Household members’ diaries are collected in the same visit; in 100% of</w:t>
      </w:r>
      <w:r>
        <w:t xml:space="preserve"> </w:t>
      </w:r>
      <w:r>
        <w:t xml:space="preserve">linked couples the two diaries refer to the same day of the week.</w:t>
      </w:r>
    </w:p>
    <w:bookmarkEnd w:id="17"/>
    <w:bookmarkStart w:id="18" w:name="measures"/>
    <w:p>
      <w:pPr>
        <w:pStyle w:val="Heading2"/>
      </w:pPr>
      <w:r>
        <w:t xml:space="preserve">Measures</w:t>
      </w:r>
    </w:p>
    <w:p>
      <w:pPr>
        <w:pStyle w:val="FirstParagraph"/>
      </w:pPr>
      <w:r>
        <w:t xml:space="preserve">The outcomes are minutes per day in the nine ICATUS divisions:</w:t>
      </w:r>
      <w:r>
        <w:t xml:space="preserve"> </w:t>
      </w:r>
      <w:r>
        <w:t xml:space="preserve">employment and related activities (including work travel), production of</w:t>
      </w:r>
      <w:r>
        <w:t xml:space="preserve"> </w:t>
      </w:r>
      <w:r>
        <w:t xml:space="preserve">goods for own final use (for example farming for the household, fetching</w:t>
      </w:r>
      <w:r>
        <w:t xml:space="preserve"> </w:t>
      </w:r>
      <w:r>
        <w:t xml:space="preserve">water and collecting firewood), unpaid domestic services, unpaid</w:t>
      </w:r>
      <w:r>
        <w:t xml:space="preserve"> </w:t>
      </w:r>
      <w:r>
        <w:t xml:space="preserve">caregiving for household members, volunteering, learning, socializing</w:t>
      </w:r>
      <w:r>
        <w:t xml:space="preserve"> </w:t>
      </w:r>
      <w:r>
        <w:t xml:space="preserve">and religious practice, culture and leisure (including mass media and</w:t>
      </w:r>
      <w:r>
        <w:t xml:space="preserve"> </w:t>
      </w:r>
      <w:r>
        <w:t xml:space="preserve">sport), and self-care and maintenance (including sleep, eating and</w:t>
      </w:r>
      <w:r>
        <w:t xml:space="preserve"> </w:t>
      </w:r>
      <w:r>
        <w:t xml:space="preserve">personal care). Unpaid work is the sum of domestic services and</w:t>
      </w:r>
      <w:r>
        <w:t xml:space="preserve"> </w:t>
      </w:r>
      <w:r>
        <w:t xml:space="preserve">caregiving, the time-use measure behind Sustainable Development Goal</w:t>
      </w:r>
      <w:r>
        <w:t xml:space="preserve"> </w:t>
      </w:r>
      <w:r>
        <w:t xml:space="preserve">indicator 5.4.1. Sub-rows report sleep, socializing (talking and getting</w:t>
      </w:r>
      <w:r>
        <w:t xml:space="preserve"> </w:t>
      </w:r>
      <w:r>
        <w:t xml:space="preserve">together), exercise and sport, religious practice and mass media.</w:t>
      </w:r>
    </w:p>
    <w:p>
      <w:pPr>
        <w:pStyle w:val="BodyText"/>
      </w:pPr>
      <w:r>
        <w:t xml:space="preserve">Marital status and relationship to the household head come from the</w:t>
      </w:r>
      <w:r>
        <w:t xml:space="preserve"> </w:t>
      </w:r>
      <w:r>
        <w:t xml:space="preserve">roster. For married women, I distinguish three residence types: (a) the</w:t>
      </w:r>
      <w:r>
        <w:t xml:space="preserve"> </w:t>
      </w:r>
      <w:r>
        <w:t xml:space="preserve">woman is the head or the head’s wife and no parent or parent-in-law of</w:t>
      </w:r>
      <w:r>
        <w:t xml:space="preserve"> </w:t>
      </w:r>
      <w:r>
        <w:t xml:space="preserve">the head lives in the household (</w:t>
      </w:r>
      <w:r>
        <w:t xml:space="preserve">“no parent generation”</w:t>
      </w:r>
      <w:r>
        <w:t xml:space="preserve">), (b) she is</w:t>
      </w:r>
      <w:r>
        <w:t xml:space="preserve"> </w:t>
      </w:r>
      <w:r>
        <w:t xml:space="preserve">the head or the head’s wife and a parent or parent-in-law of the head is</w:t>
      </w:r>
      <w:r>
        <w:t xml:space="preserve"> </w:t>
      </w:r>
      <w:r>
        <w:t xml:space="preserve">present, and (c) she is the daughter-in-law of the head (roster code 4).</w:t>
      </w:r>
      <w:r>
        <w:t xml:space="preserve"> </w:t>
      </w:r>
      <w:r>
        <w:t xml:space="preserve">Among married women aged 20 to 39, these groups account for 60%, 8%</w:t>
      </w:r>
      <w:r>
        <w:t xml:space="preserve"> </w:t>
      </w:r>
      <w:r>
        <w:t xml:space="preserve">and 29% respectively; the remaining 3% hold other positions (for</w:t>
      </w:r>
      <w:r>
        <w:t xml:space="preserve"> </w:t>
      </w:r>
      <w:r>
        <w:t xml:space="preserve">example, a married daughter of the head). For men, the junior category</w:t>
      </w:r>
      <w:r>
        <w:t xml:space="preserve"> </w:t>
      </w:r>
      <w:r>
        <w:t xml:space="preserve">is a married son of the head (code 3). Type (c) is the clearest</w:t>
      </w:r>
      <w:r>
        <w:t xml:space="preserve"> </w:t>
      </w:r>
      <w:r>
        <w:t xml:space="preserve">indicator of patrilocal co-residence. Type (b) mixes households in which</w:t>
      </w:r>
      <w:r>
        <w:t xml:space="preserve"> </w:t>
      </w:r>
      <w:r>
        <w:t xml:space="preserve">the parent generation is the husband’s and households in which it is the</w:t>
      </w:r>
      <w:r>
        <w:t xml:space="preserve"> </w:t>
      </w:r>
      <w:r>
        <w:t xml:space="preserve">wife’s, because the roster records the relation to the head only.</w:t>
      </w:r>
    </w:p>
    <w:p>
      <w:pPr>
        <w:pStyle w:val="BodyText"/>
      </w:pPr>
      <w:r>
        <w:t xml:space="preserve">Covariates are single-year age, education (four tiers), urban residence,</w:t>
      </w:r>
      <w:r>
        <w:t xml:space="preserve"> </w:t>
      </w:r>
      <w:r>
        <w:t xml:space="preserve">caste group (Scheduled Tribe, Scheduled Caste, Other Backward Class,</w:t>
      </w:r>
      <w:r>
        <w:t xml:space="preserve"> </w:t>
      </w:r>
      <w:r>
        <w:t xml:space="preserve">other), religion, state, day of the week and proxy reporting. The</w:t>
      </w:r>
      <w:r>
        <w:t xml:space="preserve"> </w:t>
      </w:r>
      <w:r>
        <w:t xml:space="preserve">baseline model does not control for household size, older household</w:t>
      </w:r>
      <w:r>
        <w:t xml:space="preserve"> </w:t>
      </w:r>
      <w:r>
        <w:t xml:space="preserve">members or consumption. These are partly consequences of marriage, since</w:t>
      </w:r>
      <w:r>
        <w:t xml:space="preserve"> </w:t>
      </w:r>
      <w:r>
        <w:t xml:space="preserve">at marriage a woman usually moves into a different and often larger</w:t>
      </w:r>
      <w:r>
        <w:t xml:space="preserve"> </w:t>
      </w:r>
      <w:r>
        <w:t xml:space="preserve">household, and controlling for them would remove part of the association</w:t>
      </w:r>
      <w:r>
        <w:t xml:space="preserve"> </w:t>
      </w:r>
      <w:r>
        <w:t xml:space="preserve">I want to measure. They enter an extended specification as a robustness</w:t>
      </w:r>
      <w:r>
        <w:t xml:space="preserve"> </w:t>
      </w:r>
      <w:r>
        <w:t xml:space="preserve">check.</w:t>
      </w:r>
    </w:p>
    <w:bookmarkEnd w:id="18"/>
    <w:bookmarkStart w:id="19" w:name="analytic-strategy"/>
    <w:p>
      <w:pPr>
        <w:pStyle w:val="Heading2"/>
      </w:pPr>
      <w:r>
        <w:t xml:space="preserve">Analytic strategy</w:t>
      </w:r>
    </w:p>
    <w:p>
      <w:pPr>
        <w:pStyle w:val="FirstParagraph"/>
      </w:pPr>
      <w:r>
        <w:t xml:space="preserve">For each activity division</w:t>
      </w:r>
      <w:r>
        <w:t xml:space="preserve"> </w:t>
      </w:r>
      <m:oMath>
        <m:r>
          <m:t>k</m:t>
        </m:r>
      </m:oMath>
      <w:r>
        <w:t xml:space="preserve">, separately for women and men,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β</m:t>
              </m:r>
            </m:e>
            <m:sup>
              <m:r>
                <m:t>k</m:t>
              </m:r>
            </m:sup>
          </m:sSup>
          <m:r>
            <m:t> </m:t>
          </m:r>
          <m:sSub>
            <m:e>
              <m:r>
                <m:rPr>
                  <m:nor/>
                  <m:sty m:val="p"/>
                </m:rPr>
                <m:t>Married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sSup>
            <m:e>
              <m:r>
                <m:t>γ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a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d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ε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single-year age, state and</w:t>
      </w:r>
      <w:r>
        <w:t xml:space="preserve"> </w:t>
      </w:r>
      <w:r>
        <w:t xml:space="preserve">day-of-week fixed effects. Because the nine divisions sum to 1,440</w:t>
      </w:r>
      <w:r>
        <w:t xml:space="preserve"> </w:t>
      </w:r>
      <w:r>
        <w:t xml:space="preserve">minutes for all but 5 of the 450,457 diaries and every regression uses</w:t>
      </w:r>
      <w:r>
        <w:t xml:space="preserve"> </w:t>
      </w:r>
      <w:r>
        <w:t xml:space="preserve">the same sample, weights and regressors,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p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up</w:t>
      </w:r>
      <w:r>
        <w:t xml:space="preserve"> </w:t>
      </w:r>
      <w:r>
        <w:t xml:space="preserve">to rounding. The coefficients decompose the adjusted</w:t>
      </w:r>
      <w:r>
        <w:t xml:space="preserve"> </w:t>
      </w:r>
      <w:r>
        <w:t xml:space="preserve">married–never-married difference into its sources. A pooled model with</w:t>
      </w:r>
      <w:r>
        <w:t xml:space="preserve"> </w:t>
      </w:r>
      <w:r>
        <w:t xml:space="preserve">a married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woman interaction and sex-specific age, state and</w:t>
      </w:r>
      <w:r>
        <w:t xml:space="preserve"> </w:t>
      </w:r>
      <w:r>
        <w:t xml:space="preserve">day effects tests whether the unpaid-work difference is gendered.</w:t>
      </w:r>
      <w:r>
        <w:t xml:space="preserve"> </w:t>
      </w:r>
      <w:r>
        <w:t xml:space="preserve">Heterogeneity by residence replaces the married indicator with</w:t>
      </w:r>
      <w:r>
        <w:t xml:space="preserve"> </w:t>
      </w:r>
      <w:r>
        <w:t xml:space="preserve">indicators for the three residence types, each compared with the same</w:t>
      </w:r>
      <w:r>
        <w:t xml:space="preserve"> </w:t>
      </w:r>
      <w:r>
        <w:t xml:space="preserve">never-married group. A model restricted to married women tests whether</w:t>
      </w:r>
      <w:r>
        <w:t xml:space="preserve"> </w:t>
      </w:r>
      <w:r>
        <w:t xml:space="preserve">daughters-in-law differ from wives in households without a parent</w:t>
      </w:r>
      <w:r>
        <w:t xml:space="preserve"> </w:t>
      </w:r>
      <w:r>
        <w:t xml:space="preserve">generation.</w:t>
      </w:r>
    </w:p>
    <w:p>
      <w:pPr>
        <w:pStyle w:val="BodyText"/>
      </w:pPr>
      <w:r>
        <w:t xml:space="preserve">The coefficient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p>
            <m:r>
              <m:t>k</m:t>
            </m:r>
          </m:sup>
        </m:sSup>
      </m:oMath>
      <w:r>
        <w:t xml:space="preserve"> </w:t>
      </w:r>
      <w:r>
        <w:t xml:space="preserve">is not the causal effect of marriage.</w:t>
      </w:r>
      <w:r>
        <w:t xml:space="preserve"> </w:t>
      </w:r>
      <w:r>
        <w:t xml:space="preserve">The survey is a single cross-section, it does not record the date of</w:t>
      </w:r>
      <w:r>
        <w:t xml:space="preserve"> </w:t>
      </w:r>
      <w:r>
        <w:t xml:space="preserve">marriage, and the never-married are a selected and shrinking group. I</w:t>
      </w:r>
      <w:r>
        <w:t xml:space="preserve"> </w:t>
      </w:r>
      <w:r>
        <w:t xml:space="preserve">use four strategies to judge how much selection could matter. (1) I</w:t>
      </w:r>
      <w:r>
        <w:t xml:space="preserve"> </w:t>
      </w:r>
      <w:r>
        <w:t xml:space="preserve">re-estimate the decomposition for women aged 20 to 26, where 32% of</w:t>
      </w:r>
      <w:r>
        <w:t xml:space="preserve"> </w:t>
      </w:r>
      <w:r>
        <w:t xml:space="preserve">women are never married and the comparison group is closest to the</w:t>
      </w:r>
      <w:r>
        <w:t xml:space="preserve"> </w:t>
      </w:r>
      <w:r>
        <w:t xml:space="preserve">population. (2) I reweight never-married respondents to the joint</w:t>
      </w:r>
      <w:r>
        <w:t xml:space="preserve"> </w:t>
      </w:r>
      <w:r>
        <w:t xml:space="preserve">distribution of the covariates among the married</w:t>
      </w:r>
      <w:r>
        <w:t xml:space="preserve"> </w:t>
      </w:r>
      <w:r>
        <w:t xml:space="preserve">(DiNardo et al., 1996). The weights are</w:t>
      </w:r>
      <w:r>
        <w:t xml:space="preserve"> </w:t>
      </w:r>
      <w:r>
        <w:t xml:space="preserve">the odds of being married from a logit on single-year age, state,</w:t>
      </w:r>
      <w:r>
        <w:t xml:space="preserve"> </w:t>
      </w:r>
      <w:r>
        <w:t xml:space="preserve">education, urban residence, caste and religion</w:t>
      </w:r>
      <w:r>
        <w:t xml:space="preserve"> </w:t>
      </w:r>
      <w:r>
        <w:t xml:space="preserve">(Imbens, 2004;</w:t>
      </w:r>
      <w:r>
        <w:t xml:space="preserve"> </w:t>
      </w:r>
      <w:r>
        <w:t xml:space="preserve">Rosenbaum &amp; Rubin, 1983), with</w:t>
      </w:r>
      <w:r>
        <w:t xml:space="preserve"> </w:t>
      </w:r>
      <w:r>
        <w:t xml:space="preserve">propensities capped at 0.99. The reweighted regression, which also</w:t>
      </w:r>
      <w:r>
        <w:t xml:space="preserve"> </w:t>
      </w:r>
      <w:r>
        <w:t xml:space="preserve">includes the controls, estimates the average difference among the</w:t>
      </w:r>
      <w:r>
        <w:t xml:space="preserve"> </w:t>
      </w:r>
      <w:r>
        <w:t xml:space="preserve">married, conditional on observables, and is doubly robust to</w:t>
      </w:r>
      <w:r>
        <w:t xml:space="preserve"> </w:t>
      </w:r>
      <w:r>
        <w:t xml:space="preserve">misspecification of either the propensity or the outcome model. (3) For</w:t>
      </w:r>
      <w:r>
        <w:t xml:space="preserve"> </w:t>
      </w:r>
      <w:r>
        <w:t xml:space="preserve">women, I compute bias-adjusted coefficients that assume selection on</w:t>
      </w:r>
      <w:r>
        <w:t xml:space="preserve"> </w:t>
      </w:r>
      <w:r>
        <w:t xml:space="preserve">unobservables is as strong as selection on observables (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that the maximum attainable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1.3 times the controlled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and report the value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at which the adjusted</w:t>
      </w:r>
      <w:r>
        <w:t xml:space="preserve"> </w:t>
      </w:r>
      <w:r>
        <w:t xml:space="preserve">coefficient would reach zero</w:t>
      </w:r>
      <w:r>
        <w:t xml:space="preserve"> </w:t>
      </w:r>
      <w:r>
        <w:t xml:space="preserve">(Altonji et al., 2005;</w:t>
      </w:r>
      <w:r>
        <w:t xml:space="preserve"> </w:t>
      </w:r>
      <w:r>
        <w:t xml:space="preserve">Oster, 2019). (4) I estimate the</w:t>
      </w:r>
      <w:r>
        <w:t xml:space="preserve"> </w:t>
      </w:r>
      <w:r>
        <w:t xml:space="preserve">unpaid-work gap separately in five age bands. If selection of the</w:t>
      </w:r>
      <w:r>
        <w:t xml:space="preserve"> </w:t>
      </w:r>
      <w:r>
        <w:t xml:space="preserve">never-married drives the gap, the gap should grow sharply as the</w:t>
      </w:r>
      <w:r>
        <w:t xml:space="preserve"> </w:t>
      </w:r>
      <w:r>
        <w:t xml:space="preserve">never-married become rarer.</w:t>
      </w:r>
    </w:p>
    <w:p>
      <w:pPr>
        <w:pStyle w:val="BodyText"/>
      </w:pPr>
      <w:r>
        <w:t xml:space="preserve">Within-couple comparisons difference out everything shared by the</w:t>
      </w:r>
      <w:r>
        <w:t xml:space="preserve"> </w:t>
      </w:r>
      <w:r>
        <w:t xml:space="preserve">spouses: household composition, consumption, location, the diary day and</w:t>
      </w:r>
      <w:r>
        <w:t xml:space="preserve"> </w:t>
      </w:r>
      <w:r>
        <w:t xml:space="preserve">much of the social environment. I report the wife-minus-husband gap in</w:t>
      </w:r>
      <w:r>
        <w:t xml:space="preserve"> </w:t>
      </w:r>
      <w:r>
        <w:t xml:space="preserve">unpaid work, the wife’s share of the couple’s unpaid work, and the</w:t>
      </w:r>
      <w:r>
        <w:t xml:space="preserve"> </w:t>
      </w:r>
      <w:r>
        <w:t xml:space="preserve">husband-minus-wife gap in employment time, by the wife’s employment,</w:t>
      </w:r>
      <w:r>
        <w:t xml:space="preserve"> </w:t>
      </w:r>
      <w:r>
        <w:t xml:space="preserve">relative education, residence type and the spousal age gap. Adjusted</w:t>
      </w:r>
      <w:r>
        <w:t xml:space="preserve"> </w:t>
      </w:r>
      <w:r>
        <w:t xml:space="preserve">associations for the age gap and residence type control for the wife’s</w:t>
      </w:r>
      <w:r>
        <w:t xml:space="preserve"> </w:t>
      </w:r>
      <w:r>
        <w:t xml:space="preserve">single-year age, both spouses’ education, caste, religion, urban</w:t>
      </w:r>
      <w:r>
        <w:t xml:space="preserve"> </w:t>
      </w:r>
      <w:r>
        <w:t xml:space="preserve">residence, state and day of the week. These comparisons describe the</w:t>
      </w:r>
      <w:r>
        <w:t xml:space="preserve"> </w:t>
      </w:r>
      <w:r>
        <w:t xml:space="preserve">division of labor within marriage, not the effect of marriage, and the</w:t>
      </w:r>
      <w:r>
        <w:t xml:space="preserve"> </w:t>
      </w:r>
      <w:r>
        <w:t xml:space="preserve">wife’s employment is itself a joint decision of the couple and</w:t>
      </w:r>
      <w:r>
        <w:t xml:space="preserve"> </w:t>
      </w:r>
      <w:r>
        <w:t xml:space="preserve">household.</w:t>
      </w:r>
    </w:p>
    <w:bookmarkEnd w:id="19"/>
    <w:bookmarkEnd w:id="20"/>
    <w:bookmarkStart w:id="32" w:name="results"/>
    <w:p>
      <w:pPr>
        <w:pStyle w:val="Heading1"/>
      </w:pPr>
      <w:r>
        <w:t xml:space="preserve">Results</w:t>
      </w:r>
    </w:p>
    <w:bookmarkStart w:id="22" w:name="descriptive-patterns"/>
    <w:p>
      <w:pPr>
        <w:pStyle w:val="Heading2"/>
      </w:pPr>
      <w:r>
        <w:t xml:space="preserve">Descriptive patterns</w:t>
      </w:r>
    </w:p>
    <w:bookmarkStart w:id="21" w:name="tab:desc"/>
    <w:p>
      <w:pPr>
        <w:pStyle w:val="TableCaption"/>
      </w:pPr>
      <w:r>
        <w:t xml:space="preserve">Weighted means by sex and marital status, ages 20–39</w:t>
      </w:r>
    </w:p>
    <w:tbl>
      <w:tblPr>
        <w:tblStyle w:val="Table"/>
        <w:tblLook w:firstRow="1" w:lastRow="0" w:firstColumn="0" w:lastColumn="0" w:noHBand="0" w:noVBand="0" w:val="0020"/>
        <w:tblCaption w:val="Weighted means by sex and marital status, ages 20–39"/>
        <w:tblW w:type="pct" w:w="5000"/>
        <w:tblLayout w:type="autofit"/>
      </w:tblPr>
      <w:tblGrid>
        <w:gridCol/>
        <w:gridCol/>
        <w:gridCol/>
        <w:gridCol/>
        <w:gridCol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Women, never married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Women, married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Men, never married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Men, married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Employment (incl. travel), min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323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452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Own-use production of goods, min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Unpaid domestic services, min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Unpaid caregiving, min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Learning, min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Socializing, community, religion, min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Culture, leisure, media, sport, min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Self-care incl. sleep, min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723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684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709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699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of which: sleep, min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544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527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527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515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Age, years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23.4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29.8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24.8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31.7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Employed (usual status)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28%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22%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68%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Current student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32%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19%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Graduate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45%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16%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32%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Urban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43%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29%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41%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Diaries (N)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13,940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74,397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31,598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55,766</w:t>
            </w:r>
          </w:p>
        </w:tc>
      </w:tr>
    </w:tbl>
    <w:bookmarkEnd w:id="21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Minutes per day from major activities; the nine divisions (eight shown plus volunteering) sum to 1,440. Weighted by survey multipliers.</w:t>
      </w:r>
    </w:p>
    <w:p>
      <w:pPr>
        <w:pStyle w:val="BodyText"/>
      </w:pPr>
      <w:r>
        <w:t xml:space="preserve">Table</w:t>
      </w:r>
      <w:r>
        <w:t xml:space="preserve"> </w:t>
      </w:r>
      <w:hyperlink w:anchor="tab:desc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describes the main sample. Never-married women in</w:t>
      </w:r>
      <w:r>
        <w:t xml:space="preserve"> </w:t>
      </w:r>
      <w:r>
        <w:t xml:space="preserve">this age range are much more likely to be students (32%, against 0% of</w:t>
      </w:r>
      <w:r>
        <w:t xml:space="preserve"> </w:t>
      </w:r>
      <w:r>
        <w:t xml:space="preserve">married women), and 28% of never-married women report being employed in</w:t>
      </w:r>
      <w:r>
        <w:t xml:space="preserve"> </w:t>
      </w:r>
      <w:r>
        <w:t xml:space="preserve">their usual principal status, against 22% of married women. The raw</w:t>
      </w:r>
      <w:r>
        <w:t xml:space="preserve"> </w:t>
      </w:r>
      <w:r>
        <w:t xml:space="preserve">differences between columns mix the association with marriage and the</w:t>
      </w:r>
      <w:r>
        <w:t xml:space="preserve"> </w:t>
      </w:r>
      <w:r>
        <w:t xml:space="preserve">different age and education profiles of the groups, which the</w:t>
      </w:r>
      <w:r>
        <w:t xml:space="preserve"> </w:t>
      </w:r>
      <w:r>
        <w:t xml:space="preserve">regressions below hold constant.</w:t>
      </w:r>
    </w:p>
    <w:bookmarkEnd w:id="22"/>
    <w:bookmarkStart w:id="24" w:name="Xf24436297bb4d14eb767d5f26b5c6bc363cd818"/>
    <w:p>
      <w:pPr>
        <w:pStyle w:val="Heading2"/>
      </w:pPr>
      <w:r>
        <w:t xml:space="preserve">Decomposing the married–never-married</w:t>
      </w:r>
      <w:r>
        <w:t xml:space="preserve"> </w:t>
      </w:r>
      <w:r>
        <w:t xml:space="preserve">difference</w:t>
      </w:r>
    </w:p>
    <w:bookmarkStart w:id="23" w:name="tab:decomp"/>
    <w:p>
      <w:pPr>
        <w:pStyle w:val="TableCaption"/>
      </w:pPr>
      <w:r>
        <w:t xml:space="preserve">Married minus never-married, minutes per day, ages 20–39</w:t>
      </w:r>
    </w:p>
    <w:tbl>
      <w:tblPr>
        <w:tblStyle w:val="Table"/>
        <w:tblLook w:firstRow="1" w:lastRow="0" w:firstColumn="0" w:lastColumn="0" w:noHBand="0" w:noVBand="0" w:val="0020"/>
        <w:tblCaption w:val="Married minus never-married, minutes per day, ages 20–39"/>
        <w:tblW w:type="pct" w:w="5000"/>
        <w:tblLayout w:type="autofit"/>
      </w:tblPr>
      <w:tblGrid>
        <w:gridCol/>
        <w:gridCol/>
        <w:gridCol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Women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Men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Employment (incl. travel)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-84.7*** (3.3)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69.4*** (2.7)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Own-use production of goods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-1.0 (0.7)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2.4*** (0.6)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Unpaid domestic services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164.8*** (2.3)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-5.5*** (0.8)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Unpaid caregiving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114.9*** (1.1)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31.7*** (0.5)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Volunteering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-0.2 (0.2)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-0.8*** (0.2)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Learning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-118.7*** (2.6)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-36.1*** (1.2)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Socializing, community, religion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-6.6*** (1.4)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-11.0*** (1.2)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Culture, leisure, media, sport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-41.3*** (1.7)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-42.2*** (1.3)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Self-care incl. sleep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-27.1*** (1.6)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-7.9*** (1.3)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Sum of the nine divisions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-0.0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of which: sleep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-8.6*** (1.4)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-8.7*** (1.1)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of which: socializing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-8.8*** (1.1)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-11.8*** (1.0)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of which: exercise and sport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-2.2*** (0.2)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-3.5*** (0.3)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of which: religious practice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2.7*** (0.5)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0.5 (0.4)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of which: mass media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-35.1*** (1.4)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-25.8*** (1.0)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Unpaid work (domestic + care)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279.7*** (2.5)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26.2*** (0.9)</w:t>
            </w:r>
          </w:p>
        </w:tc>
      </w:tr>
    </w:tbl>
    <w:bookmarkEnd w:id="23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Coefficients on currently married from separate regressions by sex, with single-year age, state and day-of-week fixed effects and controls for education, urban residence, caste, religion and proxy report. FSU-clustered standard errors in parentheses. The nine divisions partition the day, so their coefficients sum to zero. * p&lt;0.10, ** p&lt;0.05, *** p&lt;0.01.</w:t>
      </w:r>
    </w:p>
    <w:p>
      <w:pPr>
        <w:pStyle w:val="BodyText"/>
      </w:pPr>
      <w:r>
        <w:t xml:space="preserve">Table</w:t>
      </w:r>
      <w:r>
        <w:t xml:space="preserve"> </w:t>
      </w:r>
      <w:hyperlink w:anchor="tab:decomp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and Figure S1 report the</w:t>
      </w:r>
      <w:r>
        <w:t xml:space="preserve"> </w:t>
      </w:r>
      <w:r>
        <w:t xml:space="preserve">decomposition. Marriage is associated with 164.8 minutes (SE 2.3) more</w:t>
      </w:r>
      <w:r>
        <w:t xml:space="preserve"> </w:t>
      </w:r>
      <w:r>
        <w:t xml:space="preserve">unpaid domestic work and 114.9 minutes (SE 1.1) more caregiving for</w:t>
      </w:r>
      <w:r>
        <w:t xml:space="preserve"> </w:t>
      </w:r>
      <w:r>
        <w:t xml:space="preserve">women. For men the corresponding coefficients are -5.5 minutes (SE 0.8)</w:t>
      </w:r>
      <w:r>
        <w:t xml:space="preserve"> </w:t>
      </w:r>
      <w:r>
        <w:t xml:space="preserve">and 31.7 minutes (SE 0.5). In the pooled model, the married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woman coefficient on unpaid work is 261.9 minutes (SE 2.6)</w:t>
      </w:r>
      <w:r>
        <w:t xml:space="preserve"> </w:t>
      </w:r>
      <w:r>
        <w:t xml:space="preserve">(statistically significant at the 1% level). The pattern supports H1:</w:t>
      </w:r>
      <w:r>
        <w:t xml:space="preserve"> </w:t>
      </w:r>
      <w:r>
        <w:t xml:space="preserve">marriage is associated with much more unpaid work for women than for</w:t>
      </w:r>
      <w:r>
        <w:t xml:space="preserve"> </w:t>
      </w:r>
      <w:r>
        <w:t xml:space="preserve">men.</w:t>
      </w:r>
    </w:p>
    <w:p>
      <w:pPr>
        <w:pStyle w:val="BodyText"/>
      </w:pPr>
      <w:r>
        <w:t xml:space="preserve">Part of this difference reflects motherhood rather than marriage as</w:t>
      </w:r>
      <w:r>
        <w:t xml:space="preserve"> </w:t>
      </w:r>
      <w:r>
        <w:t xml:space="preserve">such: married women are far more likely to live with young children, and</w:t>
      </w:r>
      <w:r>
        <w:t xml:space="preserve"> </w:t>
      </w:r>
      <w:r>
        <w:t xml:space="preserve">caregiving accounts for 115 of the 280 minutes. Among women in</w:t>
      </w:r>
      <w:r>
        <w:t xml:space="preserve"> </w:t>
      </w:r>
      <w:r>
        <w:t xml:space="preserve">households with no child under six (38,541 women, 70% of them married),</w:t>
      </w:r>
      <w:r>
        <w:t xml:space="preserve"> </w:t>
      </w:r>
      <w:r>
        <w:t xml:space="preserve">the married–never-married difference in unpaid work is 186.6 minutes</w:t>
      </w:r>
      <w:r>
        <w:t xml:space="preserve"> </w:t>
      </w:r>
      <w:r>
        <w:t xml:space="preserve">(SE 3.0): 175.5 minutes (SE 2.9) in domestic work and 11.1 minutes (SE</w:t>
      </w:r>
      <w:r>
        <w:t xml:space="preserve"> </w:t>
      </w:r>
      <w:r>
        <w:t xml:space="preserve">0.5) in caregiving. The domestic-work difference largely persists</w:t>
      </w:r>
      <w:r>
        <w:t xml:space="preserve"> </w:t>
      </w:r>
      <w:r>
        <w:t xml:space="preserve">without young children in the household, whereas most of the caregiving</w:t>
      </w:r>
      <w:r>
        <w:t xml:space="preserve"> </w:t>
      </w:r>
      <w:r>
        <w:t xml:space="preserve">difference does not. The estimates are therefore best read as the</w:t>
      </w:r>
      <w:r>
        <w:t xml:space="preserve"> </w:t>
      </w:r>
      <w:r>
        <w:t xml:space="preserve">difference that accompanies marriage, including the motherhood that</w:t>
      </w:r>
      <w:r>
        <w:t xml:space="preserve"> </w:t>
      </w:r>
      <w:r>
        <w:t xml:space="preserve">usually follows it, not as what marriage alone adds.</w:t>
      </w:r>
    </w:p>
    <w:p>
      <w:pPr>
        <w:pStyle w:val="BodyText"/>
      </w:pPr>
      <w:r>
        <w:t xml:space="preserve">Among the other seven divisions, women’s additional unpaid minutes are</w:t>
      </w:r>
      <w:r>
        <w:t xml:space="preserve"> </w:t>
      </w:r>
      <w:r>
        <w:t xml:space="preserve">offset mainly by lower time in learning (119 minutes), employment</w:t>
      </w:r>
      <w:r>
        <w:t xml:space="preserve"> </w:t>
      </w:r>
      <w:r>
        <w:t xml:space="preserve">(incl. travel) (85 minutes) and culture, leisure, media, sport (41</w:t>
      </w:r>
      <w:r>
        <w:t xml:space="preserve"> </w:t>
      </w:r>
      <w:r>
        <w:t xml:space="preserve">minutes). Employment and learning together account for 73% of the</w:t>
      </w:r>
      <w:r>
        <w:t xml:space="preserve"> </w:t>
      </w:r>
      <w:r>
        <w:t xml:space="preserve">reductions, socializing and leisure for 17%, and self-care for 10%.</w:t>
      </w:r>
      <w:r>
        <w:t xml:space="preserve"> </w:t>
      </w:r>
      <w:r>
        <w:t xml:space="preserve">Most of the offset comes from paid work and learning, which is closer to</w:t>
      </w:r>
      <w:r>
        <w:t xml:space="preserve"> </w:t>
      </w:r>
      <w:r>
        <w:t xml:space="preserve">the specialization account (H2a) than to a squeeze on free time.</w:t>
      </w:r>
    </w:p>
    <w:p>
      <w:pPr>
        <w:pStyle w:val="BodyText"/>
      </w:pPr>
      <w:r>
        <w:t xml:space="preserve">The sub-rows place the commonly studied</w:t>
      </w:r>
      <w:r>
        <w:t xml:space="preserve"> </w:t>
      </w:r>
      <w:r>
        <w:t xml:space="preserve">“marriage penalties”</w:t>
      </w:r>
      <w:r>
        <w:t xml:space="preserve"> </w:t>
      </w:r>
      <w:r>
        <w:t xml:space="preserve">within</w:t>
      </w:r>
      <w:r>
        <w:t xml:space="preserve"> </w:t>
      </w:r>
      <w:r>
        <w:t xml:space="preserve">the budget. Married women slept 9 minutes less than never-married women</w:t>
      </w:r>
      <w:r>
        <w:t xml:space="preserve"> </w:t>
      </w:r>
      <w:r>
        <w:t xml:space="preserve">(SE 1.4). The coefficients for socializing, exercise and sport, and</w:t>
      </w:r>
      <w:r>
        <w:t xml:space="preserve"> </w:t>
      </w:r>
      <w:r>
        <w:t xml:space="preserve">religious practice are -8.8 minutes (SE 1.1), -2.2 minutes (SE 0.2) and</w:t>
      </w:r>
      <w:r>
        <w:t xml:space="preserve"> </w:t>
      </w:r>
      <w:r>
        <w:t xml:space="preserve">2.7 minutes (SE 0.5). Sleep moves less than free time, as H2</w:t>
      </w:r>
      <w:r>
        <w:t xml:space="preserve"> </w:t>
      </w:r>
      <w:r>
        <w:t xml:space="preserve">anticipated. For men, the largest coefficient in absolute value is on</w:t>
      </w:r>
      <w:r>
        <w:t xml:space="preserve"> </w:t>
      </w:r>
      <w:r>
        <w:t xml:space="preserve">employment (incl. travel), at 69.4 minutes (SE 2.7).</w:t>
      </w:r>
    </w:p>
    <w:bookmarkEnd w:id="24"/>
    <w:bookmarkStart w:id="25" w:name="patrilocal-co-residence"/>
    <w:p>
      <w:pPr>
        <w:pStyle w:val="Heading2"/>
      </w:pPr>
      <w:r>
        <w:t xml:space="preserve">Patrilocal co-residence</w:t>
      </w:r>
    </w:p>
    <w:p>
      <w:pPr>
        <w:pStyle w:val="FirstParagraph"/>
      </w:pPr>
      <w:r>
        <w:t xml:space="preserve">Table S1 splits married women and men by residence</w:t>
      </w:r>
      <w:r>
        <w:t xml:space="preserve"> </w:t>
      </w:r>
      <w:r>
        <w:t xml:space="preserve">type. Each married group is compared with never-married persons of the</w:t>
      </w:r>
      <w:r>
        <w:t xml:space="preserve"> </w:t>
      </w:r>
      <w:r>
        <w:t xml:space="preserve">same sex, so each column again sums to zero across divisions. The</w:t>
      </w:r>
      <w:r>
        <w:t xml:space="preserve"> </w:t>
      </w:r>
      <w:r>
        <w:t xml:space="preserve">comparison of interest is between daughters-in-law of the head and wives</w:t>
      </w:r>
      <w:r>
        <w:t xml:space="preserve"> </w:t>
      </w:r>
      <w:r>
        <w:t xml:space="preserve">in households without a parent generation. In a model restricted to</w:t>
      </w:r>
      <w:r>
        <w:t xml:space="preserve"> </w:t>
      </w:r>
      <w:r>
        <w:t xml:space="preserve">married women, daughters-in-law do 2.1 minutes (SE 1.8) less unpaid work</w:t>
      </w:r>
      <w:r>
        <w:t xml:space="preserve"> </w:t>
      </w:r>
      <w:r>
        <w:t xml:space="preserve">(not statistically distinguishable from zero), 12.6 minutes (SE 1.7)</w:t>
      </w:r>
      <w:r>
        <w:t xml:space="preserve"> </w:t>
      </w:r>
      <w:r>
        <w:t xml:space="preserve">less employment, 0.8 minutes (SE 1.1) more socializing, community and</w:t>
      </w:r>
      <w:r>
        <w:t xml:space="preserve"> </w:t>
      </w:r>
      <w:r>
        <w:t xml:space="preserve">religious activity, and sleep 1.1 minutes (SE 1.1) more. Unpaid work</w:t>
      </w:r>
      <w:r>
        <w:t xml:space="preserve"> </w:t>
      </w:r>
      <w:r>
        <w:t xml:space="preserve">does not differ detectably by residence type, so the data support</w:t>
      </w:r>
      <w:r>
        <w:t xml:space="preserve"> </w:t>
      </w:r>
      <w:r>
        <w:t xml:space="preserve">neither the substitution account (H3a) nor the hierarchy account (H3b)</w:t>
      </w:r>
      <w:r>
        <w:t xml:space="preserve"> </w:t>
      </w:r>
      <w:r>
        <w:t xml:space="preserve">as a description of average unpaid time.</w:t>
      </w:r>
    </w:p>
    <w:p>
      <w:pPr>
        <w:pStyle w:val="BodyText"/>
      </w:pPr>
      <w:r>
        <w:t xml:space="preserve">Two cautions apply. Daughters-in-law are younger on average and at an</w:t>
      </w:r>
      <w:r>
        <w:t xml:space="preserve"> </w:t>
      </w:r>
      <w:r>
        <w:t xml:space="preserve">earlier stage of marriage than wives who head their own household. The</w:t>
      </w:r>
      <w:r>
        <w:t xml:space="preserve"> </w:t>
      </w:r>
      <w:r>
        <w:t xml:space="preserve">single-year age effects absorb the age difference, but not marital</w:t>
      </w:r>
      <w:r>
        <w:t xml:space="preserve"> </w:t>
      </w:r>
      <w:r>
        <w:t xml:space="preserve">duration, which the survey does not record. In addition, the move from a</w:t>
      </w:r>
      <w:r>
        <w:t xml:space="preserve"> </w:t>
      </w:r>
      <w:r>
        <w:t xml:space="preserve">joint to a nuclear household is itself selective, and can follow the</w:t>
      </w:r>
      <w:r>
        <w:t xml:space="preserve"> </w:t>
      </w:r>
      <w:r>
        <w:t xml:space="preserve">death of the senior couple or household partition</w:t>
      </w:r>
      <w:r>
        <w:t xml:space="preserve"> </w:t>
      </w:r>
      <w:r>
        <w:t xml:space="preserve">(Debnath, 2015).</w:t>
      </w:r>
    </w:p>
    <w:bookmarkEnd w:id="25"/>
    <w:bookmarkStart w:id="27" w:name="selection-into-marriage"/>
    <w:p>
      <w:pPr>
        <w:pStyle w:val="Heading2"/>
      </w:pPr>
      <w:r>
        <w:t xml:space="preserve">Selection into marriage</w:t>
      </w:r>
    </w:p>
    <w:bookmarkStart w:id="26" w:name="tab:selection"/>
    <w:p>
      <w:pPr>
        <w:pStyle w:val="TableCaption"/>
      </w:pPr>
      <w:r>
        <w:t xml:space="preserve">Women: married minus never-married under alternative treatments of selection, minutes per day</w:t>
      </w:r>
    </w:p>
    <w:tbl>
      <w:tblPr>
        <w:tblStyle w:val="Table"/>
        <w:tblLook w:firstRow="1" w:lastRow="0" w:firstColumn="0" w:lastColumn="0" w:noHBand="0" w:noVBand="0" w:val="0020"/>
        <w:tblCaption w:val="Women: married minus never-married under alternative treatments of selection, minutes per day"/>
        <w:tblW w:type="pct" w:w="5000"/>
        <w:tblLayout w:type="autofit"/>
      </w:tblPr>
      <w:tblGrid>
        <w:gridCol/>
        <w:gridCol/>
        <w:gridCol/>
        <w:gridCol/>
        <w:gridCol/>
        <w:gridCol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Ages 20–26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Reweighted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Bias-adjusted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Breakdown delta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Employment (incl. travel)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-84.7*** (3.3)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-68.3*** (3.2)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-72.0*** (6.1)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-96.2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-7.40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Own-use production of goods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-1.0 (0.7)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0.3 (0.8)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3.4* (1.8)</w:t>
            </w: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Unpaid domestic services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164.8*** (2.3)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161.6*** (2.6)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141.6*** (5.3)</w:t>
            </w: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Unpaid caregiving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114.9*** (1.1)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105.4*** (1.4)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91.4*** (1.7)</w:t>
            </w: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Volunteering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-0.2 (0.2)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-0.0 (0.3)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-0.1 (0.3)</w:t>
            </w: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Learning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-118.7*** (2.6)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-131.2*** (3.0)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-30.7*** (1.5)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-43.0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1.57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Socializing, community, religion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-6.6*** (1.4)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-4.4*** (1.7)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-18.7*** (2.9)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-8.2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-4.30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Culture, leisure, media, sport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-41.3*** (1.7)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-38.0*** (2.0)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-67.9*** (3.8)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-33.1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5.04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Self-care incl. sleep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-27.1*** (1.6)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-25.3*** (1.9)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-47.1*** (3.4)</w:t>
            </w: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of which: sleep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-8.6*** (1.4)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-8.9*** (1.6)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-26.9*** (2.8)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-5.7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3.01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Unpaid work (domestic + care)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279.7*** (2.5)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267.0*** (2.8)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233.0*** (5.5)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264.3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18.14</w:t>
            </w:r>
          </w:p>
        </w:tc>
      </w:tr>
    </w:tbl>
    <w:bookmarkEnd w:id="26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Baseline: the decomposition for ages 20–39. Ages 20–26: same model on women aged 20–26. Reweighted: never-married women reweighted to the covariate distribution of married women (DiNardo-Fortin-Lemieux odds weights from a logit on single-year age, state, education, urban, caste and religion; propensities capped at 0.99), with the baseline controls. Bias-adjusted: Oster (2019) coefficient with delta = 1 and R-max = 1.3 times the controlled R-squared, relative to a regression on the married indicator alone. Breakdown delta: the delta at which the bias-adjusted coefficient is zero. FSU-clustered SEs in parentheses. * p&lt;0.10, ** p&lt;0.05, *** p&lt;0.01.</w:t>
      </w:r>
    </w:p>
    <w:p>
      <w:pPr>
        <w:pStyle w:val="BodyText"/>
      </w:pPr>
      <w:r>
        <w:t xml:space="preserve">Reweighting leans on a small number of never-married women who resemble</w:t>
      </w:r>
      <w:r>
        <w:t xml:space="preserve"> </w:t>
      </w:r>
      <w:r>
        <w:t xml:space="preserve">the married: the effective sample of never-married women falls to 1,209</w:t>
      </w:r>
      <w:r>
        <w:t xml:space="preserve"> </w:t>
      </w:r>
      <w:r>
        <w:t xml:space="preserve">from 13,940. Trimming observations with propensities outside</w:t>
      </w:r>
      <w:r>
        <w:t xml:space="preserve"> </w:t>
      </w:r>
      <w:r>
        <w:t xml:space="preserve">[</w:t>
      </w:r>
      <w:r>
        <w:t xml:space="preserve">0.05,</w:t>
      </w:r>
      <w:r>
        <w:t xml:space="preserve"> </w:t>
      </w:r>
      <w:r>
        <w:t xml:space="preserve">0.95</w:t>
      </w:r>
      <w:r>
        <w:t xml:space="preserve">]</w:t>
      </w:r>
      <w:r>
        <w:t xml:space="preserve"> </w:t>
      </w:r>
      <w:r>
        <w:t xml:space="preserve">gives an unpaid-work difference of 270.5 minutes (SE 3.1)</w:t>
      </w:r>
      <w:r>
        <w:t xml:space="preserve"> </w:t>
      </w:r>
      <w:r>
        <w:t xml:space="preserve">(effective never-married sample 3,006), and outside</w:t>
      </w:r>
      <w:r>
        <w:t xml:space="preserve"> </w:t>
      </w:r>
      <w:r>
        <w:t xml:space="preserve">[</w:t>
      </w:r>
      <w:r>
        <w:t xml:space="preserve">0.10, 0.90</w:t>
      </w:r>
      <w:r>
        <w:t xml:space="preserve">]</w:t>
      </w:r>
      <w:r>
        <w:t xml:space="preserve"> </w:t>
      </w:r>
      <w:r>
        <w:t xml:space="preserve">268.6 minutes (SE 3.1) (3,842) (Crump et</w:t>
      </w:r>
      <w:r>
        <w:t xml:space="preserve"> </w:t>
      </w:r>
      <w:r>
        <w:t xml:space="preserve">al., 2009). The learning and employment coefficients move more across</w:t>
      </w:r>
      <w:r>
        <w:t xml:space="preserve"> </w:t>
      </w:r>
      <w:r>
        <w:t xml:space="preserve">these weightings (learning -70.5 and -88.7; employment -106.9 and</w:t>
      </w:r>
      <w:r>
        <w:t xml:space="preserve"> </w:t>
      </w:r>
      <w:r>
        <w:t xml:space="preserve">-98.1), so the reweighted estimates for those divisions are imprecise</w:t>
      </w:r>
      <w:r>
        <w:t xml:space="preserve"> </w:t>
      </w:r>
      <w:r>
        <w:t xml:space="preserve">guides. Figure S2 in the online supplement shows the</w:t>
      </w:r>
      <w:r>
        <w:t xml:space="preserve"> </w:t>
      </w:r>
      <w:r>
        <w:t xml:space="preserve">overlap of propensity scores.</w:t>
      </w:r>
    </w:p>
    <w:p>
      <w:pPr>
        <w:pStyle w:val="BodyText"/>
      </w:pPr>
      <w:r>
        <w:t xml:space="preserve">Table</w:t>
      </w:r>
      <w:r>
        <w:t xml:space="preserve"> </w:t>
      </w:r>
      <w:hyperlink w:anchor="tab:selectio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four checks for women. Among women</w:t>
      </w:r>
      <w:r>
        <w:t xml:space="preserve"> </w:t>
      </w:r>
      <w:r>
        <w:t xml:space="preserve">aged 20 to 26, the unpaid-work coefficient is 267.0 minutes (SE 2.8),</w:t>
      </w:r>
      <w:r>
        <w:t xml:space="preserve"> </w:t>
      </w:r>
      <w:r>
        <w:t xml:space="preserve">against 279.7 minutes (SE 2.5) in the baseline. After reweighting, the</w:t>
      </w:r>
      <w:r>
        <w:t xml:space="preserve"> </w:t>
      </w:r>
      <w:r>
        <w:t xml:space="preserve">never-married resemble the married on observed characteristics: the</w:t>
      </w:r>
      <w:r>
        <w:t xml:space="preserve"> </w:t>
      </w:r>
      <w:r>
        <w:t xml:space="preserve">largest absolute standardized difference across the covariates in Table</w:t>
      </w:r>
      <w:r>
        <w:t xml:space="preserve"> </w:t>
      </w:r>
      <w:r>
        <w:t xml:space="preserve">S2 in the online supplement is 0.13, and Table</w:t>
      </w:r>
      <w:r>
        <w:t xml:space="preserve"> </w:t>
      </w:r>
      <w:r>
        <w:t xml:space="preserve">S3 in the online supplement reports the</w:t>
      </w:r>
      <w:r>
        <w:t xml:space="preserve"> </w:t>
      </w:r>
      <w:r>
        <w:t xml:space="preserve">coefficient-stability calculation in full. The reweighted,</w:t>
      </w:r>
      <w:r>
        <w:t xml:space="preserve"> </w:t>
      </w:r>
      <w:r>
        <w:t xml:space="preserve">regression-adjusted coefficient is 233.0 minutes (SE 5.5) (without</w:t>
      </w:r>
      <w:r>
        <w:t xml:space="preserve"> </w:t>
      </w:r>
      <w:r>
        <w:t xml:space="preserve">controls, 248.7 minutes (SE 5.8)). Reweighting concentrates weight on</w:t>
      </w:r>
      <w:r>
        <w:t xml:space="preserve"> </w:t>
      </w:r>
      <w:r>
        <w:t xml:space="preserve">the never-married women who most resemble the married, so the effective</w:t>
      </w:r>
      <w:r>
        <w:t xml:space="preserve"> </w:t>
      </w:r>
      <w:r>
        <w:t xml:space="preserve">sample of never-married women falls from 13,940 to about 1,209, and</w:t>
      </w:r>
      <w:r>
        <w:t xml:space="preserve"> </w:t>
      </w:r>
      <w:r>
        <w:t xml:space="preserve">2.0% of the weighted never-married have propensities above the cap. The</w:t>
      </w:r>
      <w:r>
        <w:t xml:space="preserve"> </w:t>
      </w:r>
      <w:r>
        <w:t xml:space="preserve">bias-adjusted coefficient on unpaid work is 264.3 minutes. Selection on</w:t>
      </w:r>
      <w:r>
        <w:t xml:space="preserve"> </w:t>
      </w:r>
      <w:r>
        <w:t xml:space="preserve">unobservables would have to be 18.1 times as strong as selection on</w:t>
      </w:r>
      <w:r>
        <w:t xml:space="preserve"> </w:t>
      </w:r>
      <w:r>
        <w:t xml:space="preserve">observables to explain away the unpaid-work difference.</w:t>
      </w:r>
    </w:p>
    <w:p>
      <w:pPr>
        <w:pStyle w:val="BodyText"/>
      </w:pPr>
      <w:r>
        <w:t xml:space="preserve">Figure S3 shows the unpaid-work gap by age band.</w:t>
      </w:r>
      <w:r>
        <w:t xml:space="preserve"> </w:t>
      </w:r>
      <w:r>
        <w:t xml:space="preserve">Among women, the coefficient is 256.10 minutes (SE 3.97) at ages 20 to</w:t>
      </w:r>
      <w:r>
        <w:t xml:space="preserve"> </w:t>
      </w:r>
      <w:r>
        <w:t xml:space="preserve">22, where 53% are never married, and 214.7 minutes (SE 10.8) at ages 35</w:t>
      </w:r>
      <w:r>
        <w:t xml:space="preserve"> </w:t>
      </w:r>
      <w:r>
        <w:t xml:space="preserve">to 39, where 2% are. The gap does not grow significantly as the</w:t>
      </w:r>
      <w:r>
        <w:t xml:space="preserve"> </w:t>
      </w:r>
      <w:r>
        <w:t xml:space="preserve">never-married become rarer, which is not what strong positive selection</w:t>
      </w:r>
      <w:r>
        <w:t xml:space="preserve"> </w:t>
      </w:r>
      <w:r>
        <w:t xml:space="preserve">of the never-married on unpaid-work preferences would produce.</w:t>
      </w:r>
      <w:r>
        <w:t xml:space="preserve"> </w:t>
      </w:r>
      <w:r>
        <w:t xml:space="preserve">Comparisons at older ages also mix the association with marriage and the</w:t>
      </w:r>
      <w:r>
        <w:t xml:space="preserve"> </w:t>
      </w:r>
      <w:r>
        <w:t xml:space="preserve">accumulation of children, which the survey links to mothers only partly.</w:t>
      </w:r>
    </w:p>
    <w:bookmarkEnd w:id="27"/>
    <w:bookmarkStart w:id="29" w:name="within-married-couples"/>
    <w:p>
      <w:pPr>
        <w:pStyle w:val="Heading2"/>
      </w:pPr>
      <w:r>
        <w:t xml:space="preserve">Within married couples</w:t>
      </w:r>
    </w:p>
    <w:bookmarkStart w:id="28" w:name="tab:couple"/>
    <w:p>
      <w:pPr>
        <w:pStyle w:val="TableCaption"/>
      </w:pPr>
      <w:r>
        <w:t xml:space="preserve">Within-couple gaps, linked couples with wives aged 20–59</w:t>
      </w:r>
    </w:p>
    <w:tbl>
      <w:tblPr>
        <w:tblStyle w:val="Table"/>
        <w:tblLook w:firstRow="1" w:lastRow="0" w:firstColumn="0" w:lastColumn="0" w:noHBand="0" w:noVBand="0" w:val="0020"/>
        <w:tblCaption w:val="Within-couple gaps, linked couples with wives aged 20–59"/>
        <w:tblW w:type="pct" w:w="5000"/>
        <w:tblLayout w:type="autofit"/>
      </w:tblPr>
      <w:tblGrid>
        <w:gridCol/>
        <w:gridCol/>
        <w:gridCol/>
        <w:gridCol/>
        <w:gridCol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Unpaid gap (W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H)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Wife’s unpaid share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Employment gap (H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W)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All linked couples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366.9 (1.1)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91% (0.1)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336.4 (1.5)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106,424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Wife’s employment</w:t>
            </w: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Wife not employed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408.1 (1.1)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91% (0.1)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411.4 (1.5)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77,619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Wife employed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257.9 (1.4)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90% (0.1)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138.3 (2.0)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28,805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Relative education</w:t>
            </w: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Husband more educated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367.3 (1.4)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91% (0.1)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337.1 (2.1)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32,345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Same education tier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362.7 (1.2)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91% (0.1)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331.4 (1.7)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59,896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Wife more educated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383.0 (1.8)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91% (0.1)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355.1 (2.9)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14,183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Residence</w:t>
            </w: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Head couple, no parent generation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356.5 (1.1)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91% (0.1)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328.1 (1.6)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80,850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Head couple, parent generation present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376.3 (2.3)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92% (0.2)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328.1 (3.3)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8,177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Wife is daughter-in-law of head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414.4 (1.9)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92% (0.1)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382.3 (2.4)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16,965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Spousal age gap</w:t>
            </w: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  <w:tc>
          <w:tcPr/>
          <w:p>
            <w:pPr>
              <w:pStyle w:val="Compact"/>
              <w:spacing w:line="240" w:lineRule="auto" w:after="0" w:before="0"/>
            </w:pP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Husband same age or younger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369.7 (3.9)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91% (0.3)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351.2 (6.4)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3,189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Husband older by 1-3 years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375.8 (1.5)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91% (0.1)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348.3 (2.0)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42,460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Husband older by 4-6 years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364.3 (1.4)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91% (0.1)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339.2 (2.0)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38,268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Husband older by 7-9 years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359.0 (1.9)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91% (0.1)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318.7 (2.8)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13,651</w:t>
            </w:r>
          </w:p>
        </w:tc>
      </w:tr>
      <w:tr>
        <w:tc>
          <w:tcPr/>
          <w:p>
            <w:pPr>
              <w:pStyle w:val="Compact"/>
              <w:spacing w:line="240" w:lineRule="auto" w:after="0" w:before="0"/>
              <w:jc w:val="left"/>
            </w:pPr>
            <w:r>
              <w:t xml:space="preserve">Husband older by 10+ years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345.6 (2.2)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90% (0.2)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288.1 (3.6)</w:t>
            </w:r>
          </w:p>
        </w:tc>
        <w:tc>
          <w:tcPr/>
          <w:p>
            <w:pPr>
              <w:pStyle w:val="Compact"/>
              <w:spacing w:line="240" w:lineRule="auto" w:after="0" w:before="0"/>
              <w:jc w:val="right"/>
            </w:pPr>
            <w:r>
              <w:t xml:space="preserve">8,856</w:t>
            </w:r>
          </w:p>
        </w:tc>
      </w:tr>
    </w:tbl>
    <w:bookmarkEnd w:id="28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Spouses linked through the household roster (head and spouse of head; married child of head and child’s spouse where each is unique). Weighted by the wife’s multiplier. FSU-clustered SEs in parentheses (share SE in percentage points).</w:t>
      </w:r>
    </w:p>
    <w:p>
      <w:pPr>
        <w:pStyle w:val="BodyText"/>
      </w:pPr>
      <w:r>
        <w:t xml:space="preserve">Within couples, the household and the diary day are held constant. Table</w:t>
      </w:r>
      <w:r>
        <w:t xml:space="preserve"> </w:t>
      </w:r>
      <w:hyperlink w:anchor="tab:couple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shows that wives do 366.9 minutes (SE 1.1) more unpaid</w:t>
      </w:r>
      <w:r>
        <w:t xml:space="preserve"> </w:t>
      </w:r>
      <w:r>
        <w:t xml:space="preserve">work than their husbands and account for 91% of the couple’s unpaid</w:t>
      </w:r>
      <w:r>
        <w:t xml:space="preserve"> </w:t>
      </w:r>
      <w:r>
        <w:t xml:space="preserve">minutes; husbands do 336.4 minutes (SE 1.5) more employment, and have</w:t>
      </w:r>
      <w:r>
        <w:t xml:space="preserve"> </w:t>
      </w:r>
      <w:r>
        <w:t xml:space="preserve">12.9 minutes (SE 0.9) more free time than their wives.</w:t>
      </w:r>
    </w:p>
    <w:p>
      <w:pPr>
        <w:pStyle w:val="BodyText"/>
      </w:pPr>
      <w:r>
        <w:t xml:space="preserve">The wife–husband gap in unpaid work is 258 minutes when the wife is</w:t>
      </w:r>
      <w:r>
        <w:t xml:space="preserve"> </w:t>
      </w:r>
      <w:r>
        <w:t xml:space="preserve">employed and 408 minutes when she is not, a difference of -150.2 minutes</w:t>
      </w:r>
      <w:r>
        <w:t xml:space="preserve"> </w:t>
      </w:r>
      <w:r>
        <w:t xml:space="preserve">(SE 1.6). The gap in couples where the wife has more education than her</w:t>
      </w:r>
      <w:r>
        <w:t xml:space="preserve"> </w:t>
      </w:r>
      <w:r>
        <w:t xml:space="preserve">husband differs from the gap in couples where the husband has more</w:t>
      </w:r>
      <w:r>
        <w:t xml:space="preserve"> </w:t>
      </w:r>
      <w:r>
        <w:t xml:space="preserve">education by 15.7 minutes (SE 2.1). The gap is smaller when the wife is</w:t>
      </w:r>
      <w:r>
        <w:t xml:space="preserve"> </w:t>
      </w:r>
      <w:r>
        <w:t xml:space="preserve">employed but not when she is more educated, so the evidence for H4 is</w:t>
      </w:r>
      <w:r>
        <w:t xml:space="preserve"> </w:t>
      </w:r>
      <w:r>
        <w:t xml:space="preserve">mixed. Even in couples where the wife is employed, the gap remains more</w:t>
      </w:r>
      <w:r>
        <w:t xml:space="preserve"> </w:t>
      </w:r>
      <w:r>
        <w:t xml:space="preserve">than half its average size. These comparisons are descriptive.</w:t>
      </w:r>
      <w:r>
        <w:t xml:space="preserve"> </w:t>
      </w:r>
      <w:r>
        <w:t xml:space="preserve">Employment is chosen jointly with the division of housework, and</w:t>
      </w:r>
      <w:r>
        <w:t xml:space="preserve"> </w:t>
      </w:r>
      <w:r>
        <w:t xml:space="preserve">employed wives also differ in age, education and household type.</w:t>
      </w:r>
    </w:p>
    <w:p>
      <w:pPr>
        <w:pStyle w:val="BodyText"/>
      </w:pPr>
      <w:r>
        <w:t xml:space="preserve">In households where the wife is the daughter-in-law of the head, the</w:t>
      </w:r>
      <w:r>
        <w:t xml:space="preserve"> </w:t>
      </w:r>
      <w:r>
        <w:t xml:space="preserve">wife–husband gap differs from that in households without a parent</w:t>
      </w:r>
      <w:r>
        <w:t xml:space="preserve"> </w:t>
      </w:r>
      <w:r>
        <w:t xml:space="preserve">generation by 58.0 minutes (SE 1.9) unadjusted and 11.8 minutes (SE 1.9)</w:t>
      </w:r>
      <w:r>
        <w:t xml:space="preserve"> </w:t>
      </w:r>
      <w:r>
        <w:t xml:space="preserve">after adjustment. The median husband in linked couples is 4 years older</w:t>
      </w:r>
      <w:r>
        <w:t xml:space="preserve"> </w:t>
      </w:r>
      <w:r>
        <w:t xml:space="preserve">than his wife. Figure S4 plots the unpaid-work gap by</w:t>
      </w:r>
      <w:r>
        <w:t xml:space="preserve"> </w:t>
      </w:r>
      <w:r>
        <w:t xml:space="preserve">the spousal age gap. Net of the wife’s age, both spouses’ education and</w:t>
      </w:r>
      <w:r>
        <w:t xml:space="preserve"> </w:t>
      </w:r>
      <w:r>
        <w:t xml:space="preserve">location, each additional year by which the husband is older is</w:t>
      </w:r>
      <w:r>
        <w:t xml:space="preserve"> </w:t>
      </w:r>
      <w:r>
        <w:t xml:space="preserve">associated with a gap that is 0.92 minutes (SE 0.22) larger, and with a</w:t>
      </w:r>
      <w:r>
        <w:t xml:space="preserve"> </w:t>
      </w:r>
      <w:r>
        <w:t xml:space="preserve">wife’s share that is 0.04 percentage points (SE 0.02) lower per year.</w:t>
      </w:r>
      <w:r>
        <w:t xml:space="preserve"> </w:t>
      </w:r>
      <w:r>
        <w:t xml:space="preserve">Unadjusted, the gap is 370 minutes where the husband is the same age or</w:t>
      </w:r>
      <w:r>
        <w:t xml:space="preserve"> </w:t>
      </w:r>
      <w:r>
        <w:t xml:space="preserve">younger and 346 where he is ten or more years older (Table</w:t>
      </w:r>
      <w:r>
        <w:t xml:space="preserve"> </w:t>
      </w:r>
      <w:hyperlink w:anchor="tab:couple">
        <w:r>
          <w:rPr>
            <w:rStyle w:val="Hyperlink"/>
          </w:rPr>
          <w:t xml:space="preserve">4</w:t>
        </w:r>
      </w:hyperlink>
      <w:r>
        <w:t xml:space="preserve">), so in raw terms the division is less unequal when the</w:t>
      </w:r>
      <w:r>
        <w:t xml:space="preserve"> </w:t>
      </w:r>
      <w:r>
        <w:t xml:space="preserve">husband is much older; large age gaps are concentrated among older</w:t>
      </w:r>
      <w:r>
        <w:t xml:space="preserve"> </w:t>
      </w:r>
      <w:r>
        <w:t xml:space="preserve">wives, whose unpaid work is lower. Net of the wife’s age, the minute gap</w:t>
      </w:r>
      <w:r>
        <w:t xml:space="preserve"> </w:t>
      </w:r>
      <w:r>
        <w:t xml:space="preserve">is larger but the wife’s share is smaller, so the evidence on the</w:t>
      </w:r>
      <w:r>
        <w:t xml:space="preserve"> </w:t>
      </w:r>
      <w:r>
        <w:t xml:space="preserve">seniority interpretation of H4 is mixed. Because larger age gaps are</w:t>
      </w:r>
      <w:r>
        <w:t xml:space="preserve"> </w:t>
      </w:r>
      <w:r>
        <w:t xml:space="preserve">more common when women marry young, the age gap also stands in for the</w:t>
      </w:r>
      <w:r>
        <w:t xml:space="preserve"> </w:t>
      </w:r>
      <w:r>
        <w:t xml:space="preserve">wife’s age at marriage and its correlates</w:t>
      </w:r>
      <w:r>
        <w:t xml:space="preserve"> </w:t>
      </w:r>
      <w:r>
        <w:t xml:space="preserve">(Desai &amp; Andrist, 2010;</w:t>
      </w:r>
      <w:r>
        <w:t xml:space="preserve"> </w:t>
      </w:r>
      <w:r>
        <w:t xml:space="preserve">Field &amp; Ambrus, 2008).</w:t>
      </w:r>
    </w:p>
    <w:bookmarkEnd w:id="29"/>
    <w:bookmarkStart w:id="30" w:name="widowhood-at-older-ages"/>
    <w:p>
      <w:pPr>
        <w:pStyle w:val="Heading2"/>
      </w:pPr>
      <w:r>
        <w:t xml:space="preserve">Widowhood at older ages</w:t>
      </w:r>
    </w:p>
    <w:p>
      <w:pPr>
        <w:pStyle w:val="FirstParagraph"/>
      </w:pPr>
      <w:r>
        <w:t xml:space="preserve">Table S4 applies the same accounting to the end of</w:t>
      </w:r>
      <w:r>
        <w:t xml:space="preserve"> </w:t>
      </w:r>
      <w:r>
        <w:t xml:space="preserve">marriage. Widowed women do 73.0 minutes (SE 1.7) less unpaid work than</w:t>
      </w:r>
      <w:r>
        <w:t xml:space="preserve"> </w:t>
      </w:r>
      <w:r>
        <w:t xml:space="preserve">married women of the same age, and widowed men 43.9 minutes (SE 1.7)</w:t>
      </w:r>
      <w:r>
        <w:t xml:space="preserve"> </w:t>
      </w:r>
      <w:r>
        <w:t xml:space="preserve">more than married men. This comparison is also selective, since</w:t>
      </w:r>
      <w:r>
        <w:t xml:space="preserve"> </w:t>
      </w:r>
      <w:r>
        <w:t xml:space="preserve">widowhood is related to the spouse’s health, to poverty and to the age</w:t>
      </w:r>
      <w:r>
        <w:t xml:space="preserve"> </w:t>
      </w:r>
      <w:r>
        <w:t xml:space="preserve">gap between spouses, and many widowed Indians live with adult children.</w:t>
      </w:r>
      <w:r>
        <w:t xml:space="preserve"> </w:t>
      </w:r>
      <w:r>
        <w:t xml:space="preserve">It shows which activities differ when a spouse is no longer present, not</w:t>
      </w:r>
      <w:r>
        <w:t xml:space="preserve"> </w:t>
      </w:r>
      <w:r>
        <w:t xml:space="preserve">what widowhood causes.</w:t>
      </w:r>
    </w:p>
    <w:bookmarkEnd w:id="30"/>
    <w:bookmarkStart w:id="31" w:name="robustness"/>
    <w:p>
      <w:pPr>
        <w:pStyle w:val="Heading2"/>
      </w:pPr>
      <w:r>
        <w:t xml:space="preserve">Robustness</w:t>
      </w:r>
    </w:p>
    <w:p>
      <w:pPr>
        <w:pStyle w:val="FirstParagraph"/>
      </w:pPr>
      <w:r>
        <w:t xml:space="preserve">Table S5 re-estimates the unpaid-work coefficient for</w:t>
      </w:r>
      <w:r>
        <w:t xml:space="preserve"> </w:t>
      </w:r>
      <w:r>
        <w:t xml:space="preserve">women and men under alternative samples and controls. Across</w:t>
      </w:r>
      <w:r>
        <w:t xml:space="preserve"> </w:t>
      </w:r>
      <w:r>
        <w:t xml:space="preserve">specifications, the coefficient for women ranges from 256.1 to 297.2</w:t>
      </w:r>
      <w:r>
        <w:t xml:space="preserve"> </w:t>
      </w:r>
      <w:r>
        <w:t xml:space="preserve">minutes. The lowest, for ages 30 to 39 (256.14, SE 6.24), coincides at</w:t>
      </w:r>
      <w:r>
        <w:t xml:space="preserve"> </w:t>
      </w:r>
      <w:r>
        <w:t xml:space="preserve">one decimal with the age 20 to 22 band coefficient (256.10, SE 3.97);</w:t>
      </w:r>
      <w:r>
        <w:t xml:space="preserve"> </w:t>
      </w:r>
      <w:r>
        <w:t xml:space="preserve">the two are separate estimates on different samples. It is positive and</w:t>
      </w:r>
      <w:r>
        <w:t xml:space="preserve"> </w:t>
      </w:r>
      <w:r>
        <w:t xml:space="preserve">statistically significant in every specification. Excluding current</w:t>
      </w:r>
      <w:r>
        <w:t xml:space="preserve"> </w:t>
      </w:r>
      <w:r>
        <w:t xml:space="preserve">students removes the group whose time is most mechanically devoted to</w:t>
      </w:r>
      <w:r>
        <w:t xml:space="preserve"> </w:t>
      </w:r>
      <w:r>
        <w:t xml:space="preserve">learning, but student status is itself affected by marriage, so this row</w:t>
      </w:r>
      <w:r>
        <w:t xml:space="preserve"> </w:t>
      </w:r>
      <w:r>
        <w:t xml:space="preserve">is a bound rather than a preferred estimate. Adding household size,</w:t>
      </w:r>
      <w:r>
        <w:t xml:space="preserve"> </w:t>
      </w:r>
      <w:r>
        <w:t xml:space="preserve">older members and consumption changes the coefficient for women from</w:t>
      </w:r>
      <w:r>
        <w:t xml:space="preserve"> </w:t>
      </w:r>
      <w:r>
        <w:t xml:space="preserve">279.7 to 277.0 minutes, consistent with part of the association running</w:t>
      </w:r>
      <w:r>
        <w:t xml:space="preserve"> </w:t>
      </w:r>
      <w:r>
        <w:t xml:space="preserve">through the household a woman joins at marriage.</w:t>
      </w:r>
    </w:p>
    <w:bookmarkEnd w:id="31"/>
    <w:bookmarkEnd w:id="32"/>
    <w:bookmarkStart w:id="35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Because the day is fixed, more unpaid work must coincide with less of</w:t>
      </w:r>
      <w:r>
        <w:t xml:space="preserve"> </w:t>
      </w:r>
      <w:r>
        <w:t xml:space="preserve">something else. This paper replaces separate estimates of marriage</w:t>
      </w:r>
      <w:r>
        <w:t xml:space="preserve"> </w:t>
      </w:r>
      <w:r>
        <w:t xml:space="preserve">“penalties”</w:t>
      </w:r>
      <w:r>
        <w:t xml:space="preserve"> </w:t>
      </w:r>
      <w:r>
        <w:t xml:space="preserve">in housework, sleep, social life and exercise with one</w:t>
      </w:r>
      <w:r>
        <w:t xml:space="preserve"> </w:t>
      </w:r>
      <w:r>
        <w:t xml:space="preserve">decomposition in which the parts must add up. In India in 2024, married</w:t>
      </w:r>
      <w:r>
        <w:t xml:space="preserve"> </w:t>
      </w:r>
      <w:r>
        <w:t xml:space="preserve">women aged 20 to 39 do substantially more unpaid domestic and care work</w:t>
      </w:r>
      <w:r>
        <w:t xml:space="preserve"> </w:t>
      </w:r>
      <w:r>
        <w:t xml:space="preserve">than never-married women, and the difference is far larger for women</w:t>
      </w:r>
      <w:r>
        <w:t xml:space="preserve"> </w:t>
      </w:r>
      <w:r>
        <w:t xml:space="preserve">than for men. The offsetting differences are mostly in paid work and</w:t>
      </w:r>
      <w:r>
        <w:t xml:space="preserve"> </w:t>
      </w:r>
      <w:r>
        <w:t xml:space="preserve">learning, which fits the specialization account, but specialization in</w:t>
      </w:r>
      <w:r>
        <w:t xml:space="preserve"> </w:t>
      </w:r>
      <w:r>
        <w:t xml:space="preserve">India happens against a background of low and falling married women’s</w:t>
      </w:r>
      <w:r>
        <w:t xml:space="preserve"> </w:t>
      </w:r>
      <w:r>
        <w:t xml:space="preserve">employment and strong norms about women’s work outside the home, so it</w:t>
      </w:r>
      <w:r>
        <w:t xml:space="preserve"> </w:t>
      </w:r>
      <w:r>
        <w:t xml:space="preserve">is not necessarily a choice made within the couple.</w:t>
      </w:r>
    </w:p>
    <w:p>
      <w:pPr>
        <w:pStyle w:val="BodyText"/>
      </w:pPr>
      <w:r>
        <w:t xml:space="preserve">The findings speak to three debates. First, single-outcome studies can</w:t>
      </w:r>
      <w:r>
        <w:t xml:space="preserve"> </w:t>
      </w:r>
      <w:r>
        <w:t xml:space="preserve">find a sleep or leisure penalty without showing whether it is the</w:t>
      </w:r>
      <w:r>
        <w:t xml:space="preserve"> </w:t>
      </w:r>
      <w:r>
        <w:t xml:space="preserve">largest adjustment; the decomposition makes the trade-offs explicit for</w:t>
      </w:r>
      <w:r>
        <w:t xml:space="preserve"> </w:t>
      </w:r>
      <w:r>
        <w:t xml:space="preserve">women and men. Second, on patrilocality, daughters-in-law do not differ</w:t>
      </w:r>
      <w:r>
        <w:t xml:space="preserve"> </w:t>
      </w:r>
      <w:r>
        <w:t xml:space="preserve">detectably from other wives in unpaid minutes</w:t>
      </w:r>
      <w:r>
        <w:t xml:space="preserve"> </w:t>
      </w:r>
      <w:r>
        <w:t xml:space="preserve">(Anukriti et al., 2020;</w:t>
      </w:r>
      <w:r>
        <w:t xml:space="preserve"> </w:t>
      </w:r>
      <w:r>
        <w:t xml:space="preserve">Khalil &amp; Mookerjee, 2019). Third,</w:t>
      </w:r>
      <w:r>
        <w:t xml:space="preserve"> </w:t>
      </w:r>
      <w:r>
        <w:t xml:space="preserve">on resources within couples, the gap is smaller where the wife is</w:t>
      </w:r>
      <w:r>
        <w:t xml:space="preserve"> </w:t>
      </w:r>
      <w:r>
        <w:t xml:space="preserve">employed, as bargaining theories predict, but it remains large in every</w:t>
      </w:r>
      <w:r>
        <w:t xml:space="preserve"> </w:t>
      </w:r>
      <w:r>
        <w:t xml:space="preserve">group in Table</w:t>
      </w:r>
      <w:r>
        <w:t xml:space="preserve"> </w:t>
      </w:r>
      <w:hyperlink w:anchor="tab:couple">
        <w:r>
          <w:rPr>
            <w:rStyle w:val="Hyperlink"/>
          </w:rPr>
          <w:t xml:space="preserve">4</w:t>
        </w:r>
      </w:hyperlink>
      <w:r>
        <w:t xml:space="preserve">, consistent with gender operating</w:t>
      </w:r>
      <w:r>
        <w:t xml:space="preserve"> </w:t>
      </w:r>
      <w:r>
        <w:t xml:space="preserve">through institutions and interaction as well as individual resources</w:t>
      </w:r>
      <w:r>
        <w:t xml:space="preserve"> </w:t>
      </w:r>
      <w:r>
        <w:t xml:space="preserve">(Ridgeway &amp; Correll, 2004;</w:t>
      </w:r>
      <w:r>
        <w:t xml:space="preserve"> </w:t>
      </w:r>
      <w:r>
        <w:t xml:space="preserve">Risman, 2004).</w:t>
      </w:r>
    </w:p>
    <w:bookmarkStart w:id="33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main limitation is the comparison group. Married and never-married</w:t>
      </w:r>
      <w:r>
        <w:t xml:space="preserve"> </w:t>
      </w:r>
      <w:r>
        <w:t xml:space="preserve">women differ in ways that age, education and location do not capture,</w:t>
      </w:r>
      <w:r>
        <w:t xml:space="preserve"> </w:t>
      </w:r>
      <w:r>
        <w:t xml:space="preserve">and the survey does not record when a marriage began. The four selection</w:t>
      </w:r>
      <w:r>
        <w:t xml:space="preserve"> </w:t>
      </w:r>
      <w:r>
        <w:t xml:space="preserve">checks narrow the range of plausible interpretations but do not identify</w:t>
      </w:r>
      <w:r>
        <w:t xml:space="preserve"> </w:t>
      </w:r>
      <w:r>
        <w:t xml:space="preserve">the causal effect of marriage. The estimates are best read as the</w:t>
      </w:r>
      <w:r>
        <w:t xml:space="preserve"> </w:t>
      </w:r>
      <w:r>
        <w:t xml:space="preserve">time-use profile that accompanies marriage in contemporary India, with</w:t>
      </w:r>
      <w:r>
        <w:t xml:space="preserve"> </w:t>
      </w:r>
      <w:r>
        <w:t xml:space="preserve">the restricted-age and reweighted estimates as the most credible</w:t>
      </w:r>
      <w:r>
        <w:t xml:space="preserve"> </w:t>
      </w:r>
      <w:r>
        <w:t xml:space="preserve">magnitudes. Second, the couple analysis covers only spouses whom the</w:t>
      </w:r>
      <w:r>
        <w:t xml:space="preserve"> </w:t>
      </w:r>
      <w:r>
        <w:t xml:space="preserve">roster can link without ambiguity. Joint households with several married</w:t>
      </w:r>
      <w:r>
        <w:t xml:space="preserve"> </w:t>
      </w:r>
      <w:r>
        <w:t xml:space="preserve">sons are excluded, and these are probably the households in which</w:t>
      </w:r>
      <w:r>
        <w:t xml:space="preserve"> </w:t>
      </w:r>
      <w:r>
        <w:t xml:space="preserve">hierarchy among daughters-in-law matters most. Third, the residence</w:t>
      </w:r>
      <w:r>
        <w:t xml:space="preserve"> </w:t>
      </w:r>
      <w:r>
        <w:t xml:space="preserve">categories describe relationships to the household head, not to the</w:t>
      </w:r>
      <w:r>
        <w:t xml:space="preserve"> </w:t>
      </w:r>
      <w:r>
        <w:t xml:space="preserve">woman’s own parents-in-law, and the</w:t>
      </w:r>
      <w:r>
        <w:t xml:space="preserve"> </w:t>
      </w:r>
      <w:r>
        <w:t xml:space="preserve">“parent generation present”</w:t>
      </w:r>
      <w:r>
        <w:t xml:space="preserve"> </w:t>
      </w:r>
      <w:r>
        <w:t xml:space="preserve">category mixes the husband’s and the wife’s parents. Fourth, a single</w:t>
      </w:r>
      <w:r>
        <w:t xml:space="preserve"> </w:t>
      </w:r>
      <w:r>
        <w:t xml:space="preserve">diary day per person measures daily time use with error. This adds noise</w:t>
      </w:r>
      <w:r>
        <w:t xml:space="preserve"> </w:t>
      </w:r>
      <w:r>
        <w:t xml:space="preserve">but should not bias the comparisons of means, except where the diary day</w:t>
      </w:r>
      <w:r>
        <w:t xml:space="preserve"> </w:t>
      </w:r>
      <w:r>
        <w:t xml:space="preserve">differs systematically by marital status; the day-of-week effects and</w:t>
      </w:r>
      <w:r>
        <w:t xml:space="preserve"> </w:t>
      </w:r>
      <w:r>
        <w:t xml:space="preserve">the normal-day check address the most obvious source. Fifth, parenthood</w:t>
      </w:r>
      <w:r>
        <w:t xml:space="preserve"> </w:t>
      </w:r>
      <w:r>
        <w:t xml:space="preserve">is a principal channel through which marriage changes time use</w:t>
      </w:r>
      <w:r>
        <w:t xml:space="preserve"> </w:t>
      </w:r>
      <w:r>
        <w:t xml:space="preserve">(Baxter et al., 2008;</w:t>
      </w:r>
      <w:r>
        <w:t xml:space="preserve"> </w:t>
      </w:r>
      <w:r>
        <w:t xml:space="preserve">Sanchez &amp; Thomson, 1997). The check</w:t>
      </w:r>
      <w:r>
        <w:t xml:space="preserve"> </w:t>
      </w:r>
      <w:r>
        <w:t xml:space="preserve">on women without a child under six separates part of it, but older</w:t>
      </w:r>
      <w:r>
        <w:t xml:space="preserve"> </w:t>
      </w:r>
      <w:r>
        <w:t xml:space="preserve">children remain; panel data on the timing of marriage and births would</w:t>
      </w:r>
      <w:r>
        <w:t xml:space="preserve"> </w:t>
      </w:r>
      <w:r>
        <w:t xml:space="preserve">allow an event-study design in the style of Kleven et al.</w:t>
      </w:r>
      <w:r>
        <w:t xml:space="preserve"> </w:t>
      </w:r>
      <w:r>
        <w:t xml:space="preserve">(2019).</w:t>
      </w:r>
    </w:p>
    <w:bookmarkEnd w:id="33"/>
    <w:bookmarkStart w:id="3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Married and never-married Indian women spend the day very differently.</w:t>
      </w:r>
      <w:r>
        <w:t xml:space="preserve"> </w:t>
      </w:r>
      <w:r>
        <w:t xml:space="preserve">Married women do far more unpaid domestic and care work, a difference</w:t>
      </w:r>
      <w:r>
        <w:t xml:space="preserve"> </w:t>
      </w:r>
      <w:r>
        <w:t xml:space="preserve">with no counterpart among men. A time-budget decomposition shows which</w:t>
      </w:r>
      <w:r>
        <w:t xml:space="preserve"> </w:t>
      </w:r>
      <w:r>
        <w:t xml:space="preserve">activities differ alongside that work, and the household roster shows</w:t>
      </w:r>
      <w:r>
        <w:t xml:space="preserve"> </w:t>
      </w:r>
      <w:r>
        <w:t xml:space="preserve">how the change depends on whether a young wife joins her husband’s</w:t>
      </w:r>
      <w:r>
        <w:t xml:space="preserve"> </w:t>
      </w:r>
      <w:r>
        <w:t xml:space="preserve">parents’ household and on her standing relative to her husband. Policies</w:t>
      </w:r>
      <w:r>
        <w:t xml:space="preserve"> </w:t>
      </w:r>
      <w:r>
        <w:t xml:space="preserve">that aim to raise married women’s employment, such as childcare, safe</w:t>
      </w:r>
      <w:r>
        <w:t xml:space="preserve"> </w:t>
      </w:r>
      <w:r>
        <w:t xml:space="preserve">transport or flexible work, operate within this budget. They are more</w:t>
      </w:r>
      <w:r>
        <w:t xml:space="preserve"> </w:t>
      </w:r>
      <w:r>
        <w:t xml:space="preserve">likely to succeed if they also reduce the unpaid domestic and care work</w:t>
      </w:r>
      <w:r>
        <w:t xml:space="preserve"> </w:t>
      </w:r>
      <w:r>
        <w:t xml:space="preserve">that accompanies marriage and motherhood, since that work competes with</w:t>
      </w:r>
      <w:r>
        <w:t xml:space="preserve"> </w:t>
      </w:r>
      <w:r>
        <w:t xml:space="preserve">women’s paid work, learning, leisure or sleep.</w:t>
      </w:r>
    </w:p>
    <w:bookmarkEnd w:id="34"/>
    <w:bookmarkEnd w:id="35"/>
    <w:bookmarkStart w:id="36" w:name="declaration-of-generative-ai-use"/>
    <w:p>
      <w:pPr>
        <w:pStyle w:val="Heading1"/>
      </w:pPr>
      <w:r>
        <w:t xml:space="preserve">Declaration of generative AI</w:t>
      </w:r>
      <w:r>
        <w:t xml:space="preserve"> </w:t>
      </w:r>
      <w:r>
        <w:t xml:space="preserve">use</w:t>
      </w:r>
    </w:p>
    <w:p>
      <w:pPr>
        <w:pStyle w:val="FirstParagraph"/>
      </w:pPr>
      <w:r>
        <w:t xml:space="preserve">Generative AI tools (Claude, Anthropic) were used to assist with writing</w:t>
      </w:r>
      <w:r>
        <w:t xml:space="preserve"> </w:t>
      </w:r>
      <w:r>
        <w:t xml:space="preserve">and debugging analysis code, checking references, and drafting and</w:t>
      </w:r>
      <w:r>
        <w:t xml:space="preserve"> </w:t>
      </w:r>
      <w:r>
        <w:t xml:space="preserve">editing text. The author reviewed and verified all analyses, results,</w:t>
      </w:r>
      <w:r>
        <w:t xml:space="preserve"> </w:t>
      </w:r>
      <w:r>
        <w:t xml:space="preserve">and text, and takes full responsibility for the content.</w:t>
      </w:r>
    </w:p>
    <w:bookmarkEnd w:id="36"/>
    <w:bookmarkStart w:id="37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Time Use Survey 2024 unit-level data are distributed by the National</w:t>
      </w:r>
      <w:r>
        <w:t xml:space="preserve"> </w:t>
      </w:r>
      <w:r>
        <w:t xml:space="preserve">Statistics Office, Ministry of Statistics and Programme Implementation,</w:t>
      </w:r>
      <w:r>
        <w:t xml:space="preserve"> </w:t>
      </w:r>
      <w:r>
        <w:t xml:space="preserve">Government of India (microdata.gov.in, catalog 236), to registered</w:t>
      </w:r>
      <w:r>
        <w:t xml:space="preserve"> </w:t>
      </w:r>
      <w:r>
        <w:t xml:space="preserve">users. Code available from the author on request; will be made public on</w:t>
      </w:r>
      <w:r>
        <w:t xml:space="preserve"> </w:t>
      </w:r>
      <w:r>
        <w:t xml:space="preserve">acceptance.</w:t>
      </w:r>
    </w:p>
    <w:bookmarkEnd w:id="37"/>
    <w:bookmarkStart w:id="97" w:name="references"/>
    <w:p>
      <w:pPr>
        <w:pStyle w:val="Heading1"/>
      </w:pPr>
      <w:r>
        <w:t xml:space="preserve">References</w:t>
      </w:r>
    </w:p>
    <w:p>
      <w:pPr>
        <w:pStyle w:val="FirstParagraph"/>
      </w:pPr>
      <w:bookmarkStart w:id="38" w:name="refs"/>
      <w:bookmarkEnd w:id="38"/>
    </w:p>
    <w:p>
      <w:pPr>
        <w:pStyle w:val="BodyText"/>
      </w:pPr>
      <w:r>
        <w:t xml:space="preserve"> </w:t>
      </w:r>
      <w:r>
        <w:t xml:space="preserve"> </w:t>
      </w:r>
      <w:r>
        <w:t xml:space="preserve">Abadie, A., Athey, S., Imbens, G. W., &amp; Wooldridge, J. M. (2023). When</w:t>
      </w:r>
      <w:r>
        <w:t xml:space="preserve"> </w:t>
      </w:r>
      <w:r>
        <w:t xml:space="preserve">should you adjust standard errors for clustering?</w:t>
      </w:r>
      <w:r>
        <w:t xml:space="preserve"> </w:t>
      </w:r>
      <w:r>
        <w:rPr>
          <w:i/>
          <w:iCs/>
        </w:rPr>
        <w:t xml:space="preserve">Quarterly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138</w:t>
      </w:r>
      <w:r>
        <w:t xml:space="preserve">(1), 1–35.</w:t>
      </w:r>
    </w:p>
    <w:p>
      <w:pPr>
        <w:pStyle w:val="BodyText"/>
      </w:pPr>
      <w:r>
        <w:t xml:space="preserve">Afridi, F., Dinkelman, T., &amp; Mahajan, K. (2018). Why are fewer married</w:t>
      </w:r>
      <w:r>
        <w:t xml:space="preserve"> </w:t>
      </w:r>
      <w:r>
        <w:t xml:space="preserve">women joining the work force in rural</w:t>
      </w:r>
      <w:r>
        <w:t xml:space="preserve"> </w:t>
      </w:r>
      <w:r>
        <w:t xml:space="preserve">India</w:t>
      </w:r>
      <w:r>
        <w:t xml:space="preserve">? A decomposition analysis</w:t>
      </w:r>
      <w:r>
        <w:t xml:space="preserve"> </w:t>
      </w:r>
      <w:r>
        <w:t xml:space="preserve">over two decades.</w:t>
      </w:r>
      <w:r>
        <w:t xml:space="preserve"> </w:t>
      </w:r>
      <w:r>
        <w:rPr>
          <w:i/>
          <w:iCs/>
        </w:rPr>
        <w:t xml:space="preserve">Journal of Population Economics</w:t>
      </w:r>
      <w:r>
        <w:t xml:space="preserve">,</w:t>
      </w:r>
      <w:r>
        <w:t xml:space="preserve"> </w:t>
      </w:r>
      <w:r>
        <w:rPr>
          <w:i/>
          <w:iCs/>
        </w:rPr>
        <w:t xml:space="preserve">31</w:t>
      </w:r>
      <w:r>
        <w:t xml:space="preserve">(3),</w:t>
      </w:r>
      <w:r>
        <w:t xml:space="preserve"> </w:t>
      </w:r>
      <w:r>
        <w:t xml:space="preserve">783–818.</w:t>
      </w:r>
      <w:r>
        <w:t xml:space="preserve"> </w:t>
      </w:r>
      <w:hyperlink r:id="rId39">
        <w:r>
          <w:rPr>
            <w:rStyle w:val="Hyperlink"/>
          </w:rPr>
          <w:t xml:space="preserve">https://doi.org/10.1007/s00148-017-0671-y</w:t>
        </w:r>
      </w:hyperlink>
    </w:p>
    <w:p>
      <w:pPr>
        <w:pStyle w:val="BodyText"/>
      </w:pPr>
      <w:r>
        <w:t xml:space="preserve">Agarwal, B. (1997).</w:t>
      </w:r>
      <w:r>
        <w:t xml:space="preserve"> </w:t>
      </w:r>
      <w:r>
        <w:t xml:space="preserve">“Bargaining”</w:t>
      </w:r>
      <w:r>
        <w:t xml:space="preserve"> </w:t>
      </w:r>
      <w:r>
        <w:t xml:space="preserve">and gender relations: Within and</w:t>
      </w:r>
      <w:r>
        <w:t xml:space="preserve"> </w:t>
      </w:r>
      <w:r>
        <w:t xml:space="preserve">beyond the household.</w:t>
      </w:r>
      <w:r>
        <w:t xml:space="preserve"> </w:t>
      </w:r>
      <w:r>
        <w:rPr>
          <w:i/>
          <w:iCs/>
        </w:rPr>
        <w:t xml:space="preserve">Feminist Economics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(1), 1–51.</w:t>
      </w:r>
      <w:r>
        <w:t xml:space="preserve"> </w:t>
      </w:r>
      <w:hyperlink r:id="rId40">
        <w:r>
          <w:rPr>
            <w:rStyle w:val="Hyperlink"/>
          </w:rPr>
          <w:t xml:space="preserve">https://doi.org/10.1080/135457097338799</w:t>
        </w:r>
      </w:hyperlink>
    </w:p>
    <w:p>
      <w:pPr>
        <w:pStyle w:val="BodyText"/>
      </w:pPr>
      <w:r>
        <w:t xml:space="preserve">Akerlof, G. A., &amp; Kranton, R. E. (2000). Economics and identity.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115</w:t>
      </w:r>
      <w:r>
        <w:t xml:space="preserve">(3), 715–753.</w:t>
      </w:r>
      <w:r>
        <w:t xml:space="preserve"> </w:t>
      </w:r>
      <w:hyperlink r:id="rId41">
        <w:r>
          <w:rPr>
            <w:rStyle w:val="Hyperlink"/>
          </w:rPr>
          <w:t xml:space="preserve">https://doi.org/10.1162/003355300554881</w:t>
        </w:r>
      </w:hyperlink>
    </w:p>
    <w:p>
      <w:pPr>
        <w:pStyle w:val="BodyText"/>
      </w:pPr>
      <w:r>
        <w:t xml:space="preserve">Allendorf, K., &amp; Pandian, R. K. (2016). The decline of arranged</w:t>
      </w:r>
      <w:r>
        <w:t xml:space="preserve"> </w:t>
      </w:r>
      <w:r>
        <w:t xml:space="preserve">marriage? Marital change and continuity in</w:t>
      </w:r>
      <w:r>
        <w:t xml:space="preserve"> </w:t>
      </w:r>
      <w:r>
        <w:t xml:space="preserve">India</w:t>
      </w:r>
      <w:r>
        <w:t xml:space="preserve">.</w:t>
      </w:r>
      <w:r>
        <w:t xml:space="preserve"> </w:t>
      </w:r>
      <w:r>
        <w:rPr>
          <w:i/>
          <w:iCs/>
        </w:rPr>
        <w:t xml:space="preserve">Population and</w:t>
      </w:r>
      <w:r>
        <w:rPr>
          <w:i/>
          <w:iCs/>
        </w:rPr>
        <w:t xml:space="preserve"> </w:t>
      </w:r>
      <w:r>
        <w:rPr>
          <w:i/>
          <w:iCs/>
        </w:rPr>
        <w:t xml:space="preserve">Development Review</w:t>
      </w:r>
      <w:r>
        <w:t xml:space="preserve">,</w:t>
      </w:r>
      <w:r>
        <w:t xml:space="preserve"> </w:t>
      </w:r>
      <w:r>
        <w:rPr>
          <w:i/>
          <w:iCs/>
        </w:rPr>
        <w:t xml:space="preserve">42</w:t>
      </w:r>
      <w:r>
        <w:t xml:space="preserve">(3), 435–464.</w:t>
      </w:r>
      <w:r>
        <w:t xml:space="preserve"> </w:t>
      </w:r>
      <w:hyperlink r:id="rId42">
        <w:r>
          <w:rPr>
            <w:rStyle w:val="Hyperlink"/>
          </w:rPr>
          <w:t xml:space="preserve">https://doi.org/10.1111/j.1728-4457.2016.00149.x</w:t>
        </w:r>
      </w:hyperlink>
    </w:p>
    <w:p>
      <w:pPr>
        <w:pStyle w:val="BodyText"/>
      </w:pPr>
      <w:r>
        <w:t xml:space="preserve">Altonji, J. G., Elder, T. E., &amp; Taber, C. R. (2005). Selection on</w:t>
      </w:r>
      <w:r>
        <w:t xml:space="preserve"> </w:t>
      </w:r>
      <w:r>
        <w:t xml:space="preserve">observed and unobserved variables: Assessing the effectiveness of</w:t>
      </w:r>
      <w:r>
        <w:t xml:space="preserve"> </w:t>
      </w:r>
      <w:r>
        <w:t xml:space="preserve">Catholic</w:t>
      </w:r>
      <w:r>
        <w:t xml:space="preserve"> </w:t>
      </w:r>
      <w:r>
        <w:t xml:space="preserve">schools.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,</w:t>
      </w:r>
      <w:r>
        <w:t xml:space="preserve"> </w:t>
      </w:r>
      <w:r>
        <w:rPr>
          <w:i/>
          <w:iCs/>
        </w:rPr>
        <w:t xml:space="preserve">113</w:t>
      </w:r>
      <w:r>
        <w:t xml:space="preserve">(1),</w:t>
      </w:r>
      <w:r>
        <w:t xml:space="preserve"> </w:t>
      </w:r>
      <w:r>
        <w:t xml:space="preserve">151–184.</w:t>
      </w:r>
      <w:r>
        <w:t xml:space="preserve"> </w:t>
      </w:r>
      <w:hyperlink r:id="rId43">
        <w:r>
          <w:rPr>
            <w:rStyle w:val="Hyperlink"/>
          </w:rPr>
          <w:t xml:space="preserve">https://doi.org/10.1086/426036</w:t>
        </w:r>
      </w:hyperlink>
    </w:p>
    <w:p>
      <w:pPr>
        <w:pStyle w:val="BodyText"/>
      </w:pPr>
      <w:r>
        <w:t xml:space="preserve">Anukriti, S., Herrera-Almanza, C., Pathak, P. K., &amp; Karra, M. (2020).</w:t>
      </w:r>
      <w:r>
        <w:t xml:space="preserve"> </w:t>
      </w:r>
      <w:r>
        <w:t xml:space="preserve">Curse of the mummy-ji: The influence of mothers-in-law on women in</w:t>
      </w:r>
      <w:r>
        <w:t xml:space="preserve"> </w:t>
      </w:r>
      <w:r>
        <w:t xml:space="preserve">India</w:t>
      </w:r>
      <w:r>
        <w:t xml:space="preserve">.</w:t>
      </w:r>
      <w:r>
        <w:t xml:space="preserve"> </w:t>
      </w:r>
      <w:r>
        <w:rPr>
          <w:i/>
          <w:iCs/>
        </w:rPr>
        <w:t xml:space="preserve">American Journal of Agricultural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102</w:t>
      </w:r>
      <w:r>
        <w:t xml:space="preserve">(5), 1328–1351.</w:t>
      </w:r>
    </w:p>
    <w:p>
      <w:pPr>
        <w:pStyle w:val="BodyText"/>
      </w:pPr>
      <w:r>
        <w:t xml:space="preserve">Basner, M., Fomberstein, K. M., Razavi, F. M., Banks, S., William, J.</w:t>
      </w:r>
      <w:r>
        <w:t xml:space="preserve"> </w:t>
      </w:r>
      <w:r>
        <w:t xml:space="preserve">H., Rosa, R. R., &amp; Dinges, D. F. (2007).</w:t>
      </w:r>
      <w:r>
        <w:t xml:space="preserve"> </w:t>
      </w:r>
      <w:r>
        <w:t xml:space="preserve">American Time Use Survey</w:t>
      </w:r>
      <w:r>
        <w:t xml:space="preserve">:</w:t>
      </w:r>
      <w:r>
        <w:t xml:space="preserve"> </w:t>
      </w:r>
      <w:r>
        <w:t xml:space="preserve">Sleep time and its relationship to waking activities.</w:t>
      </w:r>
      <w:r>
        <w:t xml:space="preserve"> </w:t>
      </w:r>
      <w:r>
        <w:rPr>
          <w:i/>
          <w:iCs/>
        </w:rPr>
        <w:t xml:space="preserve">Sleep</w:t>
      </w:r>
      <w:r>
        <w:t xml:space="preserve">,</w:t>
      </w:r>
      <w:r>
        <w:t xml:space="preserve"> </w:t>
      </w:r>
      <w:r>
        <w:rPr>
          <w:i/>
          <w:iCs/>
        </w:rPr>
        <w:t xml:space="preserve">30</w:t>
      </w:r>
      <w:r>
        <w:t xml:space="preserve">(9), 1085–1095.</w:t>
      </w:r>
      <w:r>
        <w:t xml:space="preserve"> </w:t>
      </w:r>
      <w:hyperlink r:id="rId44">
        <w:r>
          <w:rPr>
            <w:rStyle w:val="Hyperlink"/>
          </w:rPr>
          <w:t xml:space="preserve">https://doi.org/10.1093/sleep/30.9.1085</w:t>
        </w:r>
      </w:hyperlink>
    </w:p>
    <w:p>
      <w:pPr>
        <w:pStyle w:val="BodyText"/>
      </w:pPr>
      <w:r>
        <w:t xml:space="preserve">Baxter, J., Hewitt, B., &amp; Haynes, M. (2008). Life course transitions</w:t>
      </w:r>
      <w:r>
        <w:t xml:space="preserve"> </w:t>
      </w:r>
      <w:r>
        <w:t xml:space="preserve">and housework: Marriage, parenthood, and time on housework.</w:t>
      </w:r>
      <w:r>
        <w:t xml:space="preserve"> </w:t>
      </w:r>
      <w:r>
        <w:rPr>
          <w:i/>
          <w:iCs/>
        </w:rPr>
        <w:t xml:space="preserve">Journal of Marriage and Family</w:t>
      </w:r>
      <w:r>
        <w:t xml:space="preserve">,</w:t>
      </w:r>
      <w:r>
        <w:t xml:space="preserve"> </w:t>
      </w:r>
      <w:r>
        <w:rPr>
          <w:i/>
          <w:iCs/>
        </w:rPr>
        <w:t xml:space="preserve">70</w:t>
      </w:r>
      <w:r>
        <w:t xml:space="preserve">(2), 259–272.</w:t>
      </w:r>
      <w:r>
        <w:t xml:space="preserve"> </w:t>
      </w:r>
      <w:hyperlink r:id="rId45">
        <w:r>
          <w:rPr>
            <w:rStyle w:val="Hyperlink"/>
          </w:rPr>
          <w:t xml:space="preserve">https://doi.org/10.1111/j.1741-3737.2008.00479.x</w:t>
        </w:r>
      </w:hyperlink>
    </w:p>
    <w:p>
      <w:pPr>
        <w:pStyle w:val="BodyText"/>
      </w:pPr>
      <w:r>
        <w:t xml:space="preserve">Becker, G. S. (1965). A theory of the allocation of time.</w:t>
      </w:r>
      <w:r>
        <w:t xml:space="preserve"> </w:t>
      </w:r>
      <w:r>
        <w:rPr>
          <w:i/>
          <w:iCs/>
        </w:rPr>
        <w:t xml:space="preserve">Economic</w:t>
      </w:r>
      <w:r>
        <w:rPr>
          <w:i/>
          <w:iCs/>
        </w:rPr>
        <w:t xml:space="preserve"> </w:t>
      </w:r>
      <w:r>
        <w:rPr>
          <w:i/>
          <w:iCs/>
        </w:rPr>
        <w:t xml:space="preserve">Journal</w:t>
      </w:r>
      <w:r>
        <w:t xml:space="preserve">,</w:t>
      </w:r>
      <w:r>
        <w:t xml:space="preserve"> </w:t>
      </w:r>
      <w:r>
        <w:rPr>
          <w:i/>
          <w:iCs/>
        </w:rPr>
        <w:t xml:space="preserve">75</w:t>
      </w:r>
      <w:r>
        <w:t xml:space="preserve">(299), 493–517.</w:t>
      </w:r>
      <w:r>
        <w:t xml:space="preserve"> </w:t>
      </w:r>
      <w:hyperlink r:id="rId46">
        <w:r>
          <w:rPr>
            <w:rStyle w:val="Hyperlink"/>
          </w:rPr>
          <w:t xml:space="preserve">https://doi.org/10.2307/2228949</w:t>
        </w:r>
      </w:hyperlink>
    </w:p>
    <w:p>
      <w:pPr>
        <w:pStyle w:val="BodyText"/>
      </w:pPr>
      <w:r>
        <w:t xml:space="preserve">Becker, G. S. (1985). Human capital, effort, and the sexual division of</w:t>
      </w:r>
      <w:r>
        <w:t xml:space="preserve"> </w:t>
      </w:r>
      <w:r>
        <w:t xml:space="preserve">labor.</w:t>
      </w:r>
      <w:r>
        <w:t xml:space="preserve"> </w:t>
      </w:r>
      <w:r>
        <w:rPr>
          <w:i/>
          <w:iCs/>
        </w:rPr>
        <w:t xml:space="preserve">Journal of Labor Economics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(1, Part 2), S33–S58.</w:t>
      </w:r>
      <w:r>
        <w:t xml:space="preserve"> </w:t>
      </w:r>
      <w:hyperlink r:id="rId47">
        <w:r>
          <w:rPr>
            <w:rStyle w:val="Hyperlink"/>
          </w:rPr>
          <w:t xml:space="preserve">https://doi.org/10.1086/298075</w:t>
        </w:r>
      </w:hyperlink>
    </w:p>
    <w:p>
      <w:pPr>
        <w:pStyle w:val="BodyText"/>
      </w:pPr>
      <w:r>
        <w:t xml:space="preserve">Becker, G. S. (1991).</w:t>
      </w:r>
      <w:r>
        <w:t xml:space="preserve"> </w:t>
      </w:r>
      <w:r>
        <w:rPr>
          <w:i/>
          <w:iCs/>
        </w:rPr>
        <w:t xml:space="preserve">A treatise on the family</w:t>
      </w:r>
      <w:r>
        <w:t xml:space="preserve"> </w:t>
      </w:r>
      <w:r>
        <w:t xml:space="preserve">(Enlarged).</w:t>
      </w:r>
      <w:r>
        <w:t xml:space="preserve"> </w:t>
      </w:r>
      <w:r>
        <w:t xml:space="preserve">Harvard University Press.</w:t>
      </w:r>
      <w:r>
        <w:t xml:space="preserve"> </w:t>
      </w:r>
      <w:hyperlink r:id="rId48">
        <w:r>
          <w:rPr>
            <w:rStyle w:val="Hyperlink"/>
          </w:rPr>
          <w:t xml:space="preserve">https://doi.org/10.4159/9780674020665</w:t>
        </w:r>
      </w:hyperlink>
    </w:p>
    <w:p>
      <w:pPr>
        <w:pStyle w:val="BodyText"/>
      </w:pPr>
      <w:r>
        <w:t xml:space="preserve">Bertrand, M., Kamenica, E., &amp; Pan, J. (2015). Gender identity and</w:t>
      </w:r>
      <w:r>
        <w:t xml:space="preserve"> </w:t>
      </w:r>
      <w:r>
        <w:t xml:space="preserve">relative income within households.</w:t>
      </w:r>
      <w:r>
        <w:t xml:space="preserve"> </w:t>
      </w:r>
      <w:r>
        <w:rPr>
          <w:i/>
          <w:iCs/>
        </w:rPr>
        <w:t xml:space="preserve">Quarterly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Economics</w:t>
      </w:r>
      <w:r>
        <w:t xml:space="preserve">,</w:t>
      </w:r>
      <w:r>
        <w:t xml:space="preserve"> </w:t>
      </w:r>
      <w:r>
        <w:rPr>
          <w:i/>
          <w:iCs/>
        </w:rPr>
        <w:t xml:space="preserve">130</w:t>
      </w:r>
      <w:r>
        <w:t xml:space="preserve">(2), 571–614.</w:t>
      </w:r>
      <w:r>
        <w:t xml:space="preserve"> </w:t>
      </w:r>
      <w:hyperlink r:id="rId49">
        <w:r>
          <w:rPr>
            <w:rStyle w:val="Hyperlink"/>
          </w:rPr>
          <w:t xml:space="preserve">https://doi.org/10.1093/qje/qjv001</w:t>
        </w:r>
      </w:hyperlink>
    </w:p>
    <w:p>
      <w:pPr>
        <w:pStyle w:val="BodyText"/>
      </w:pPr>
      <w:r>
        <w:t xml:space="preserve">Biddle, J. E., &amp; Hamermesh, D. S. (1990). Sleep and the allocation of</w:t>
      </w:r>
      <w:r>
        <w:t xml:space="preserve"> </w:t>
      </w:r>
      <w:r>
        <w:t xml:space="preserve">time.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,</w:t>
      </w:r>
      <w:r>
        <w:t xml:space="preserve"> </w:t>
      </w:r>
      <w:r>
        <w:rPr>
          <w:i/>
          <w:iCs/>
        </w:rPr>
        <w:t xml:space="preserve">98</w:t>
      </w:r>
      <w:r>
        <w:t xml:space="preserve">(5), 922–943.</w:t>
      </w:r>
      <w:r>
        <w:t xml:space="preserve"> </w:t>
      </w:r>
      <w:hyperlink r:id="rId50">
        <w:r>
          <w:rPr>
            <w:rStyle w:val="Hyperlink"/>
          </w:rPr>
          <w:t xml:space="preserve">https://doi.org/10.1086/261713</w:t>
        </w:r>
      </w:hyperlink>
    </w:p>
    <w:p>
      <w:pPr>
        <w:pStyle w:val="BodyText"/>
      </w:pPr>
      <w:r>
        <w:t xml:space="preserve">Bittman, M., England, P., Sayer, L., Folbre, N., &amp; Matheson, G. (2003).</w:t>
      </w:r>
      <w:r>
        <w:t xml:space="preserve"> </w:t>
      </w:r>
      <w:r>
        <w:t xml:space="preserve">When does gender trump money? Bargaining and time in household work.</w:t>
      </w:r>
      <w:r>
        <w:t xml:space="preserve"> </w:t>
      </w:r>
      <w:r>
        <w:rPr>
          <w:i/>
          <w:iCs/>
        </w:rPr>
        <w:t xml:space="preserve">American Journal of Sociology</w:t>
      </w:r>
      <w:r>
        <w:t xml:space="preserve">,</w:t>
      </w:r>
      <w:r>
        <w:t xml:space="preserve"> </w:t>
      </w:r>
      <w:r>
        <w:rPr>
          <w:i/>
          <w:iCs/>
        </w:rPr>
        <w:t xml:space="preserve">109</w:t>
      </w:r>
      <w:r>
        <w:t xml:space="preserve">(1), 186–214.</w:t>
      </w:r>
      <w:r>
        <w:t xml:space="preserve"> </w:t>
      </w:r>
      <w:hyperlink r:id="rId51">
        <w:r>
          <w:rPr>
            <w:rStyle w:val="Hyperlink"/>
          </w:rPr>
          <w:t xml:space="preserve">https://doi.org/10.1086/378341</w:t>
        </w:r>
      </w:hyperlink>
    </w:p>
    <w:p>
      <w:pPr>
        <w:pStyle w:val="BodyText"/>
      </w:pPr>
      <w:r>
        <w:t xml:space="preserve">Blood, R. O., &amp; Wolfe, D. M. (1960).</w:t>
      </w:r>
      <w:r>
        <w:t xml:space="preserve"> </w:t>
      </w:r>
      <w:r>
        <w:rPr>
          <w:i/>
          <w:iCs/>
        </w:rPr>
        <w:t xml:space="preserve">Husbands and wives: The</w:t>
      </w:r>
      <w:r>
        <w:rPr>
          <w:i/>
          <w:iCs/>
        </w:rPr>
        <w:t xml:space="preserve"> </w:t>
      </w:r>
      <w:r>
        <w:rPr>
          <w:i/>
          <w:iCs/>
        </w:rPr>
        <w:t xml:space="preserve">dynamics of married living</w:t>
      </w:r>
      <w:r>
        <w:t xml:space="preserve">. Free Press.</w:t>
      </w:r>
    </w:p>
    <w:p>
      <w:pPr>
        <w:pStyle w:val="BodyText"/>
      </w:pPr>
      <w:r>
        <w:t xml:space="preserve">Brines, J. (1994). Economic dependency, gender, and the division of</w:t>
      </w:r>
      <w:r>
        <w:t xml:space="preserve"> </w:t>
      </w:r>
      <w:r>
        <w:t xml:space="preserve">labor at home.</w:t>
      </w:r>
      <w:r>
        <w:t xml:space="preserve"> </w:t>
      </w:r>
      <w:r>
        <w:rPr>
          <w:i/>
          <w:iCs/>
        </w:rPr>
        <w:t xml:space="preserve">American Journal of Sociology</w:t>
      </w:r>
      <w:r>
        <w:t xml:space="preserve">,</w:t>
      </w:r>
      <w:r>
        <w:t xml:space="preserve"> </w:t>
      </w:r>
      <w:r>
        <w:rPr>
          <w:i/>
          <w:iCs/>
        </w:rPr>
        <w:t xml:space="preserve">100</w:t>
      </w:r>
      <w:r>
        <w:t xml:space="preserve">(3),</w:t>
      </w:r>
      <w:r>
        <w:t xml:space="preserve"> </w:t>
      </w:r>
      <w:r>
        <w:t xml:space="preserve">652–688.</w:t>
      </w:r>
      <w:r>
        <w:t xml:space="preserve"> </w:t>
      </w:r>
      <w:hyperlink r:id="rId52">
        <w:r>
          <w:rPr>
            <w:rStyle w:val="Hyperlink"/>
          </w:rPr>
          <w:t xml:space="preserve">https://doi.org/10.1086/230577</w:t>
        </w:r>
      </w:hyperlink>
    </w:p>
    <w:p>
      <w:pPr>
        <w:pStyle w:val="BodyText"/>
      </w:pPr>
      <w:r>
        <w:t xml:space="preserve">Burda, M., Hamermesh, D. S., &amp; Weil, P. (2013). Total work and gender:</w:t>
      </w:r>
      <w:r>
        <w:t xml:space="preserve"> </w:t>
      </w:r>
      <w:r>
        <w:t xml:space="preserve">Facts and possible explanations.</w:t>
      </w:r>
      <w:r>
        <w:t xml:space="preserve"> </w:t>
      </w:r>
      <w:r>
        <w:rPr>
          <w:i/>
          <w:iCs/>
        </w:rPr>
        <w:t xml:space="preserve">Journal of Population Economics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(1), 239–261.</w:t>
      </w:r>
      <w:r>
        <w:t xml:space="preserve"> </w:t>
      </w:r>
      <w:hyperlink r:id="rId53">
        <w:r>
          <w:rPr>
            <w:rStyle w:val="Hyperlink"/>
          </w:rPr>
          <w:t xml:space="preserve">https://doi.org/10.1007/s00148-012-0408-x</w:t>
        </w:r>
      </w:hyperlink>
    </w:p>
    <w:p>
      <w:pPr>
        <w:pStyle w:val="BodyText"/>
      </w:pPr>
      <w:r>
        <w:t xml:space="preserve">Burgard, S. A., &amp; Ailshire, J. A. (2013). Gender and time for sleep</w:t>
      </w:r>
      <w:r>
        <w:t xml:space="preserve"> </w:t>
      </w:r>
      <w:r>
        <w:t xml:space="preserve">among</w:t>
      </w:r>
      <w:r>
        <w:t xml:space="preserve"> </w:t>
      </w:r>
      <w:r>
        <w:t xml:space="preserve">U.S.</w:t>
      </w:r>
      <w:r>
        <w:t xml:space="preserve"> </w:t>
      </w:r>
      <w:r>
        <w:t xml:space="preserve">adults.</w:t>
      </w:r>
      <w:r>
        <w:t xml:space="preserve"> </w:t>
      </w:r>
      <w:r>
        <w:rPr>
          <w:i/>
          <w:iCs/>
        </w:rPr>
        <w:t xml:space="preserve">American Sociological Review</w:t>
      </w:r>
      <w:r>
        <w:t xml:space="preserve">,</w:t>
      </w:r>
      <w:r>
        <w:t xml:space="preserve"> </w:t>
      </w:r>
      <w:r>
        <w:rPr>
          <w:i/>
          <w:iCs/>
        </w:rPr>
        <w:t xml:space="preserve">78</w:t>
      </w:r>
      <w:r>
        <w:t xml:space="preserve">(1),</w:t>
      </w:r>
      <w:r>
        <w:t xml:space="preserve"> </w:t>
      </w:r>
      <w:r>
        <w:t xml:space="preserve">51–69.</w:t>
      </w:r>
      <w:r>
        <w:t xml:space="preserve"> </w:t>
      </w:r>
      <w:hyperlink r:id="rId54">
        <w:r>
          <w:rPr>
            <w:rStyle w:val="Hyperlink"/>
          </w:rPr>
          <w:t xml:space="preserve">https://doi.org/10.1177/0003122412472048</w:t>
        </w:r>
      </w:hyperlink>
    </w:p>
    <w:p>
      <w:pPr>
        <w:pStyle w:val="BodyText"/>
      </w:pPr>
      <w:r>
        <w:t xml:space="preserve">Chatterjee, E., Desai, S., &amp; Vanneman, R. (2018). Indian paradox:</w:t>
      </w:r>
      <w:r>
        <w:t xml:space="preserve"> </w:t>
      </w:r>
      <w:r>
        <w:t xml:space="preserve">Rising education, declining women’s employment.</w:t>
      </w:r>
      <w:r>
        <w:t xml:space="preserve"> </w:t>
      </w:r>
      <w:r>
        <w:rPr>
          <w:i/>
          <w:iCs/>
        </w:rPr>
        <w:t xml:space="preserve">Demographic</w:t>
      </w:r>
      <w:r>
        <w:rPr>
          <w:i/>
          <w:iCs/>
        </w:rPr>
        <w:t xml:space="preserve"> </w:t>
      </w:r>
      <w:r>
        <w:rPr>
          <w:i/>
          <w:iCs/>
        </w:rPr>
        <w:t xml:space="preserve">Research</w:t>
      </w:r>
      <w:r>
        <w:t xml:space="preserve">,</w:t>
      </w:r>
      <w:r>
        <w:t xml:space="preserve"> </w:t>
      </w:r>
      <w:r>
        <w:rPr>
          <w:i/>
          <w:iCs/>
        </w:rPr>
        <w:t xml:space="preserve">38</w:t>
      </w:r>
      <w:r>
        <w:t xml:space="preserve">, 855–878.</w:t>
      </w:r>
      <w:r>
        <w:t xml:space="preserve"> </w:t>
      </w:r>
      <w:hyperlink r:id="rId55">
        <w:r>
          <w:rPr>
            <w:rStyle w:val="Hyperlink"/>
          </w:rPr>
          <w:t xml:space="preserve">https://doi.org/10.4054/demres.2018.38.31</w:t>
        </w:r>
      </w:hyperlink>
    </w:p>
    <w:p>
      <w:pPr>
        <w:pStyle w:val="BodyText"/>
      </w:pPr>
      <w:r>
        <w:t xml:space="preserve">Chiappori, P.-A. (1992). Collective labor supply and welfare.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,</w:t>
      </w:r>
      <w:r>
        <w:t xml:space="preserve"> </w:t>
      </w:r>
      <w:r>
        <w:rPr>
          <w:i/>
          <w:iCs/>
        </w:rPr>
        <w:t xml:space="preserve">100</w:t>
      </w:r>
      <w:r>
        <w:t xml:space="preserve">(3), 437–467.</w:t>
      </w:r>
      <w:r>
        <w:t xml:space="preserve"> </w:t>
      </w:r>
      <w:hyperlink r:id="rId56">
        <w:r>
          <w:rPr>
            <w:rStyle w:val="Hyperlink"/>
          </w:rPr>
          <w:t xml:space="preserve">https://doi.org/10.1086/261825</w:t>
        </w:r>
      </w:hyperlink>
    </w:p>
    <w:p>
      <w:pPr>
        <w:pStyle w:val="BodyText"/>
      </w:pPr>
      <w:r>
        <w:t xml:space="preserve">Coltrane, S. (2000). Research on household labor: Modeling and measuring</w:t>
      </w:r>
      <w:r>
        <w:t xml:space="preserve"> </w:t>
      </w:r>
      <w:r>
        <w:t xml:space="preserve">the social embeddedness of routine family work.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Marriage and Family</w:t>
      </w:r>
      <w:r>
        <w:t xml:space="preserve">,</w:t>
      </w:r>
      <w:r>
        <w:t xml:space="preserve"> </w:t>
      </w:r>
      <w:r>
        <w:rPr>
          <w:i/>
          <w:iCs/>
        </w:rPr>
        <w:t xml:space="preserve">62</w:t>
      </w:r>
      <w:r>
        <w:t xml:space="preserve">(4), 1208–1233.</w:t>
      </w:r>
      <w:r>
        <w:t xml:space="preserve"> </w:t>
      </w:r>
      <w:hyperlink r:id="rId57">
        <w:r>
          <w:rPr>
            <w:rStyle w:val="Hyperlink"/>
          </w:rPr>
          <w:t xml:space="preserve">https://doi.org/10.1111/j.1741-3737.2000.01208.x</w:t>
        </w:r>
      </w:hyperlink>
    </w:p>
    <w:p>
      <w:pPr>
        <w:pStyle w:val="BodyText"/>
      </w:pPr>
      <w:r>
        <w:t xml:space="preserve">Coser, L. A. (1974).</w:t>
      </w:r>
      <w:r>
        <w:t xml:space="preserve"> </w:t>
      </w:r>
      <w:r>
        <w:rPr>
          <w:i/>
          <w:iCs/>
        </w:rPr>
        <w:t xml:space="preserve">Greedy institutions: Patterns of undivided</w:t>
      </w:r>
      <w:r>
        <w:rPr>
          <w:i/>
          <w:iCs/>
        </w:rPr>
        <w:t xml:space="preserve"> </w:t>
      </w:r>
      <w:r>
        <w:rPr>
          <w:i/>
          <w:iCs/>
        </w:rPr>
        <w:t xml:space="preserve">commitment</w:t>
      </w:r>
      <w:r>
        <w:t xml:space="preserve">. Free Press.</w:t>
      </w:r>
    </w:p>
    <w:p>
      <w:pPr>
        <w:pStyle w:val="BodyText"/>
      </w:pPr>
      <w:r>
        <w:t xml:space="preserve">Crump, R. K., Hotz, V. J., Imbens, G. W., &amp; Mitnik, O. A. (2009).</w:t>
      </w:r>
      <w:r>
        <w:t xml:space="preserve"> </w:t>
      </w:r>
      <w:r>
        <w:t xml:space="preserve">Dealing with limited overlap in estimation of average treatment effects.</w:t>
      </w:r>
      <w:r>
        <w:t xml:space="preserve"> </w:t>
      </w:r>
      <w:r>
        <w:rPr>
          <w:i/>
          <w:iCs/>
        </w:rPr>
        <w:t xml:space="preserve">Biometrika</w:t>
      </w:r>
      <w:r>
        <w:t xml:space="preserve">,</w:t>
      </w:r>
      <w:r>
        <w:t xml:space="preserve"> </w:t>
      </w:r>
      <w:r>
        <w:rPr>
          <w:i/>
          <w:iCs/>
        </w:rPr>
        <w:t xml:space="preserve">96</w:t>
      </w:r>
      <w:r>
        <w:t xml:space="preserve">(1), 187–199.</w:t>
      </w:r>
      <w:r>
        <w:t xml:space="preserve"> </w:t>
      </w:r>
      <w:hyperlink r:id="rId58">
        <w:r>
          <w:rPr>
            <w:rStyle w:val="Hyperlink"/>
          </w:rPr>
          <w:t xml:space="preserve">https://doi.org/10.1093/biomet/asn055</w:t>
        </w:r>
      </w:hyperlink>
    </w:p>
    <w:p>
      <w:pPr>
        <w:pStyle w:val="BodyText"/>
      </w:pPr>
      <w:r>
        <w:t xml:space="preserve">Debnath, S. (2015). The impact of household structure on female autonomy</w:t>
      </w:r>
      <w:r>
        <w:t xml:space="preserve"> </w:t>
      </w:r>
      <w:r>
        <w:t xml:space="preserve">in developing countries.</w:t>
      </w:r>
      <w:r>
        <w:t xml:space="preserve"> </w:t>
      </w:r>
      <w:r>
        <w:rPr>
          <w:i/>
          <w:iCs/>
        </w:rPr>
        <w:t xml:space="preserve">Journal of Development Studies</w:t>
      </w:r>
      <w:r>
        <w:t xml:space="preserve">,</w:t>
      </w:r>
      <w:r>
        <w:t xml:space="preserve"> </w:t>
      </w:r>
      <w:r>
        <w:rPr>
          <w:i/>
          <w:iCs/>
        </w:rPr>
        <w:t xml:space="preserve">51</w:t>
      </w:r>
      <w:r>
        <w:t xml:space="preserve">(5), 485–502.</w:t>
      </w:r>
      <w:r>
        <w:t xml:space="preserve"> </w:t>
      </w:r>
      <w:hyperlink r:id="rId59">
        <w:r>
          <w:rPr>
            <w:rStyle w:val="Hyperlink"/>
          </w:rPr>
          <w:t xml:space="preserve">https://doi.org/10.1080/00220388.2014.983909</w:t>
        </w:r>
      </w:hyperlink>
    </w:p>
    <w:p>
      <w:pPr>
        <w:pStyle w:val="BodyText"/>
      </w:pPr>
      <w:r>
        <w:t xml:space="preserve">Desai, S., &amp; Andrist, L. (2010). Gender scripts and age at marriage in</w:t>
      </w:r>
      <w:r>
        <w:t xml:space="preserve"> </w:t>
      </w:r>
      <w:r>
        <w:t xml:space="preserve">India</w:t>
      </w:r>
      <w:r>
        <w:t xml:space="preserve">.</w:t>
      </w:r>
      <w:r>
        <w:t xml:space="preserve"> </w:t>
      </w:r>
      <w:r>
        <w:rPr>
          <w:i/>
          <w:iCs/>
        </w:rPr>
        <w:t xml:space="preserve">Demography</w:t>
      </w:r>
      <w:r>
        <w:t xml:space="preserve">,</w:t>
      </w:r>
      <w:r>
        <w:t xml:space="preserve"> </w:t>
      </w:r>
      <w:r>
        <w:rPr>
          <w:i/>
          <w:iCs/>
        </w:rPr>
        <w:t xml:space="preserve">47</w:t>
      </w:r>
      <w:r>
        <w:t xml:space="preserve">(3), 667–687.</w:t>
      </w:r>
      <w:r>
        <w:t xml:space="preserve"> </w:t>
      </w:r>
      <w:hyperlink r:id="rId60">
        <w:r>
          <w:rPr>
            <w:rStyle w:val="Hyperlink"/>
          </w:rPr>
          <w:t xml:space="preserve">https://doi.org/10.1353/dem.0.0118</w:t>
        </w:r>
      </w:hyperlink>
    </w:p>
    <w:p>
      <w:pPr>
        <w:pStyle w:val="BodyText"/>
      </w:pPr>
      <w:r>
        <w:t xml:space="preserve">Dhanaraj, S., &amp; Mahambare, V. (2019). Family structure, education and</w:t>
      </w:r>
      <w:r>
        <w:t xml:space="preserve"> </w:t>
      </w:r>
      <w:r>
        <w:t xml:space="preserve">women’s employment in rural</w:t>
      </w:r>
      <w:r>
        <w:t xml:space="preserve"> </w:t>
      </w:r>
      <w:r>
        <w:t xml:space="preserve">India</w:t>
      </w:r>
      <w:r>
        <w:t xml:space="preserve">.</w:t>
      </w:r>
      <w:r>
        <w:t xml:space="preserve"> </w:t>
      </w:r>
      <w:r>
        <w:rPr>
          <w:i/>
          <w:iCs/>
        </w:rPr>
        <w:t xml:space="preserve">World Development</w:t>
      </w:r>
      <w:r>
        <w:t xml:space="preserve">,</w:t>
      </w:r>
      <w:r>
        <w:t xml:space="preserve"> </w:t>
      </w:r>
      <w:r>
        <w:rPr>
          <w:i/>
          <w:iCs/>
        </w:rPr>
        <w:t xml:space="preserve">115</w:t>
      </w:r>
      <w:r>
        <w:t xml:space="preserve">, 17–29.</w:t>
      </w:r>
      <w:r>
        <w:t xml:space="preserve"> </w:t>
      </w:r>
      <w:hyperlink r:id="rId61">
        <w:r>
          <w:rPr>
            <w:rStyle w:val="Hyperlink"/>
          </w:rPr>
          <w:t xml:space="preserve">https://doi.org/10.1016/j.worlddev.2018.11.004</w:t>
        </w:r>
      </w:hyperlink>
    </w:p>
    <w:p>
      <w:pPr>
        <w:pStyle w:val="BodyText"/>
      </w:pPr>
      <w:r>
        <w:t xml:space="preserve">DiNardo, J., Fortin, N. M., &amp; Lemieux, T. (1996). Labor market</w:t>
      </w:r>
      <w:r>
        <w:t xml:space="preserve"> </w:t>
      </w:r>
      <w:r>
        <w:t xml:space="preserve">institutions and the distribution of wages, 1973–1992: A semiparametric</w:t>
      </w:r>
      <w:r>
        <w:t xml:space="preserve"> </w:t>
      </w:r>
      <w:r>
        <w:t xml:space="preserve">approach.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,</w:t>
      </w:r>
      <w:r>
        <w:t xml:space="preserve"> </w:t>
      </w:r>
      <w:r>
        <w:rPr>
          <w:i/>
          <w:iCs/>
        </w:rPr>
        <w:t xml:space="preserve">64</w:t>
      </w:r>
      <w:r>
        <w:t xml:space="preserve">(5), 1001–1044.</w:t>
      </w:r>
      <w:r>
        <w:t xml:space="preserve"> </w:t>
      </w:r>
      <w:hyperlink r:id="rId62">
        <w:r>
          <w:rPr>
            <w:rStyle w:val="Hyperlink"/>
          </w:rPr>
          <w:t xml:space="preserve">https://doi.org/10.2307/2171954</w:t>
        </w:r>
      </w:hyperlink>
    </w:p>
    <w:p>
      <w:pPr>
        <w:pStyle w:val="BodyText"/>
      </w:pPr>
      <w:r>
        <w:t xml:space="preserve">Dyson, T., &amp; Moore, M. (1983). On kinship structure, female autonomy,</w:t>
      </w:r>
      <w:r>
        <w:t xml:space="preserve"> </w:t>
      </w:r>
      <w:r>
        <w:t xml:space="preserve">and demographic behavior in</w:t>
      </w:r>
      <w:r>
        <w:t xml:space="preserve"> </w:t>
      </w:r>
      <w:r>
        <w:t xml:space="preserve">India</w:t>
      </w:r>
      <w:r>
        <w:t xml:space="preserve">.</w:t>
      </w:r>
      <w:r>
        <w:t xml:space="preserve"> </w:t>
      </w:r>
      <w:r>
        <w:rPr>
          <w:i/>
          <w:iCs/>
        </w:rPr>
        <w:t xml:space="preserve">Population and Development</w:t>
      </w:r>
      <w:r>
        <w:rPr>
          <w:i/>
          <w:iCs/>
        </w:rPr>
        <w:t xml:space="preserve"> </w:t>
      </w:r>
      <w:r>
        <w:rPr>
          <w:i/>
          <w:iCs/>
        </w:rPr>
        <w:t xml:space="preserve">Review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(1), 35–60.</w:t>
      </w:r>
      <w:r>
        <w:t xml:space="preserve"> </w:t>
      </w:r>
      <w:hyperlink r:id="rId63">
        <w:r>
          <w:rPr>
            <w:rStyle w:val="Hyperlink"/>
          </w:rPr>
          <w:t xml:space="preserve">https://doi.org/10.2307/1972894</w:t>
        </w:r>
      </w:hyperlink>
    </w:p>
    <w:p>
      <w:pPr>
        <w:pStyle w:val="BodyText"/>
      </w:pPr>
      <w:r>
        <w:t xml:space="preserve">Eswaran, M., Ramaswami, B., &amp; Wadhwa, W. (2013). Status, caste, and the</w:t>
      </w:r>
      <w:r>
        <w:t xml:space="preserve"> </w:t>
      </w:r>
      <w:r>
        <w:t xml:space="preserve">time allocation of women in rural</w:t>
      </w:r>
      <w:r>
        <w:t xml:space="preserve"> </w:t>
      </w:r>
      <w:r>
        <w:t xml:space="preserve">India</w:t>
      </w:r>
      <w:r>
        <w:t xml:space="preserve">.</w:t>
      </w:r>
      <w:r>
        <w:t xml:space="preserve"> </w:t>
      </w:r>
      <w:r>
        <w:rPr>
          <w:i/>
          <w:iCs/>
        </w:rPr>
        <w:t xml:space="preserve">Economic Development</w:t>
      </w:r>
      <w:r>
        <w:rPr>
          <w:i/>
          <w:iCs/>
        </w:rPr>
        <w:t xml:space="preserve"> </w:t>
      </w:r>
      <w:r>
        <w:rPr>
          <w:i/>
          <w:iCs/>
        </w:rPr>
        <w:t xml:space="preserve">and Cultural Change</w:t>
      </w:r>
      <w:r>
        <w:t xml:space="preserve">,</w:t>
      </w:r>
      <w:r>
        <w:t xml:space="preserve"> </w:t>
      </w:r>
      <w:r>
        <w:rPr>
          <w:i/>
          <w:iCs/>
        </w:rPr>
        <w:t xml:space="preserve">61</w:t>
      </w:r>
      <w:r>
        <w:t xml:space="preserve">(2), 311–333.</w:t>
      </w:r>
      <w:r>
        <w:t xml:space="preserve"> </w:t>
      </w:r>
      <w:hyperlink r:id="rId64">
        <w:r>
          <w:rPr>
            <w:rStyle w:val="Hyperlink"/>
          </w:rPr>
          <w:t xml:space="preserve">https://doi.org/10.1086/668282</w:t>
        </w:r>
      </w:hyperlink>
    </w:p>
    <w:p>
      <w:pPr>
        <w:pStyle w:val="BodyText"/>
      </w:pPr>
      <w:r>
        <w:t xml:space="preserve">Field, E., &amp; Ambrus, A. (2008). Early marriage, age of menarche, and</w:t>
      </w:r>
      <w:r>
        <w:t xml:space="preserve"> </w:t>
      </w:r>
      <w:r>
        <w:t xml:space="preserve">female schooling attainment in</w:t>
      </w:r>
      <w:r>
        <w:t xml:space="preserve"> </w:t>
      </w:r>
      <w:r>
        <w:t xml:space="preserve">Bangladesh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Political</w:t>
      </w:r>
      <w:r>
        <w:rPr>
          <w:i/>
          <w:iCs/>
        </w:rPr>
        <w:t xml:space="preserve"> </w:t>
      </w:r>
      <w:r>
        <w:rPr>
          <w:i/>
          <w:iCs/>
        </w:rPr>
        <w:t xml:space="preserve">Economy</w:t>
      </w:r>
      <w:r>
        <w:t xml:space="preserve">,</w:t>
      </w:r>
      <w:r>
        <w:t xml:space="preserve"> </w:t>
      </w:r>
      <w:r>
        <w:rPr>
          <w:i/>
          <w:iCs/>
        </w:rPr>
        <w:t xml:space="preserve">116</w:t>
      </w:r>
      <w:r>
        <w:t xml:space="preserve">(5), 881–930.</w:t>
      </w:r>
      <w:r>
        <w:t xml:space="preserve"> </w:t>
      </w:r>
      <w:hyperlink r:id="rId65">
        <w:r>
          <w:rPr>
            <w:rStyle w:val="Hyperlink"/>
          </w:rPr>
          <w:t xml:space="preserve">https://doi.org/10.1086/593333</w:t>
        </w:r>
      </w:hyperlink>
    </w:p>
    <w:p>
      <w:pPr>
        <w:pStyle w:val="BodyText"/>
      </w:pPr>
      <w:r>
        <w:t xml:space="preserve">Field, E., Pande, R., Rigol, N., Schaner, S., &amp; Moore, C. T. (2021). On</w:t>
      </w:r>
      <w:r>
        <w:t xml:space="preserve"> </w:t>
      </w:r>
      <w:r>
        <w:t xml:space="preserve">her own account: How strengthening women’s financial control impacts</w:t>
      </w:r>
      <w:r>
        <w:t xml:space="preserve"> </w:t>
      </w:r>
      <w:r>
        <w:t xml:space="preserve">labor supply and gender norms.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,</w:t>
      </w:r>
      <w:r>
        <w:t xml:space="preserve"> </w:t>
      </w:r>
      <w:r>
        <w:rPr>
          <w:i/>
          <w:iCs/>
        </w:rPr>
        <w:t xml:space="preserve">111</w:t>
      </w:r>
      <w:r>
        <w:t xml:space="preserve">(7), 2342–2375.</w:t>
      </w:r>
      <w:r>
        <w:t xml:space="preserve"> </w:t>
      </w:r>
      <w:hyperlink r:id="rId66">
        <w:r>
          <w:rPr>
            <w:rStyle w:val="Hyperlink"/>
          </w:rPr>
          <w:t xml:space="preserve">https://doi.org/10.1257/aer.20200705</w:t>
        </w:r>
      </w:hyperlink>
    </w:p>
    <w:p>
      <w:pPr>
        <w:pStyle w:val="BodyText"/>
      </w:pPr>
      <w:r>
        <w:t xml:space="preserve">Fletcher, E., Pande, R., &amp; Moore, C. T. (2017).</w:t>
      </w:r>
      <w:r>
        <w:t xml:space="preserve"> </w:t>
      </w:r>
      <w:r>
        <w:rPr>
          <w:i/>
          <w:iCs/>
        </w:rPr>
        <w:t xml:space="preserve">Women and work in</w:t>
      </w:r>
      <w:r>
        <w:rPr>
          <w:i/>
          <w:iCs/>
        </w:rPr>
        <w:t xml:space="preserve"> </w:t>
      </w:r>
      <w:r>
        <w:rPr>
          <w:i/>
          <w:iCs/>
        </w:rPr>
        <w:t xml:space="preserve">India</w:t>
      </w:r>
      <w:r>
        <w:rPr>
          <w:i/>
          <w:iCs/>
        </w:rPr>
        <w:t xml:space="preserve">: Descriptive evidence and a review of potential policies</w:t>
      </w:r>
      <w:r>
        <w:t xml:space="preserve"> </w:t>
      </w:r>
      <w:r>
        <w:t xml:space="preserve">(Faculty Research Working Paper Nos. RWP18-004). Harvard Kennedy School.</w:t>
      </w:r>
    </w:p>
    <w:p>
      <w:pPr>
        <w:pStyle w:val="BodyText"/>
      </w:pPr>
      <w:r>
        <w:t xml:space="preserve">Gershuny, J. (2000).</w:t>
      </w:r>
      <w:r>
        <w:t xml:space="preserve"> </w:t>
      </w:r>
      <w:r>
        <w:rPr>
          <w:i/>
          <w:iCs/>
        </w:rPr>
        <w:t xml:space="preserve">Changing times: Work and leisure in</w:t>
      </w:r>
      <w:r>
        <w:rPr>
          <w:i/>
          <w:iCs/>
        </w:rPr>
        <w:t xml:space="preserve"> </w:t>
      </w:r>
      <w:r>
        <w:rPr>
          <w:i/>
          <w:iCs/>
        </w:rPr>
        <w:t xml:space="preserve">postindustrial society</w:t>
      </w:r>
      <w:r>
        <w:t xml:space="preserve">. Oxford University Press.</w:t>
      </w:r>
    </w:p>
    <w:p>
      <w:pPr>
        <w:pStyle w:val="BodyText"/>
      </w:pPr>
      <w:r>
        <w:t xml:space="preserve">Goldman, N. (1993). Marriage selection and mortality patterns:</w:t>
      </w:r>
      <w:r>
        <w:t xml:space="preserve"> </w:t>
      </w:r>
      <w:r>
        <w:t xml:space="preserve">Inferences and fallacies.</w:t>
      </w:r>
      <w:r>
        <w:t xml:space="preserve"> </w:t>
      </w:r>
      <w:r>
        <w:rPr>
          <w:i/>
          <w:iCs/>
        </w:rPr>
        <w:t xml:space="preserve">Demography</w:t>
      </w:r>
      <w:r>
        <w:t xml:space="preserve">,</w:t>
      </w:r>
      <w:r>
        <w:t xml:space="preserve"> </w:t>
      </w:r>
      <w:r>
        <w:rPr>
          <w:i/>
          <w:iCs/>
        </w:rPr>
        <w:t xml:space="preserve">30</w:t>
      </w:r>
      <w:r>
        <w:t xml:space="preserve">(2), 189–208.</w:t>
      </w:r>
      <w:r>
        <w:t xml:space="preserve"> </w:t>
      </w:r>
      <w:hyperlink r:id="rId67">
        <w:r>
          <w:rPr>
            <w:rStyle w:val="Hyperlink"/>
          </w:rPr>
          <w:t xml:space="preserve">https://doi.org/10.2307/2061837</w:t>
        </w:r>
      </w:hyperlink>
    </w:p>
    <w:p>
      <w:pPr>
        <w:pStyle w:val="BodyText"/>
      </w:pPr>
      <w:r>
        <w:t xml:space="preserve">Greenstein, T. N. (2000). Economic dependence, gender, and the division</w:t>
      </w:r>
      <w:r>
        <w:t xml:space="preserve"> </w:t>
      </w:r>
      <w:r>
        <w:t xml:space="preserve">of labor in the home: A replication and extension.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Marriage and Family</w:t>
      </w:r>
      <w:r>
        <w:t xml:space="preserve">,</w:t>
      </w:r>
      <w:r>
        <w:t xml:space="preserve"> </w:t>
      </w:r>
      <w:r>
        <w:rPr>
          <w:i/>
          <w:iCs/>
        </w:rPr>
        <w:t xml:space="preserve">62</w:t>
      </w:r>
      <w:r>
        <w:t xml:space="preserve">(2), 322–335.</w:t>
      </w:r>
      <w:r>
        <w:t xml:space="preserve"> </w:t>
      </w:r>
      <w:hyperlink r:id="rId68">
        <w:r>
          <w:rPr>
            <w:rStyle w:val="Hyperlink"/>
          </w:rPr>
          <w:t xml:space="preserve">https://doi.org/10.1111/j.1741-3737.2000.00322.x</w:t>
        </w:r>
      </w:hyperlink>
    </w:p>
    <w:p>
      <w:pPr>
        <w:pStyle w:val="BodyText"/>
      </w:pPr>
      <w:r>
        <w:t xml:space="preserve">Gronau, R. (1977). Leisure, home production, and work—the theory of</w:t>
      </w:r>
      <w:r>
        <w:t xml:space="preserve"> </w:t>
      </w:r>
      <w:r>
        <w:t xml:space="preserve">the allocation of time revisited.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,</w:t>
      </w:r>
      <w:r>
        <w:t xml:space="preserve"> </w:t>
      </w:r>
      <w:r>
        <w:rPr>
          <w:i/>
          <w:iCs/>
        </w:rPr>
        <w:t xml:space="preserve">85</w:t>
      </w:r>
      <w:r>
        <w:t xml:space="preserve">(6), 1099–1123.</w:t>
      </w:r>
      <w:r>
        <w:t xml:space="preserve"> </w:t>
      </w:r>
      <w:hyperlink r:id="rId69">
        <w:r>
          <w:rPr>
            <w:rStyle w:val="Hyperlink"/>
          </w:rPr>
          <w:t xml:space="preserve">https://doi.org/10.1086/260629</w:t>
        </w:r>
      </w:hyperlink>
    </w:p>
    <w:p>
      <w:pPr>
        <w:pStyle w:val="BodyText"/>
      </w:pPr>
      <w:r>
        <w:t xml:space="preserve">Gupta, S. (1999). The effects of transitions in marital status on men’s</w:t>
      </w:r>
      <w:r>
        <w:t xml:space="preserve"> </w:t>
      </w:r>
      <w:r>
        <w:t xml:space="preserve">performance of housework.</w:t>
      </w:r>
      <w:r>
        <w:t xml:space="preserve"> </w:t>
      </w:r>
      <w:r>
        <w:rPr>
          <w:i/>
          <w:iCs/>
        </w:rPr>
        <w:t xml:space="preserve">Journal of Marriage and Family</w:t>
      </w:r>
      <w:r>
        <w:t xml:space="preserve">,</w:t>
      </w:r>
      <w:r>
        <w:t xml:space="preserve"> </w:t>
      </w:r>
      <w:r>
        <w:rPr>
          <w:i/>
          <w:iCs/>
        </w:rPr>
        <w:t xml:space="preserve">61</w:t>
      </w:r>
      <w:r>
        <w:t xml:space="preserve">(3), 700–711.</w:t>
      </w:r>
      <w:r>
        <w:t xml:space="preserve"> </w:t>
      </w:r>
      <w:hyperlink r:id="rId70">
        <w:r>
          <w:rPr>
            <w:rStyle w:val="Hyperlink"/>
          </w:rPr>
          <w:t xml:space="preserve">https://doi.org/10.2307/353571</w:t>
        </w:r>
      </w:hyperlink>
    </w:p>
    <w:p>
      <w:pPr>
        <w:pStyle w:val="BodyText"/>
      </w:pPr>
      <w:r>
        <w:t xml:space="preserve">Gupta, S. (2007). Autonomy, dependence, or display? The relationship</w:t>
      </w:r>
      <w:r>
        <w:t xml:space="preserve"> </w:t>
      </w:r>
      <w:r>
        <w:t xml:space="preserve">between married women’s earnings and housework.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Marriage and Family</w:t>
      </w:r>
      <w:r>
        <w:t xml:space="preserve">,</w:t>
      </w:r>
      <w:r>
        <w:t xml:space="preserve"> </w:t>
      </w:r>
      <w:r>
        <w:rPr>
          <w:i/>
          <w:iCs/>
        </w:rPr>
        <w:t xml:space="preserve">69</w:t>
      </w:r>
      <w:r>
        <w:t xml:space="preserve">(2), 399–417.</w:t>
      </w:r>
      <w:r>
        <w:t xml:space="preserve"> </w:t>
      </w:r>
      <w:hyperlink r:id="rId71">
        <w:r>
          <w:rPr>
            <w:rStyle w:val="Hyperlink"/>
          </w:rPr>
          <w:t xml:space="preserve">https://doi.org/10.1111/j.1741-3737.2007.00373.x</w:t>
        </w:r>
      </w:hyperlink>
    </w:p>
    <w:p>
      <w:pPr>
        <w:pStyle w:val="BodyText"/>
      </w:pPr>
      <w:r>
        <w:t xml:space="preserve">Hirway, I., &amp; Jose, S. (2011). Understanding women’s work using</w:t>
      </w:r>
      <w:r>
        <w:t xml:space="preserve"> </w:t>
      </w:r>
      <w:r>
        <w:t xml:space="preserve">time-use statistics: The case of</w:t>
      </w:r>
      <w:r>
        <w:t xml:space="preserve"> </w:t>
      </w:r>
      <w:r>
        <w:t xml:space="preserve">India</w:t>
      </w:r>
      <w:r>
        <w:t xml:space="preserve">.</w:t>
      </w:r>
      <w:r>
        <w:t xml:space="preserve"> </w:t>
      </w:r>
      <w:r>
        <w:rPr>
          <w:i/>
          <w:iCs/>
        </w:rPr>
        <w:t xml:space="preserve">Feminist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17</w:t>
      </w:r>
      <w:r>
        <w:t xml:space="preserve">(4), 67–92.</w:t>
      </w:r>
      <w:r>
        <w:t xml:space="preserve"> </w:t>
      </w:r>
      <w:hyperlink r:id="rId72">
        <w:r>
          <w:rPr>
            <w:rStyle w:val="Hyperlink"/>
          </w:rPr>
          <w:t xml:space="preserve">https://doi.org/10.1080/13545701.2011.622289</w:t>
        </w:r>
      </w:hyperlink>
    </w:p>
    <w:p>
      <w:pPr>
        <w:pStyle w:val="BodyText"/>
      </w:pPr>
      <w:r>
        <w:t xml:space="preserve">Imbens, G. W. (2004). Nonparametric estimation of average treatment</w:t>
      </w:r>
      <w:r>
        <w:t xml:space="preserve"> </w:t>
      </w:r>
      <w:r>
        <w:t xml:space="preserve">effects under exogeneity: A review.</w:t>
      </w:r>
      <w:r>
        <w:t xml:space="preserve"> </w:t>
      </w:r>
      <w:r>
        <w:rPr>
          <w:i/>
          <w:iCs/>
        </w:rPr>
        <w:t xml:space="preserve">Review of Economics and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</w:t>
      </w:r>
      <w:r>
        <w:t xml:space="preserve">,</w:t>
      </w:r>
      <w:r>
        <w:t xml:space="preserve"> </w:t>
      </w:r>
      <w:r>
        <w:rPr>
          <w:i/>
          <w:iCs/>
        </w:rPr>
        <w:t xml:space="preserve">86</w:t>
      </w:r>
      <w:r>
        <w:t xml:space="preserve">(1), 4–29.</w:t>
      </w:r>
      <w:r>
        <w:t xml:space="preserve"> </w:t>
      </w:r>
      <w:hyperlink r:id="rId73">
        <w:r>
          <w:rPr>
            <w:rStyle w:val="Hyperlink"/>
          </w:rPr>
          <w:t xml:space="preserve">https://doi.org/10.1162/003465304323023651</w:t>
        </w:r>
      </w:hyperlink>
    </w:p>
    <w:p>
      <w:pPr>
        <w:pStyle w:val="BodyText"/>
      </w:pPr>
      <w:r>
        <w:t xml:space="preserve">Janiso, A., Shukla, P. K., &amp; Bheemeshwar Reddy A. (2024). What explains</w:t>
      </w:r>
      <w:r>
        <w:t xml:space="preserve"> </w:t>
      </w:r>
      <w:r>
        <w:t xml:space="preserve">the gender gap in unpaid housework and care work in</w:t>
      </w:r>
      <w:r>
        <w:t xml:space="preserve"> </w:t>
      </w:r>
      <w:r>
        <w:t xml:space="preserve">India</w:t>
      </w:r>
      <w:r>
        <w:t xml:space="preserve">?</w:t>
      </w:r>
      <w:r>
        <w:t xml:space="preserve"> </w:t>
      </w:r>
      <w:r>
        <w:rPr>
          <w:i/>
          <w:iCs/>
        </w:rPr>
        <w:t xml:space="preserve">Development Policy Review</w:t>
      </w:r>
      <w:r>
        <w:t xml:space="preserve">,</w:t>
      </w:r>
      <w:r>
        <w:t xml:space="preserve"> </w:t>
      </w:r>
      <w:r>
        <w:rPr>
          <w:i/>
          <w:iCs/>
        </w:rPr>
        <w:t xml:space="preserve">42</w:t>
      </w:r>
      <w:r>
        <w:t xml:space="preserve">(1), e12730.</w:t>
      </w:r>
      <w:r>
        <w:t xml:space="preserve"> </w:t>
      </w:r>
      <w:hyperlink r:id="rId74">
        <w:r>
          <w:rPr>
            <w:rStyle w:val="Hyperlink"/>
          </w:rPr>
          <w:t xml:space="preserve">https://doi.org/10.1111/dpr.12730</w:t>
        </w:r>
      </w:hyperlink>
    </w:p>
    <w:p>
      <w:pPr>
        <w:pStyle w:val="BodyText"/>
      </w:pPr>
      <w:r>
        <w:t xml:space="preserve">Jayachandran, S. (2021). Social norms as a barrier to women’s employment</w:t>
      </w:r>
      <w:r>
        <w:t xml:space="preserve"> </w:t>
      </w:r>
      <w:r>
        <w:t xml:space="preserve">in developing countries.</w:t>
      </w:r>
      <w:r>
        <w:t xml:space="preserve"> </w:t>
      </w:r>
      <w:r>
        <w:rPr>
          <w:i/>
          <w:iCs/>
        </w:rPr>
        <w:t xml:space="preserve">IMF Economic Review</w:t>
      </w:r>
      <w:r>
        <w:t xml:space="preserve">,</w:t>
      </w:r>
      <w:r>
        <w:t xml:space="preserve"> </w:t>
      </w:r>
      <w:r>
        <w:rPr>
          <w:i/>
          <w:iCs/>
        </w:rPr>
        <w:t xml:space="preserve">69</w:t>
      </w:r>
      <w:r>
        <w:t xml:space="preserve">(3),</w:t>
      </w:r>
      <w:r>
        <w:t xml:space="preserve"> </w:t>
      </w:r>
      <w:r>
        <w:t xml:space="preserve">576–595.</w:t>
      </w:r>
      <w:r>
        <w:t xml:space="preserve"> </w:t>
      </w:r>
      <w:hyperlink r:id="rId75">
        <w:r>
          <w:rPr>
            <w:rStyle w:val="Hyperlink"/>
          </w:rPr>
          <w:t xml:space="preserve">https://doi.org/10.1057/s41308-021-00140-w</w:t>
        </w:r>
      </w:hyperlink>
    </w:p>
    <w:p>
      <w:pPr>
        <w:pStyle w:val="BodyText"/>
      </w:pPr>
      <w:r>
        <w:t xml:space="preserve">Jensen, R. (2012). Do labor market opportunities affect young women’s</w:t>
      </w:r>
      <w:r>
        <w:t xml:space="preserve"> </w:t>
      </w:r>
      <w:r>
        <w:t xml:space="preserve">work and family decisions? Experimental evidence from</w:t>
      </w:r>
      <w:r>
        <w:t xml:space="preserve"> </w:t>
      </w:r>
      <w:r>
        <w:t xml:space="preserve">India</w:t>
      </w:r>
      <w:r>
        <w:t xml:space="preserve">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127</w:t>
      </w:r>
      <w:r>
        <w:t xml:space="preserve">(2), 753–792.</w:t>
      </w:r>
      <w:r>
        <w:t xml:space="preserve"> </w:t>
      </w:r>
      <w:hyperlink r:id="rId76">
        <w:r>
          <w:rPr>
            <w:rStyle w:val="Hyperlink"/>
          </w:rPr>
          <w:t xml:space="preserve">https://doi.org/10.1093/qje/qjs002</w:t>
        </w:r>
      </w:hyperlink>
    </w:p>
    <w:p>
      <w:pPr>
        <w:pStyle w:val="BodyText"/>
      </w:pPr>
      <w:r>
        <w:t xml:space="preserve">Juster, F. T., &amp; Stafford, F. P. (1991). The allocation of time:</w:t>
      </w:r>
      <w:r>
        <w:t xml:space="preserve"> </w:t>
      </w:r>
      <w:r>
        <w:t xml:space="preserve">Empirical findings, behavioral models, and problems of measurement.</w:t>
      </w:r>
      <w:r>
        <w:t xml:space="preserve"> </w:t>
      </w:r>
      <w:r>
        <w:rPr>
          <w:i/>
          <w:iCs/>
        </w:rPr>
        <w:t xml:space="preserve">Journal of Economic Literature</w:t>
      </w:r>
      <w:r>
        <w:t xml:space="preserve">,</w:t>
      </w:r>
      <w:r>
        <w:t xml:space="preserve"> </w:t>
      </w:r>
      <w:r>
        <w:rPr>
          <w:i/>
          <w:iCs/>
        </w:rPr>
        <w:t xml:space="preserve">29</w:t>
      </w:r>
      <w:r>
        <w:t xml:space="preserve">(2), 471–522.</w:t>
      </w:r>
    </w:p>
    <w:p>
      <w:pPr>
        <w:pStyle w:val="BodyText"/>
      </w:pPr>
      <w:r>
        <w:t xml:space="preserve">Kandiyoti, D. (1988). Bargaining with patriarchy.</w:t>
      </w:r>
      <w:r>
        <w:t xml:space="preserve"> </w:t>
      </w:r>
      <w:r>
        <w:rPr>
          <w:i/>
          <w:iCs/>
        </w:rPr>
        <w:t xml:space="preserve">Gender &amp;</w:t>
      </w:r>
      <w:r>
        <w:rPr>
          <w:i/>
          <w:iCs/>
        </w:rPr>
        <w:t xml:space="preserve"> </w:t>
      </w:r>
      <w:r>
        <w:rPr>
          <w:i/>
          <w:iCs/>
        </w:rPr>
        <w:t xml:space="preserve">Society</w:t>
      </w:r>
      <w:r>
        <w:t xml:space="preserve">,</w:t>
      </w:r>
      <w:r>
        <w:t xml:space="preserve"> </w:t>
      </w:r>
      <w:r>
        <w:rPr>
          <w:i/>
          <w:iCs/>
        </w:rPr>
        <w:t xml:space="preserve">2</w:t>
      </w:r>
      <w:r>
        <w:t xml:space="preserve">(3), 274–290.</w:t>
      </w:r>
      <w:r>
        <w:t xml:space="preserve"> </w:t>
      </w:r>
      <w:hyperlink r:id="rId77">
        <w:r>
          <w:rPr>
            <w:rStyle w:val="Hyperlink"/>
          </w:rPr>
          <w:t xml:space="preserve">https://doi.org/10.1177/089124388002003004</w:t>
        </w:r>
      </w:hyperlink>
    </w:p>
    <w:p>
      <w:pPr>
        <w:pStyle w:val="BodyText"/>
      </w:pPr>
      <w:r>
        <w:t xml:space="preserve">Khalil, U., &amp; Mookerjee, S. (2019). Patrilocal residence and women’s</w:t>
      </w:r>
      <w:r>
        <w:t xml:space="preserve"> </w:t>
      </w:r>
      <w:r>
        <w:t xml:space="preserve">social status: Evidence from</w:t>
      </w:r>
      <w:r>
        <w:t xml:space="preserve"> </w:t>
      </w:r>
      <w:r>
        <w:t xml:space="preserve">South Asia</w:t>
      </w:r>
      <w:r>
        <w:t xml:space="preserve">.</w:t>
      </w:r>
      <w:r>
        <w:t xml:space="preserve"> </w:t>
      </w:r>
      <w:r>
        <w:rPr>
          <w:i/>
          <w:iCs/>
        </w:rPr>
        <w:t xml:space="preserve">Economic Development</w:t>
      </w:r>
      <w:r>
        <w:rPr>
          <w:i/>
          <w:iCs/>
        </w:rPr>
        <w:t xml:space="preserve"> </w:t>
      </w:r>
      <w:r>
        <w:rPr>
          <w:i/>
          <w:iCs/>
        </w:rPr>
        <w:t xml:space="preserve">and Cultural Change</w:t>
      </w:r>
      <w:r>
        <w:t xml:space="preserve">,</w:t>
      </w:r>
      <w:r>
        <w:t xml:space="preserve"> </w:t>
      </w:r>
      <w:r>
        <w:rPr>
          <w:i/>
          <w:iCs/>
        </w:rPr>
        <w:t xml:space="preserve">67</w:t>
      </w:r>
      <w:r>
        <w:t xml:space="preserve">(2), 401–438.</w:t>
      </w:r>
      <w:r>
        <w:t xml:space="preserve"> </w:t>
      </w:r>
      <w:hyperlink r:id="rId78">
        <w:r>
          <w:rPr>
            <w:rStyle w:val="Hyperlink"/>
          </w:rPr>
          <w:t xml:space="preserve">https://doi.org/10.1086/697584</w:t>
        </w:r>
      </w:hyperlink>
    </w:p>
    <w:p>
      <w:pPr>
        <w:pStyle w:val="BodyText"/>
      </w:pPr>
      <w:r>
        <w:t xml:space="preserve">Killewald, A., &amp; Gough, M. (2010). Money isn’t everything: Wives’</w:t>
      </w:r>
      <w:r>
        <w:t xml:space="preserve"> </w:t>
      </w:r>
      <w:r>
        <w:t xml:space="preserve">earnings and housework time.</w:t>
      </w:r>
      <w:r>
        <w:t xml:space="preserve"> </w:t>
      </w:r>
      <w:r>
        <w:rPr>
          <w:i/>
          <w:iCs/>
        </w:rPr>
        <w:t xml:space="preserve">Social Science Research</w:t>
      </w:r>
      <w:r>
        <w:t xml:space="preserve">,</w:t>
      </w:r>
      <w:r>
        <w:t xml:space="preserve"> </w:t>
      </w:r>
      <w:r>
        <w:rPr>
          <w:i/>
          <w:iCs/>
        </w:rPr>
        <w:t xml:space="preserve">39</w:t>
      </w:r>
      <w:r>
        <w:t xml:space="preserve">(6), 987–1003.</w:t>
      </w:r>
      <w:r>
        <w:t xml:space="preserve"> </w:t>
      </w:r>
      <w:hyperlink r:id="rId79">
        <w:r>
          <w:rPr>
            <w:rStyle w:val="Hyperlink"/>
          </w:rPr>
          <w:t xml:space="preserve">https://doi.org/10.1016/j.ssresearch.2010.08.005</w:t>
        </w:r>
      </w:hyperlink>
    </w:p>
    <w:p>
      <w:pPr>
        <w:pStyle w:val="BodyText"/>
      </w:pPr>
      <w:r>
        <w:t xml:space="preserve">Klasen, S., &amp; Pieters, J. (2015). What explains the stagnation of</w:t>
      </w:r>
      <w:r>
        <w:t xml:space="preserve"> </w:t>
      </w:r>
      <w:r>
        <w:t xml:space="preserve">female labor force participation in urban</w:t>
      </w:r>
      <w:r>
        <w:t xml:space="preserve"> </w:t>
      </w:r>
      <w:r>
        <w:t xml:space="preserve">India</w:t>
      </w:r>
      <w:r>
        <w:t xml:space="preserve">?</w:t>
      </w:r>
      <w:r>
        <w:t xml:space="preserve"> </w:t>
      </w:r>
      <w:r>
        <w:rPr>
          <w:i/>
          <w:iCs/>
        </w:rPr>
        <w:t xml:space="preserve">World Bank</w:t>
      </w:r>
      <w:r>
        <w:rPr>
          <w:i/>
          <w:iCs/>
        </w:rPr>
        <w:t xml:space="preserve"> </w:t>
      </w:r>
      <w:r>
        <w:rPr>
          <w:i/>
          <w:iCs/>
        </w:rPr>
        <w:t xml:space="preserve">Economic Review</w:t>
      </w:r>
      <w:r>
        <w:t xml:space="preserve">,</w:t>
      </w:r>
      <w:r>
        <w:t xml:space="preserve"> </w:t>
      </w:r>
      <w:r>
        <w:rPr>
          <w:i/>
          <w:iCs/>
        </w:rPr>
        <w:t xml:space="preserve">29</w:t>
      </w:r>
      <w:r>
        <w:t xml:space="preserve">(3), 449–478.</w:t>
      </w:r>
    </w:p>
    <w:p>
      <w:pPr>
        <w:pStyle w:val="BodyText"/>
      </w:pPr>
      <w:r>
        <w:t xml:space="preserve">Kleven, H., Landais, C., &amp; Søgaard, J. E. (2019). Children and gender</w:t>
      </w:r>
      <w:r>
        <w:t xml:space="preserve"> </w:t>
      </w:r>
      <w:r>
        <w:t xml:space="preserve">inequality: Evidence from</w:t>
      </w:r>
      <w:r>
        <w:t xml:space="preserve"> </w:t>
      </w:r>
      <w:r>
        <w:t xml:space="preserve">Denmark</w:t>
      </w:r>
      <w:r>
        <w:t xml:space="preserve">.</w:t>
      </w:r>
      <w:r>
        <w:t xml:space="preserve"> </w:t>
      </w:r>
      <w:r>
        <w:rPr>
          <w:i/>
          <w:iCs/>
        </w:rPr>
        <w:t xml:space="preserve">American Economic Journal:</w:t>
      </w:r>
      <w:r>
        <w:rPr>
          <w:i/>
          <w:iCs/>
        </w:rPr>
        <w:t xml:space="preserve"> </w:t>
      </w:r>
      <w:r>
        <w:rPr>
          <w:i/>
          <w:iCs/>
        </w:rPr>
        <w:t xml:space="preserve">Applied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(4), 181–209.</w:t>
      </w:r>
      <w:r>
        <w:t xml:space="preserve"> </w:t>
      </w:r>
      <w:hyperlink r:id="rId80">
        <w:r>
          <w:rPr>
            <w:rStyle w:val="Hyperlink"/>
          </w:rPr>
          <w:t xml:space="preserve">https://doi.org/10.1257/app.20180010</w:t>
        </w:r>
      </w:hyperlink>
    </w:p>
    <w:p>
      <w:pPr>
        <w:pStyle w:val="BodyText"/>
      </w:pPr>
      <w:r>
        <w:t xml:space="preserve">Lachance-Grzela, M., &amp; Bouchard, G. (2010). Why do women do the lion’s</w:t>
      </w:r>
      <w:r>
        <w:t xml:space="preserve"> </w:t>
      </w:r>
      <w:r>
        <w:t xml:space="preserve">share of housework? A decade of research.</w:t>
      </w:r>
      <w:r>
        <w:t xml:space="preserve"> </w:t>
      </w:r>
      <w:r>
        <w:rPr>
          <w:i/>
          <w:iCs/>
        </w:rPr>
        <w:t xml:space="preserve">Sex Roles</w:t>
      </w:r>
      <w:r>
        <w:t xml:space="preserve">,</w:t>
      </w:r>
      <w:r>
        <w:t xml:space="preserve"> </w:t>
      </w:r>
      <w:r>
        <w:rPr>
          <w:i/>
          <w:iCs/>
        </w:rPr>
        <w:t xml:space="preserve">63</w:t>
      </w:r>
      <w:r>
        <w:t xml:space="preserve">(11), 767–780.</w:t>
      </w:r>
      <w:r>
        <w:t xml:space="preserve"> </w:t>
      </w:r>
      <w:hyperlink r:id="rId81">
        <w:r>
          <w:rPr>
            <w:rStyle w:val="Hyperlink"/>
          </w:rPr>
          <w:t xml:space="preserve">https://doi.org/10.1007/s11199-010-9797-z</w:t>
        </w:r>
      </w:hyperlink>
    </w:p>
    <w:p>
      <w:pPr>
        <w:pStyle w:val="BodyText"/>
      </w:pPr>
      <w:r>
        <w:t xml:space="preserve">Lundberg, S., &amp; Pollak, R. A. (1993). Separate spheres bargaining and</w:t>
      </w:r>
      <w:r>
        <w:t xml:space="preserve"> </w:t>
      </w:r>
      <w:r>
        <w:t xml:space="preserve">the marriage market.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,</w:t>
      </w:r>
      <w:r>
        <w:t xml:space="preserve"> </w:t>
      </w:r>
      <w:r>
        <w:rPr>
          <w:i/>
          <w:iCs/>
        </w:rPr>
        <w:t xml:space="preserve">101</w:t>
      </w:r>
      <w:r>
        <w:t xml:space="preserve">(6),</w:t>
      </w:r>
      <w:r>
        <w:t xml:space="preserve"> </w:t>
      </w:r>
      <w:r>
        <w:t xml:space="preserve">988–1010.</w:t>
      </w:r>
      <w:r>
        <w:t xml:space="preserve"> </w:t>
      </w:r>
      <w:hyperlink r:id="rId82">
        <w:r>
          <w:rPr>
            <w:rStyle w:val="Hyperlink"/>
          </w:rPr>
          <w:t xml:space="preserve">https://doi.org/10.1086/261912</w:t>
        </w:r>
      </w:hyperlink>
    </w:p>
    <w:p>
      <w:pPr>
        <w:pStyle w:val="BodyText"/>
      </w:pPr>
      <w:r>
        <w:t xml:space="preserve">Manser, M., &amp; Brown, M. (1980). Marriage and household decision-making:</w:t>
      </w:r>
      <w:r>
        <w:t xml:space="preserve"> </w:t>
      </w:r>
      <w:r>
        <w:t xml:space="preserve">A bargaining analysis.</w:t>
      </w:r>
      <w:r>
        <w:t xml:space="preserve"> </w:t>
      </w:r>
      <w:r>
        <w:rPr>
          <w:i/>
          <w:iCs/>
        </w:rPr>
        <w:t xml:space="preserve">International Economic Review</w:t>
      </w:r>
      <w:r>
        <w:t xml:space="preserve">,</w:t>
      </w:r>
      <w:r>
        <w:t xml:space="preserve"> </w:t>
      </w:r>
      <w:r>
        <w:rPr>
          <w:i/>
          <w:iCs/>
        </w:rPr>
        <w:t xml:space="preserve">21</w:t>
      </w:r>
      <w:r>
        <w:t xml:space="preserve">(1), 31–44.</w:t>
      </w:r>
      <w:r>
        <w:t xml:space="preserve"> </w:t>
      </w:r>
      <w:hyperlink r:id="rId83">
        <w:r>
          <w:rPr>
            <w:rStyle w:val="Hyperlink"/>
          </w:rPr>
          <w:t xml:space="preserve">https://doi.org/10.2307/2526238</w:t>
        </w:r>
      </w:hyperlink>
    </w:p>
    <w:p>
      <w:pPr>
        <w:pStyle w:val="BodyText"/>
      </w:pPr>
      <w:r>
        <w:t xml:space="preserve">Mattingly, M. J., &amp; Bianchi, S. M. (2003). Gender differences in the</w:t>
      </w:r>
      <w:r>
        <w:t xml:space="preserve"> </w:t>
      </w:r>
      <w:r>
        <w:t xml:space="preserve">quantity and quality of free time: The</w:t>
      </w:r>
      <w:r>
        <w:t xml:space="preserve"> </w:t>
      </w:r>
      <w:r>
        <w:t xml:space="preserve">U.S.</w:t>
      </w:r>
      <w:r>
        <w:t xml:space="preserve"> </w:t>
      </w:r>
      <w:r>
        <w:t xml:space="preserve">experience.</w:t>
      </w:r>
      <w:r>
        <w:t xml:space="preserve"> </w:t>
      </w:r>
      <w:r>
        <w:rPr>
          <w:i/>
          <w:iCs/>
        </w:rPr>
        <w:t xml:space="preserve">Social</w:t>
      </w:r>
      <w:r>
        <w:rPr>
          <w:i/>
          <w:iCs/>
        </w:rPr>
        <w:t xml:space="preserve"> </w:t>
      </w:r>
      <w:r>
        <w:rPr>
          <w:i/>
          <w:iCs/>
        </w:rPr>
        <w:t xml:space="preserve">Forces</w:t>
      </w:r>
      <w:r>
        <w:t xml:space="preserve">,</w:t>
      </w:r>
      <w:r>
        <w:t xml:space="preserve"> </w:t>
      </w:r>
      <w:r>
        <w:rPr>
          <w:i/>
          <w:iCs/>
        </w:rPr>
        <w:t xml:space="preserve">81</w:t>
      </w:r>
      <w:r>
        <w:t xml:space="preserve">(3), 999–1030.</w:t>
      </w:r>
      <w:r>
        <w:t xml:space="preserve"> </w:t>
      </w:r>
      <w:hyperlink r:id="rId84">
        <w:r>
          <w:rPr>
            <w:rStyle w:val="Hyperlink"/>
          </w:rPr>
          <w:t xml:space="preserve">https://doi.org/10.1353/sof.2003.0036</w:t>
        </w:r>
      </w:hyperlink>
    </w:p>
    <w:p>
      <w:pPr>
        <w:pStyle w:val="BodyText"/>
      </w:pPr>
      <w:r>
        <w:t xml:space="preserve">Maume, D. J., Sebastian, R. A., &amp; Bardo, A. R. (2010). Gender,</w:t>
      </w:r>
      <w:r>
        <w:t xml:space="preserve"> </w:t>
      </w:r>
      <w:r>
        <w:t xml:space="preserve">work-family responsibilities, and sleep.</w:t>
      </w:r>
      <w:r>
        <w:t xml:space="preserve"> </w:t>
      </w:r>
      <w:r>
        <w:rPr>
          <w:i/>
          <w:iCs/>
        </w:rPr>
        <w:t xml:space="preserve">Gender &amp; Society</w:t>
      </w:r>
      <w:r>
        <w:t xml:space="preserve">,</w:t>
      </w:r>
      <w:r>
        <w:t xml:space="preserve"> </w:t>
      </w:r>
      <w:r>
        <w:rPr>
          <w:i/>
          <w:iCs/>
        </w:rPr>
        <w:t xml:space="preserve">24</w:t>
      </w:r>
      <w:r>
        <w:t xml:space="preserve">(6), 746–768.</w:t>
      </w:r>
      <w:r>
        <w:t xml:space="preserve"> </w:t>
      </w:r>
      <w:hyperlink r:id="rId85">
        <w:r>
          <w:rPr>
            <w:rStyle w:val="Hyperlink"/>
          </w:rPr>
          <w:t xml:space="preserve">https://doi.org/10.1177/0891243210386949</w:t>
        </w:r>
      </w:hyperlink>
    </w:p>
    <w:p>
      <w:pPr>
        <w:pStyle w:val="BodyText"/>
      </w:pPr>
      <w:r>
        <w:t xml:space="preserve">McElroy, M. B., &amp; Horney, M. J. (1981). Nash-bargained household</w:t>
      </w:r>
      <w:r>
        <w:t xml:space="preserve"> </w:t>
      </w:r>
      <w:r>
        <w:t xml:space="preserve">decisions: Toward a generalization of the theory of demand.</w:t>
      </w:r>
      <w:r>
        <w:t xml:space="preserve"> </w:t>
      </w:r>
      <w:r>
        <w:rPr>
          <w:i/>
          <w:iCs/>
        </w:rPr>
        <w:t xml:space="preserve">International Economic Review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(2), 333–349.</w:t>
      </w:r>
      <w:r>
        <w:t xml:space="preserve"> </w:t>
      </w:r>
      <w:hyperlink r:id="rId86">
        <w:r>
          <w:rPr>
            <w:rStyle w:val="Hyperlink"/>
          </w:rPr>
          <w:t xml:space="preserve">https://doi.org/10.2307/2526280</w:t>
        </w:r>
      </w:hyperlink>
    </w:p>
    <w:p>
      <w:pPr>
        <w:pStyle w:val="BodyText"/>
      </w:pPr>
      <w:r>
        <w:t xml:space="preserve">Mehrotra, S., &amp; Parida, J. K. (2017). Why is the labour force</w:t>
      </w:r>
      <w:r>
        <w:t xml:space="preserve"> </w:t>
      </w:r>
      <w:r>
        <w:t xml:space="preserve">participation of women declining in</w:t>
      </w:r>
      <w:r>
        <w:t xml:space="preserve"> </w:t>
      </w:r>
      <w:r>
        <w:t xml:space="preserve">India</w:t>
      </w:r>
      <w:r>
        <w:t xml:space="preserve">?</w:t>
      </w:r>
      <w:r>
        <w:t xml:space="preserve"> </w:t>
      </w:r>
      <w:r>
        <w:rPr>
          <w:i/>
          <w:iCs/>
        </w:rPr>
        <w:t xml:space="preserve">World Development</w:t>
      </w:r>
      <w:r>
        <w:t xml:space="preserve">,</w:t>
      </w:r>
      <w:r>
        <w:t xml:space="preserve"> </w:t>
      </w:r>
      <w:r>
        <w:rPr>
          <w:i/>
          <w:iCs/>
        </w:rPr>
        <w:t xml:space="preserve">98</w:t>
      </w:r>
      <w:r>
        <w:t xml:space="preserve">, 360–380.</w:t>
      </w:r>
      <w:r>
        <w:t xml:space="preserve"> </w:t>
      </w:r>
      <w:hyperlink r:id="rId87">
        <w:r>
          <w:rPr>
            <w:rStyle w:val="Hyperlink"/>
          </w:rPr>
          <w:t xml:space="preserve">https://doi.org/10.1016/j.worlddev.2017.05.003</w:t>
        </w:r>
      </w:hyperlink>
    </w:p>
    <w:p>
      <w:pPr>
        <w:pStyle w:val="BodyText"/>
      </w:pPr>
      <w:r>
        <w:t xml:space="preserve">National Statistical Office. (2020).</w:t>
      </w:r>
      <w:r>
        <w:t xml:space="preserve"> </w:t>
      </w:r>
      <w:r>
        <w:rPr>
          <w:i/>
          <w:iCs/>
        </w:rPr>
        <w:t xml:space="preserve">Time use in</w:t>
      </w:r>
      <w:r>
        <w:rPr>
          <w:i/>
          <w:iCs/>
        </w:rPr>
        <w:t xml:space="preserve"> </w:t>
      </w:r>
      <w:r>
        <w:rPr>
          <w:i/>
          <w:iCs/>
        </w:rPr>
        <w:t xml:space="preserve">India</w:t>
      </w:r>
      <w:r>
        <w:rPr>
          <w:i/>
          <w:iCs/>
        </w:rPr>
        <w:t xml:space="preserve"> </w:t>
      </w:r>
      <w:r>
        <w:rPr>
          <w:i/>
          <w:iCs/>
        </w:rPr>
        <w:t xml:space="preserve">2019</w:t>
      </w:r>
      <w:r>
        <w:t xml:space="preserve">.</w:t>
      </w:r>
      <w:r>
        <w:t xml:space="preserve"> </w:t>
      </w:r>
      <w:r>
        <w:t xml:space="preserve">Ministry of Statistics and Programme Implementation</w:t>
      </w:r>
      <w:r>
        <w:t xml:space="preserve">.</w:t>
      </w:r>
    </w:p>
    <w:p>
      <w:pPr>
        <w:pStyle w:val="BodyText"/>
      </w:pPr>
      <w:r>
        <w:t xml:space="preserve">National Statistics Office. (2025).</w:t>
      </w:r>
      <w:r>
        <w:t xml:space="preserve"> </w:t>
      </w:r>
      <w:r>
        <w:rPr>
          <w:i/>
          <w:iCs/>
        </w:rPr>
        <w:t xml:space="preserve">Time use survey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January–December</w:t>
      </w:r>
      <w:r>
        <w:rPr>
          <w:i/>
          <w:iCs/>
        </w:rPr>
        <w:t xml:space="preserve"> </w:t>
      </w:r>
      <w:r>
        <w:rPr>
          <w:i/>
          <w:iCs/>
        </w:rPr>
        <w:t xml:space="preserve">2024)</w:t>
      </w:r>
      <w:r>
        <w:t xml:space="preserve">.</w:t>
      </w:r>
      <w:r>
        <w:t xml:space="preserve"> </w:t>
      </w:r>
      <w:r>
        <w:t xml:space="preserve">Ministry of Statistics and Programme</w:t>
      </w:r>
      <w:r>
        <w:t xml:space="preserve"> </w:t>
      </w:r>
      <w:r>
        <w:t xml:space="preserve">Implementation</w:t>
      </w:r>
      <w:r>
        <w:t xml:space="preserve">.</w:t>
      </w:r>
    </w:p>
    <w:p>
      <w:pPr>
        <w:pStyle w:val="BodyText"/>
      </w:pPr>
      <w:r>
        <w:t xml:space="preserve">Nomaguchi, K. M., &amp; Bianchi, S. M. (2004). Exercise time: Gender</w:t>
      </w:r>
      <w:r>
        <w:t xml:space="preserve"> </w:t>
      </w:r>
      <w:r>
        <w:t xml:space="preserve">differences in the effects of marriage, parenthood, and employment.</w:t>
      </w:r>
      <w:r>
        <w:t xml:space="preserve"> </w:t>
      </w:r>
      <w:r>
        <w:rPr>
          <w:i/>
          <w:iCs/>
        </w:rPr>
        <w:t xml:space="preserve">Journal of Marriage and Family</w:t>
      </w:r>
      <w:r>
        <w:t xml:space="preserve">,</w:t>
      </w:r>
      <w:r>
        <w:t xml:space="preserve"> </w:t>
      </w:r>
      <w:r>
        <w:rPr>
          <w:i/>
          <w:iCs/>
        </w:rPr>
        <w:t xml:space="preserve">66</w:t>
      </w:r>
      <w:r>
        <w:t xml:space="preserve">(2), 413–430.</w:t>
      </w:r>
      <w:r>
        <w:t xml:space="preserve"> </w:t>
      </w:r>
      <w:hyperlink r:id="rId88">
        <w:r>
          <w:rPr>
            <w:rStyle w:val="Hyperlink"/>
          </w:rPr>
          <w:t xml:space="preserve">https://doi.org/10.1111/j.1741-3737.2004.00029.x</w:t>
        </w:r>
      </w:hyperlink>
    </w:p>
    <w:p>
      <w:pPr>
        <w:pStyle w:val="BodyText"/>
      </w:pPr>
      <w:r>
        <w:t xml:space="preserve">Oster, E. (2019). Unobservable selection and coefficient stability:</w:t>
      </w:r>
      <w:r>
        <w:t xml:space="preserve"> </w:t>
      </w:r>
      <w:r>
        <w:t xml:space="preserve">Theory and evidence.</w:t>
      </w:r>
      <w:r>
        <w:t xml:space="preserve"> </w:t>
      </w:r>
      <w:r>
        <w:rPr>
          <w:i/>
          <w:iCs/>
        </w:rPr>
        <w:t xml:space="preserve">Journal of Business &amp; Economic Statistics</w:t>
      </w:r>
      <w:r>
        <w:t xml:space="preserve">,</w:t>
      </w:r>
      <w:r>
        <w:t xml:space="preserve"> </w:t>
      </w:r>
      <w:r>
        <w:rPr>
          <w:i/>
          <w:iCs/>
        </w:rPr>
        <w:t xml:space="preserve">37</w:t>
      </w:r>
      <w:r>
        <w:t xml:space="preserve">(2), 187–204.</w:t>
      </w:r>
      <w:r>
        <w:t xml:space="preserve"> </w:t>
      </w:r>
      <w:hyperlink r:id="rId89">
        <w:r>
          <w:rPr>
            <w:rStyle w:val="Hyperlink"/>
          </w:rPr>
          <w:t xml:space="preserve">https://doi.org/10.1080/07350015.2016.1227711</w:t>
        </w:r>
      </w:hyperlink>
    </w:p>
    <w:p>
      <w:pPr>
        <w:pStyle w:val="BodyText"/>
      </w:pPr>
      <w:r>
        <w:t xml:space="preserve">Rahman, L., &amp; Rao, V. (2004). The determinants of gender equity in</w:t>
      </w:r>
      <w:r>
        <w:t xml:space="preserve"> </w:t>
      </w:r>
      <w:r>
        <w:t xml:space="preserve">India</w:t>
      </w:r>
      <w:r>
        <w:t xml:space="preserve">: Examining</w:t>
      </w:r>
      <w:r>
        <w:t xml:space="preserve"> </w:t>
      </w:r>
      <w:r>
        <w:t xml:space="preserve">Dyson</w:t>
      </w:r>
      <w:r>
        <w:t xml:space="preserve"> </w:t>
      </w:r>
      <w:r>
        <w:t xml:space="preserve">and</w:t>
      </w:r>
      <w:r>
        <w:t xml:space="preserve"> </w:t>
      </w:r>
      <w:r>
        <w:t xml:space="preserve">Moore’s</w:t>
      </w:r>
      <w:r>
        <w:t xml:space="preserve"> </w:t>
      </w:r>
      <w:r>
        <w:t xml:space="preserve">thesis with new data.</w:t>
      </w:r>
      <w:r>
        <w:t xml:space="preserve"> </w:t>
      </w:r>
      <w:r>
        <w:rPr>
          <w:i/>
          <w:iCs/>
        </w:rPr>
        <w:t xml:space="preserve">Population and Development Review</w:t>
      </w:r>
      <w:r>
        <w:t xml:space="preserve">,</w:t>
      </w:r>
      <w:r>
        <w:t xml:space="preserve"> </w:t>
      </w:r>
      <w:r>
        <w:rPr>
          <w:i/>
          <w:iCs/>
        </w:rPr>
        <w:t xml:space="preserve">30</w:t>
      </w:r>
      <w:r>
        <w:t xml:space="preserve">(2), 239–268.</w:t>
      </w:r>
      <w:r>
        <w:t xml:space="preserve"> </w:t>
      </w:r>
      <w:hyperlink r:id="rId90">
        <w:r>
          <w:rPr>
            <w:rStyle w:val="Hyperlink"/>
          </w:rPr>
          <w:t xml:space="preserve">https://doi.org/10.1111/j.1728-4457.2004.012_1.x</w:t>
        </w:r>
      </w:hyperlink>
    </w:p>
    <w:p>
      <w:pPr>
        <w:pStyle w:val="BodyText"/>
      </w:pPr>
      <w:r>
        <w:t xml:space="preserve">Ridgeway, C. L., &amp; Correll, S. J. (2004). Unpacking the gender system:</w:t>
      </w:r>
      <w:r>
        <w:t xml:space="preserve"> </w:t>
      </w:r>
      <w:r>
        <w:t xml:space="preserve">A theoretical perspective on gender beliefs and social relations.</w:t>
      </w:r>
      <w:r>
        <w:t xml:space="preserve"> </w:t>
      </w:r>
      <w:r>
        <w:rPr>
          <w:i/>
          <w:iCs/>
        </w:rPr>
        <w:t xml:space="preserve">Gender &amp; Society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(4), 510–531.</w:t>
      </w:r>
    </w:p>
    <w:p>
      <w:pPr>
        <w:pStyle w:val="BodyText"/>
      </w:pPr>
      <w:r>
        <w:t xml:space="preserve">Risman, B. J. (2004). Gender as a social structure: Theory wrestling</w:t>
      </w:r>
      <w:r>
        <w:t xml:space="preserve"> </w:t>
      </w:r>
      <w:r>
        <w:t xml:space="preserve">with activism.</w:t>
      </w:r>
      <w:r>
        <w:t xml:space="preserve"> </w:t>
      </w:r>
      <w:r>
        <w:rPr>
          <w:i/>
          <w:iCs/>
        </w:rPr>
        <w:t xml:space="preserve">Gender &amp; Society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(4), 429–450.</w:t>
      </w:r>
    </w:p>
    <w:p>
      <w:pPr>
        <w:pStyle w:val="BodyText"/>
      </w:pPr>
      <w:r>
        <w:t xml:space="preserve">Robinson, J. P., &amp; Godbey, G. (1997).</w:t>
      </w:r>
      <w:r>
        <w:t xml:space="preserve"> </w:t>
      </w:r>
      <w:r>
        <w:rPr>
          <w:i/>
          <w:iCs/>
        </w:rPr>
        <w:t xml:space="preserve">Time for life: The</w:t>
      </w:r>
      <w:r>
        <w:rPr>
          <w:i/>
          <w:iCs/>
        </w:rPr>
        <w:t xml:space="preserve"> </w:t>
      </w:r>
      <w:r>
        <w:rPr>
          <w:i/>
          <w:iCs/>
        </w:rPr>
        <w:t xml:space="preserve">surprising ways americans use their time</w:t>
      </w:r>
      <w:r>
        <w:t xml:space="preserve">. Pennsylvania State University</w:t>
      </w:r>
      <w:r>
        <w:t xml:space="preserve"> </w:t>
      </w:r>
      <w:r>
        <w:t xml:space="preserve">Press.</w:t>
      </w:r>
    </w:p>
    <w:p>
      <w:pPr>
        <w:pStyle w:val="BodyText"/>
      </w:pPr>
      <w:r>
        <w:t xml:space="preserve">Rosenbaum, P. R., &amp; Rubin, D. B. (1983). The central role of the</w:t>
      </w:r>
      <w:r>
        <w:t xml:space="preserve"> </w:t>
      </w:r>
      <w:r>
        <w:t xml:space="preserve">propensity score in observational studies for causal effects.</w:t>
      </w:r>
      <w:r>
        <w:t xml:space="preserve"> </w:t>
      </w:r>
      <w:r>
        <w:rPr>
          <w:i/>
          <w:iCs/>
        </w:rPr>
        <w:t xml:space="preserve">Biometrika</w:t>
      </w:r>
      <w:r>
        <w:t xml:space="preserve">,</w:t>
      </w:r>
      <w:r>
        <w:t xml:space="preserve"> </w:t>
      </w:r>
      <w:r>
        <w:rPr>
          <w:i/>
          <w:iCs/>
        </w:rPr>
        <w:t xml:space="preserve">70</w:t>
      </w:r>
      <w:r>
        <w:t xml:space="preserve">(1), 41–55.</w:t>
      </w:r>
      <w:r>
        <w:t xml:space="preserve"> </w:t>
      </w:r>
      <w:hyperlink r:id="rId91">
        <w:r>
          <w:rPr>
            <w:rStyle w:val="Hyperlink"/>
          </w:rPr>
          <w:t xml:space="preserve">https://doi.org/10.1093/biomet/70.1.41</w:t>
        </w:r>
      </w:hyperlink>
    </w:p>
    <w:p>
      <w:pPr>
        <w:pStyle w:val="BodyText"/>
      </w:pPr>
      <w:r>
        <w:t xml:space="preserve">Sanchez, L., &amp; Thomson, E. (1997). Becoming mothers and fathers:</w:t>
      </w:r>
      <w:r>
        <w:t xml:space="preserve"> </w:t>
      </w:r>
      <w:r>
        <w:t xml:space="preserve">Parenthood, gender, and the division of labor.</w:t>
      </w:r>
      <w:r>
        <w:t xml:space="preserve"> </w:t>
      </w:r>
      <w:r>
        <w:rPr>
          <w:i/>
          <w:iCs/>
        </w:rPr>
        <w:t xml:space="preserve">Gender &amp; Society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(6), 747–772.</w:t>
      </w:r>
    </w:p>
    <w:p>
      <w:pPr>
        <w:pStyle w:val="BodyText"/>
      </w:pPr>
      <w:r>
        <w:t xml:space="preserve">Sarkisian, N., &amp; Gerstel, N. (2016). Does singlehood isolate or</w:t>
      </w:r>
      <w:r>
        <w:t xml:space="preserve"> </w:t>
      </w:r>
      <w:r>
        <w:t xml:space="preserve">integrate? Examining the link between marital status and ties to kin,</w:t>
      </w:r>
      <w:r>
        <w:t xml:space="preserve"> </w:t>
      </w:r>
      <w:r>
        <w:t xml:space="preserve">friends, and neighbors.</w:t>
      </w:r>
      <w:r>
        <w:t xml:space="preserve"> </w:t>
      </w:r>
      <w:r>
        <w:rPr>
          <w:i/>
          <w:iCs/>
        </w:rPr>
        <w:t xml:space="preserve">Journal of Social and Personal</w:t>
      </w:r>
      <w:r>
        <w:rPr>
          <w:i/>
          <w:iCs/>
        </w:rPr>
        <w:t xml:space="preserve"> </w:t>
      </w:r>
      <w:r>
        <w:rPr>
          <w:i/>
          <w:iCs/>
        </w:rPr>
        <w:t xml:space="preserve">Relationships</w:t>
      </w:r>
      <w:r>
        <w:t xml:space="preserve">,</w:t>
      </w:r>
      <w:r>
        <w:t xml:space="preserve"> </w:t>
      </w:r>
      <w:r>
        <w:rPr>
          <w:i/>
          <w:iCs/>
        </w:rPr>
        <w:t xml:space="preserve">33</w:t>
      </w:r>
      <w:r>
        <w:t xml:space="preserve">(3), 361–384.</w:t>
      </w:r>
      <w:r>
        <w:t xml:space="preserve"> </w:t>
      </w:r>
      <w:hyperlink r:id="rId92">
        <w:r>
          <w:rPr>
            <w:rStyle w:val="Hyperlink"/>
          </w:rPr>
          <w:t xml:space="preserve">https://doi.org/10.1177/0265407515597564</w:t>
        </w:r>
      </w:hyperlink>
    </w:p>
    <w:p>
      <w:pPr>
        <w:pStyle w:val="BodyText"/>
      </w:pPr>
      <w:r>
        <w:t xml:space="preserve">Sen, A. K. (1990). Gender and cooperative conflicts. In I. Tinker (Ed.),</w:t>
      </w:r>
      <w:r>
        <w:t xml:space="preserve"> </w:t>
      </w:r>
      <w:r>
        <w:rPr>
          <w:i/>
          <w:iCs/>
        </w:rPr>
        <w:t xml:space="preserve">Persistent inequalities: Women and world development</w:t>
      </w:r>
      <w:r>
        <w:t xml:space="preserve"> </w:t>
      </w:r>
      <w:r>
        <w:t xml:space="preserve">(pp.</w:t>
      </w:r>
      <w:r>
        <w:t xml:space="preserve"> </w:t>
      </w:r>
      <w:r>
        <w:t xml:space="preserve">123–149). Oxford University Press.</w:t>
      </w:r>
    </w:p>
    <w:p>
      <w:pPr>
        <w:pStyle w:val="BodyText"/>
      </w:pPr>
      <w:r>
        <w:t xml:space="preserve">Shelton, B. A., &amp; John, D. (1996). The division of household labor.</w:t>
      </w:r>
      <w:r>
        <w:t xml:space="preserve"> </w:t>
      </w:r>
      <w:r>
        <w:rPr>
          <w:i/>
          <w:iCs/>
        </w:rPr>
        <w:t xml:space="preserve">Annual Review of Sociology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, 299–322.</w:t>
      </w:r>
      <w:r>
        <w:t xml:space="preserve"> </w:t>
      </w:r>
      <w:hyperlink r:id="rId93">
        <w:r>
          <w:rPr>
            <w:rStyle w:val="Hyperlink"/>
          </w:rPr>
          <w:t xml:space="preserve">https://doi.org/10.1146/annurev.soc.22.1.299</w:t>
        </w:r>
      </w:hyperlink>
    </w:p>
    <w:p>
      <w:pPr>
        <w:pStyle w:val="BodyText"/>
      </w:pPr>
      <w:r>
        <w:t xml:space="preserve">Solon, G., Haider, S. J., &amp; Wooldridge, J. M. (2015). What are we</w:t>
      </w:r>
      <w:r>
        <w:t xml:space="preserve"> </w:t>
      </w:r>
      <w:r>
        <w:t xml:space="preserve">weighting for?</w:t>
      </w:r>
      <w:r>
        <w:t xml:space="preserve"> </w:t>
      </w:r>
      <w:r>
        <w:rPr>
          <w:i/>
          <w:iCs/>
        </w:rPr>
        <w:t xml:space="preserve">Journal of Human Resources</w:t>
      </w:r>
      <w:r>
        <w:t xml:space="preserve">,</w:t>
      </w:r>
      <w:r>
        <w:t xml:space="preserve"> </w:t>
      </w:r>
      <w:r>
        <w:rPr>
          <w:i/>
          <w:iCs/>
        </w:rPr>
        <w:t xml:space="preserve">50</w:t>
      </w:r>
      <w:r>
        <w:t xml:space="preserve">(2),</w:t>
      </w:r>
      <w:r>
        <w:t xml:space="preserve"> </w:t>
      </w:r>
      <w:r>
        <w:t xml:space="preserve">301–316.</w:t>
      </w:r>
      <w:r>
        <w:t xml:space="preserve"> </w:t>
      </w:r>
      <w:hyperlink r:id="rId94">
        <w:r>
          <w:rPr>
            <w:rStyle w:val="Hyperlink"/>
          </w:rPr>
          <w:t xml:space="preserve">https://doi.org/10.3368/jhr.50.2.301</w:t>
        </w:r>
      </w:hyperlink>
    </w:p>
    <w:p>
      <w:pPr>
        <w:pStyle w:val="BodyText"/>
      </w:pPr>
      <w:r>
        <w:t xml:space="preserve">South, S. J., &amp; Spitze, G. (1994). Housework in marital and nonmarital</w:t>
      </w:r>
      <w:r>
        <w:t xml:space="preserve"> </w:t>
      </w:r>
      <w:r>
        <w:t xml:space="preserve">households.</w:t>
      </w:r>
      <w:r>
        <w:t xml:space="preserve"> </w:t>
      </w:r>
      <w:r>
        <w:rPr>
          <w:i/>
          <w:iCs/>
        </w:rPr>
        <w:t xml:space="preserve">American Sociological Review</w:t>
      </w:r>
      <w:r>
        <w:t xml:space="preserve">,</w:t>
      </w:r>
      <w:r>
        <w:t xml:space="preserve"> </w:t>
      </w:r>
      <w:r>
        <w:rPr>
          <w:i/>
          <w:iCs/>
        </w:rPr>
        <w:t xml:space="preserve">59</w:t>
      </w:r>
      <w:r>
        <w:t xml:space="preserve">(3), 327–347.</w:t>
      </w:r>
      <w:r>
        <w:t xml:space="preserve"> </w:t>
      </w:r>
      <w:hyperlink r:id="rId95">
        <w:r>
          <w:rPr>
            <w:rStyle w:val="Hyperlink"/>
          </w:rPr>
          <w:t xml:space="preserve">https://doi.org/10.2307/2095937</w:t>
        </w:r>
      </w:hyperlink>
    </w:p>
    <w:p>
      <w:pPr>
        <w:pStyle w:val="BodyText"/>
      </w:pPr>
      <w:r>
        <w:t xml:space="preserve">United Nations Statistics Division. (2016).</w:t>
      </w:r>
      <w:r>
        <w:t xml:space="preserve"> </w:t>
      </w:r>
      <w:r>
        <w:rPr>
          <w:i/>
          <w:iCs/>
        </w:rPr>
        <w:t xml:space="preserve">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of activities for time-use statistics 2016 (</w:t>
      </w:r>
      <w:r>
        <w:rPr>
          <w:i/>
          <w:iCs/>
        </w:rPr>
        <w:t xml:space="preserve">ICATUS</w:t>
      </w:r>
      <w:r>
        <w:rPr>
          <w:i/>
          <w:iCs/>
        </w:rPr>
        <w:t xml:space="preserve"> </w:t>
      </w:r>
      <w:r>
        <w:rPr>
          <w:i/>
          <w:iCs/>
        </w:rPr>
        <w:t xml:space="preserve">2016)</w:t>
      </w:r>
      <w:r>
        <w:t xml:space="preserve">. United Nations.</w:t>
      </w:r>
    </w:p>
    <w:p>
      <w:pPr>
        <w:pStyle w:val="BodyText"/>
      </w:pPr>
      <w:r>
        <w:t xml:space="preserve">West, C., &amp; Zimmerman, D. H. (1987). Doing gender.</w:t>
      </w:r>
      <w:r>
        <w:t xml:space="preserve"> </w:t>
      </w:r>
      <w:r>
        <w:rPr>
          <w:i/>
          <w:iCs/>
        </w:rPr>
        <w:t xml:space="preserve">Gender &amp;</w:t>
      </w:r>
      <w:r>
        <w:rPr>
          <w:i/>
          <w:iCs/>
        </w:rPr>
        <w:t xml:space="preserve"> </w:t>
      </w:r>
      <w:r>
        <w:rPr>
          <w:i/>
          <w:iCs/>
        </w:rPr>
        <w:t xml:space="preserve">Society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(2), 125–151.</w:t>
      </w:r>
      <w:r>
        <w:t xml:space="preserve"> </w:t>
      </w:r>
      <w:hyperlink r:id="rId96">
        <w:r>
          <w:rPr>
            <w:rStyle w:val="Hyperlink"/>
          </w:rPr>
          <w:t xml:space="preserve">https://doi.org/10.1177/0891243287001002002</w:t>
        </w:r>
      </w:hyperlink>
    </w:p>
    <w:bookmarkEnd w:id="97"/>
    <w:sectPr>
      <w:footerReference w:type="default" r:id="rId9"/>
      <w:footnotePr>
        <w:numRestart w:val="eachSect"/>
      </w:footnotePr>
      <w:pgMar w:left="1440" w:right="1440" w:top="1440" w:bottom="144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 w:line="48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 w:line="480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keepLines w:val="0"/>
      <w:spacing w:after="80" w:line="480" w:lineRule="auto"/>
      <w:contextualSpacing/>
      <w:jc w:val="center"/>
    </w:pPr>
    <w:rPr>
      <w:rFonts w:ascii="Times New Roman" w:cs="Times New Roman" w:eastAsia="Times New Roman" w:hAnsi="Times New Roman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spacing w:line="480" w:lineRule="auto"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val="000000"/>
      <w:spacing w:line="480" w:lineRule="auto"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 w:val="0"/>
      <w:keepLines w:val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 w:val="0"/>
      <w:keepLines w:val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 w:val="0"/>
      <w:keepLines w:val="0"/>
      <w:spacing w:after="0" w:before="300" w:line="480" w:lineRule="auto"/>
      <w:jc w:val="center"/>
    </w:pPr>
    <w:rPr>
      <w:b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 w:val="0"/>
      <w:keepLines w:val="0"/>
      <w:spacing w:after="300" w:before="100" w:line="480" w:lineRule="auto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480" w:lineRule="auto"/>
      <w:outlineLvl w:val="0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480" w:lineRule="auto"/>
      <w:outlineLvl w:val="1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480" w:lineRule="auto"/>
      <w:outlineLvl w:val="2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480" w:lineRule="auto"/>
      <w:outlineLvl w:val="3"/>
    </w:pPr>
    <w:rPr>
      <w:rFonts w:ascii="Times New Roman" w:cs="Times New Roman" w:eastAsia="Times New Roman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480" w:lineRule="auto"/>
      <w:outlineLvl w:val="4"/>
    </w:pPr>
    <w:rPr>
      <w:rFonts w:ascii="Times New Roman" w:cs="Times New Roman" w:eastAsia="Times New Roman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480" w:lineRule="auto"/>
      <w:outlineLvl w:val="5"/>
    </w:pPr>
    <w:rPr>
      <w:rFonts w:ascii="Times New Roman" w:cs="Times New Roman" w:eastAsia="Times New Roman" w:hAnsi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 w:line="480" w:lineRule="auto"/>
      <w:outlineLvl w:val="6"/>
    </w:pPr>
    <w:rPr>
      <w:rFonts w:ascii="Times New Roman" w:cs="Times New Roman" w:eastAsia="Times New Roman" w:hAnsi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="480" w:lineRule="auto"/>
      <w:outlineLvl w:val="7"/>
    </w:pPr>
    <w:rPr>
      <w:rFonts w:ascii="Times New Roman" w:cs="Times New Roman" w:eastAsia="Times New Roman" w:hAnsi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="480" w:lineRule="auto"/>
      <w:outlineLvl w:val="8"/>
    </w:pPr>
    <w:rPr>
      <w:rFonts w:ascii="Times New Roman" w:cs="Times New Roman" w:eastAsia="Times New Roman" w:hAnsi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480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 w:line="480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480" w:lineRule="auto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480" w:lineRule="auto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480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3" Type="http://schemas.openxmlformats.org/officeDocument/2006/relationships/hyperlink" Target="https://doi.org/10.1007/s00148-012-0408-x" TargetMode="External"/><Relationship Id="rId39" Type="http://schemas.openxmlformats.org/officeDocument/2006/relationships/hyperlink" Target="https://doi.org/10.1007/s00148-017-0671-y" TargetMode="External"/><Relationship Id="rId81" Type="http://schemas.openxmlformats.org/officeDocument/2006/relationships/hyperlink" Target="https://doi.org/10.1007/s11199-010-9797-z" TargetMode="External"/><Relationship Id="rId79" Type="http://schemas.openxmlformats.org/officeDocument/2006/relationships/hyperlink" Target="https://doi.org/10.1016/j.ssresearch.2010.08.005" TargetMode="External"/><Relationship Id="rId87" Type="http://schemas.openxmlformats.org/officeDocument/2006/relationships/hyperlink" Target="https://doi.org/10.1016/j.worlddev.2017.05.003" TargetMode="External"/><Relationship Id="rId61" Type="http://schemas.openxmlformats.org/officeDocument/2006/relationships/hyperlink" Target="https://doi.org/10.1016/j.worlddev.2018.11.004" TargetMode="External"/><Relationship Id="rId75" Type="http://schemas.openxmlformats.org/officeDocument/2006/relationships/hyperlink" Target="https://doi.org/10.1057/s41308-021-00140-w" TargetMode="External"/><Relationship Id="rId59" Type="http://schemas.openxmlformats.org/officeDocument/2006/relationships/hyperlink" Target="https://doi.org/10.1080/00220388.2014.983909" TargetMode="External"/><Relationship Id="rId89" Type="http://schemas.openxmlformats.org/officeDocument/2006/relationships/hyperlink" Target="https://doi.org/10.1080/07350015.2016.1227711" TargetMode="External"/><Relationship Id="rId72" Type="http://schemas.openxmlformats.org/officeDocument/2006/relationships/hyperlink" Target="https://doi.org/10.1080/13545701.2011.622289" TargetMode="External"/><Relationship Id="rId40" Type="http://schemas.openxmlformats.org/officeDocument/2006/relationships/hyperlink" Target="https://doi.org/10.1080/135457097338799" TargetMode="External"/><Relationship Id="rId52" Type="http://schemas.openxmlformats.org/officeDocument/2006/relationships/hyperlink" Target="https://doi.org/10.1086/230577" TargetMode="External"/><Relationship Id="rId69" Type="http://schemas.openxmlformats.org/officeDocument/2006/relationships/hyperlink" Target="https://doi.org/10.1086/260629" TargetMode="External"/><Relationship Id="rId50" Type="http://schemas.openxmlformats.org/officeDocument/2006/relationships/hyperlink" Target="https://doi.org/10.1086/261713" TargetMode="External"/><Relationship Id="rId56" Type="http://schemas.openxmlformats.org/officeDocument/2006/relationships/hyperlink" Target="https://doi.org/10.1086/261825" TargetMode="External"/><Relationship Id="rId82" Type="http://schemas.openxmlformats.org/officeDocument/2006/relationships/hyperlink" Target="https://doi.org/10.1086/261912" TargetMode="External"/><Relationship Id="rId47" Type="http://schemas.openxmlformats.org/officeDocument/2006/relationships/hyperlink" Target="https://doi.org/10.1086/298075" TargetMode="External"/><Relationship Id="rId51" Type="http://schemas.openxmlformats.org/officeDocument/2006/relationships/hyperlink" Target="https://doi.org/10.1086/378341" TargetMode="External"/><Relationship Id="rId43" Type="http://schemas.openxmlformats.org/officeDocument/2006/relationships/hyperlink" Target="https://doi.org/10.1086/426036" TargetMode="External"/><Relationship Id="rId65" Type="http://schemas.openxmlformats.org/officeDocument/2006/relationships/hyperlink" Target="https://doi.org/10.1086/593333" TargetMode="External"/><Relationship Id="rId64" Type="http://schemas.openxmlformats.org/officeDocument/2006/relationships/hyperlink" Target="https://doi.org/10.1086/668282" TargetMode="External"/><Relationship Id="rId78" Type="http://schemas.openxmlformats.org/officeDocument/2006/relationships/hyperlink" Target="https://doi.org/10.1086/697584" TargetMode="External"/><Relationship Id="rId91" Type="http://schemas.openxmlformats.org/officeDocument/2006/relationships/hyperlink" Target="https://doi.org/10.1093/biomet/70.1.41" TargetMode="External"/><Relationship Id="rId58" Type="http://schemas.openxmlformats.org/officeDocument/2006/relationships/hyperlink" Target="https://doi.org/10.1093/biomet/asn055" TargetMode="External"/><Relationship Id="rId76" Type="http://schemas.openxmlformats.org/officeDocument/2006/relationships/hyperlink" Target="https://doi.org/10.1093/qje/qjs002" TargetMode="External"/><Relationship Id="rId49" Type="http://schemas.openxmlformats.org/officeDocument/2006/relationships/hyperlink" Target="https://doi.org/10.1093/qje/qjv001" TargetMode="External"/><Relationship Id="rId44" Type="http://schemas.openxmlformats.org/officeDocument/2006/relationships/hyperlink" Target="https://doi.org/10.1093/sleep/30.9.1085" TargetMode="External"/><Relationship Id="rId74" Type="http://schemas.openxmlformats.org/officeDocument/2006/relationships/hyperlink" Target="https://doi.org/10.1111/dpr.12730" TargetMode="External"/><Relationship Id="rId90" Type="http://schemas.openxmlformats.org/officeDocument/2006/relationships/hyperlink" Target="https://doi.org/10.1111/j.1728-4457.2004.012_1.x" TargetMode="External"/><Relationship Id="rId42" Type="http://schemas.openxmlformats.org/officeDocument/2006/relationships/hyperlink" Target="https://doi.org/10.1111/j.1728-4457.2016.00149.x" TargetMode="External"/><Relationship Id="rId68" Type="http://schemas.openxmlformats.org/officeDocument/2006/relationships/hyperlink" Target="https://doi.org/10.1111/j.1741-3737.2000.00322.x" TargetMode="External"/><Relationship Id="rId57" Type="http://schemas.openxmlformats.org/officeDocument/2006/relationships/hyperlink" Target="https://doi.org/10.1111/j.1741-3737.2000.01208.x" TargetMode="External"/><Relationship Id="rId88" Type="http://schemas.openxmlformats.org/officeDocument/2006/relationships/hyperlink" Target="https://doi.org/10.1111/j.1741-3737.2004.00029.x" TargetMode="External"/><Relationship Id="rId71" Type="http://schemas.openxmlformats.org/officeDocument/2006/relationships/hyperlink" Target="https://doi.org/10.1111/j.1741-3737.2007.00373.x" TargetMode="External"/><Relationship Id="rId45" Type="http://schemas.openxmlformats.org/officeDocument/2006/relationships/hyperlink" Target="https://doi.org/10.1111/j.1741-3737.2008.00479.x" TargetMode="External"/><Relationship Id="rId93" Type="http://schemas.openxmlformats.org/officeDocument/2006/relationships/hyperlink" Target="https://doi.org/10.1146/annurev.soc.22.1.299" TargetMode="External"/><Relationship Id="rId41" Type="http://schemas.openxmlformats.org/officeDocument/2006/relationships/hyperlink" Target="https://doi.org/10.1162/003355300554881" TargetMode="External"/><Relationship Id="rId73" Type="http://schemas.openxmlformats.org/officeDocument/2006/relationships/hyperlink" Target="https://doi.org/10.1162/003465304323023651" TargetMode="External"/><Relationship Id="rId54" Type="http://schemas.openxmlformats.org/officeDocument/2006/relationships/hyperlink" Target="https://doi.org/10.1177/0003122412472048" TargetMode="External"/><Relationship Id="rId92" Type="http://schemas.openxmlformats.org/officeDocument/2006/relationships/hyperlink" Target="https://doi.org/10.1177/0265407515597564" TargetMode="External"/><Relationship Id="rId85" Type="http://schemas.openxmlformats.org/officeDocument/2006/relationships/hyperlink" Target="https://doi.org/10.1177/0891243210386949" TargetMode="External"/><Relationship Id="rId96" Type="http://schemas.openxmlformats.org/officeDocument/2006/relationships/hyperlink" Target="https://doi.org/10.1177/0891243287001002002" TargetMode="External"/><Relationship Id="rId77" Type="http://schemas.openxmlformats.org/officeDocument/2006/relationships/hyperlink" Target="https://doi.org/10.1177/089124388002003004" TargetMode="External"/><Relationship Id="rId66" Type="http://schemas.openxmlformats.org/officeDocument/2006/relationships/hyperlink" Target="https://doi.org/10.1257/aer.20200705" TargetMode="External"/><Relationship Id="rId80" Type="http://schemas.openxmlformats.org/officeDocument/2006/relationships/hyperlink" Target="https://doi.org/10.1257/app.20180010" TargetMode="External"/><Relationship Id="rId60" Type="http://schemas.openxmlformats.org/officeDocument/2006/relationships/hyperlink" Target="https://doi.org/10.1353/dem.0.0118" TargetMode="External"/><Relationship Id="rId84" Type="http://schemas.openxmlformats.org/officeDocument/2006/relationships/hyperlink" Target="https://doi.org/10.1353/sof.2003.0036" TargetMode="External"/><Relationship Id="rId63" Type="http://schemas.openxmlformats.org/officeDocument/2006/relationships/hyperlink" Target="https://doi.org/10.2307/1972894" TargetMode="External"/><Relationship Id="rId67" Type="http://schemas.openxmlformats.org/officeDocument/2006/relationships/hyperlink" Target="https://doi.org/10.2307/2061837" TargetMode="External"/><Relationship Id="rId95" Type="http://schemas.openxmlformats.org/officeDocument/2006/relationships/hyperlink" Target="https://doi.org/10.2307/2095937" TargetMode="External"/><Relationship Id="rId62" Type="http://schemas.openxmlformats.org/officeDocument/2006/relationships/hyperlink" Target="https://doi.org/10.2307/2171954" TargetMode="External"/><Relationship Id="rId46" Type="http://schemas.openxmlformats.org/officeDocument/2006/relationships/hyperlink" Target="https://doi.org/10.2307/2228949" TargetMode="External"/><Relationship Id="rId83" Type="http://schemas.openxmlformats.org/officeDocument/2006/relationships/hyperlink" Target="https://doi.org/10.2307/2526238" TargetMode="External"/><Relationship Id="rId86" Type="http://schemas.openxmlformats.org/officeDocument/2006/relationships/hyperlink" Target="https://doi.org/10.2307/2526280" TargetMode="External"/><Relationship Id="rId70" Type="http://schemas.openxmlformats.org/officeDocument/2006/relationships/hyperlink" Target="https://doi.org/10.2307/353571" TargetMode="External"/><Relationship Id="rId94" Type="http://schemas.openxmlformats.org/officeDocument/2006/relationships/hyperlink" Target="https://doi.org/10.3368/jhr.50.2.301" TargetMode="External"/><Relationship Id="rId55" Type="http://schemas.openxmlformats.org/officeDocument/2006/relationships/hyperlink" Target="https://doi.org/10.4054/demres.2018.38.31" TargetMode="External"/><Relationship Id="rId48" Type="http://schemas.openxmlformats.org/officeDocument/2006/relationships/hyperlink" Target="https://doi.org/10.4159/9780674020665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doi.org/10.1007/s00148-012-0408-x" TargetMode="External"/><Relationship Id="rId39" Type="http://schemas.openxmlformats.org/officeDocument/2006/relationships/hyperlink" Target="https://doi.org/10.1007/s00148-017-0671-y" TargetMode="External"/><Relationship Id="rId81" Type="http://schemas.openxmlformats.org/officeDocument/2006/relationships/hyperlink" Target="https://doi.org/10.1007/s11199-010-9797-z" TargetMode="External"/><Relationship Id="rId79" Type="http://schemas.openxmlformats.org/officeDocument/2006/relationships/hyperlink" Target="https://doi.org/10.1016/j.ssresearch.2010.08.005" TargetMode="External"/><Relationship Id="rId87" Type="http://schemas.openxmlformats.org/officeDocument/2006/relationships/hyperlink" Target="https://doi.org/10.1016/j.worlddev.2017.05.003" TargetMode="External"/><Relationship Id="rId61" Type="http://schemas.openxmlformats.org/officeDocument/2006/relationships/hyperlink" Target="https://doi.org/10.1016/j.worlddev.2018.11.004" TargetMode="External"/><Relationship Id="rId75" Type="http://schemas.openxmlformats.org/officeDocument/2006/relationships/hyperlink" Target="https://doi.org/10.1057/s41308-021-00140-w" TargetMode="External"/><Relationship Id="rId59" Type="http://schemas.openxmlformats.org/officeDocument/2006/relationships/hyperlink" Target="https://doi.org/10.1080/00220388.2014.983909" TargetMode="External"/><Relationship Id="rId89" Type="http://schemas.openxmlformats.org/officeDocument/2006/relationships/hyperlink" Target="https://doi.org/10.1080/07350015.2016.1227711" TargetMode="External"/><Relationship Id="rId72" Type="http://schemas.openxmlformats.org/officeDocument/2006/relationships/hyperlink" Target="https://doi.org/10.1080/13545701.2011.622289" TargetMode="External"/><Relationship Id="rId40" Type="http://schemas.openxmlformats.org/officeDocument/2006/relationships/hyperlink" Target="https://doi.org/10.1080/135457097338799" TargetMode="External"/><Relationship Id="rId52" Type="http://schemas.openxmlformats.org/officeDocument/2006/relationships/hyperlink" Target="https://doi.org/10.1086/230577" TargetMode="External"/><Relationship Id="rId69" Type="http://schemas.openxmlformats.org/officeDocument/2006/relationships/hyperlink" Target="https://doi.org/10.1086/260629" TargetMode="External"/><Relationship Id="rId50" Type="http://schemas.openxmlformats.org/officeDocument/2006/relationships/hyperlink" Target="https://doi.org/10.1086/261713" TargetMode="External"/><Relationship Id="rId56" Type="http://schemas.openxmlformats.org/officeDocument/2006/relationships/hyperlink" Target="https://doi.org/10.1086/261825" TargetMode="External"/><Relationship Id="rId82" Type="http://schemas.openxmlformats.org/officeDocument/2006/relationships/hyperlink" Target="https://doi.org/10.1086/261912" TargetMode="External"/><Relationship Id="rId47" Type="http://schemas.openxmlformats.org/officeDocument/2006/relationships/hyperlink" Target="https://doi.org/10.1086/298075" TargetMode="External"/><Relationship Id="rId51" Type="http://schemas.openxmlformats.org/officeDocument/2006/relationships/hyperlink" Target="https://doi.org/10.1086/378341" TargetMode="External"/><Relationship Id="rId43" Type="http://schemas.openxmlformats.org/officeDocument/2006/relationships/hyperlink" Target="https://doi.org/10.1086/426036" TargetMode="External"/><Relationship Id="rId65" Type="http://schemas.openxmlformats.org/officeDocument/2006/relationships/hyperlink" Target="https://doi.org/10.1086/593333" TargetMode="External"/><Relationship Id="rId64" Type="http://schemas.openxmlformats.org/officeDocument/2006/relationships/hyperlink" Target="https://doi.org/10.1086/668282" TargetMode="External"/><Relationship Id="rId78" Type="http://schemas.openxmlformats.org/officeDocument/2006/relationships/hyperlink" Target="https://doi.org/10.1086/697584" TargetMode="External"/><Relationship Id="rId91" Type="http://schemas.openxmlformats.org/officeDocument/2006/relationships/hyperlink" Target="https://doi.org/10.1093/biomet/70.1.41" TargetMode="External"/><Relationship Id="rId58" Type="http://schemas.openxmlformats.org/officeDocument/2006/relationships/hyperlink" Target="https://doi.org/10.1093/biomet/asn055" TargetMode="External"/><Relationship Id="rId76" Type="http://schemas.openxmlformats.org/officeDocument/2006/relationships/hyperlink" Target="https://doi.org/10.1093/qje/qjs002" TargetMode="External"/><Relationship Id="rId49" Type="http://schemas.openxmlformats.org/officeDocument/2006/relationships/hyperlink" Target="https://doi.org/10.1093/qje/qjv001" TargetMode="External"/><Relationship Id="rId44" Type="http://schemas.openxmlformats.org/officeDocument/2006/relationships/hyperlink" Target="https://doi.org/10.1093/sleep/30.9.1085" TargetMode="External"/><Relationship Id="rId74" Type="http://schemas.openxmlformats.org/officeDocument/2006/relationships/hyperlink" Target="https://doi.org/10.1111/dpr.12730" TargetMode="External"/><Relationship Id="rId90" Type="http://schemas.openxmlformats.org/officeDocument/2006/relationships/hyperlink" Target="https://doi.org/10.1111/j.1728-4457.2004.012_1.x" TargetMode="External"/><Relationship Id="rId42" Type="http://schemas.openxmlformats.org/officeDocument/2006/relationships/hyperlink" Target="https://doi.org/10.1111/j.1728-4457.2016.00149.x" TargetMode="External"/><Relationship Id="rId68" Type="http://schemas.openxmlformats.org/officeDocument/2006/relationships/hyperlink" Target="https://doi.org/10.1111/j.1741-3737.2000.00322.x" TargetMode="External"/><Relationship Id="rId57" Type="http://schemas.openxmlformats.org/officeDocument/2006/relationships/hyperlink" Target="https://doi.org/10.1111/j.1741-3737.2000.01208.x" TargetMode="External"/><Relationship Id="rId88" Type="http://schemas.openxmlformats.org/officeDocument/2006/relationships/hyperlink" Target="https://doi.org/10.1111/j.1741-3737.2004.00029.x" TargetMode="External"/><Relationship Id="rId71" Type="http://schemas.openxmlformats.org/officeDocument/2006/relationships/hyperlink" Target="https://doi.org/10.1111/j.1741-3737.2007.00373.x" TargetMode="External"/><Relationship Id="rId45" Type="http://schemas.openxmlformats.org/officeDocument/2006/relationships/hyperlink" Target="https://doi.org/10.1111/j.1741-3737.2008.00479.x" TargetMode="External"/><Relationship Id="rId93" Type="http://schemas.openxmlformats.org/officeDocument/2006/relationships/hyperlink" Target="https://doi.org/10.1146/annurev.soc.22.1.299" TargetMode="External"/><Relationship Id="rId41" Type="http://schemas.openxmlformats.org/officeDocument/2006/relationships/hyperlink" Target="https://doi.org/10.1162/003355300554881" TargetMode="External"/><Relationship Id="rId73" Type="http://schemas.openxmlformats.org/officeDocument/2006/relationships/hyperlink" Target="https://doi.org/10.1162/003465304323023651" TargetMode="External"/><Relationship Id="rId54" Type="http://schemas.openxmlformats.org/officeDocument/2006/relationships/hyperlink" Target="https://doi.org/10.1177/0003122412472048" TargetMode="External"/><Relationship Id="rId92" Type="http://schemas.openxmlformats.org/officeDocument/2006/relationships/hyperlink" Target="https://doi.org/10.1177/0265407515597564" TargetMode="External"/><Relationship Id="rId85" Type="http://schemas.openxmlformats.org/officeDocument/2006/relationships/hyperlink" Target="https://doi.org/10.1177/0891243210386949" TargetMode="External"/><Relationship Id="rId96" Type="http://schemas.openxmlformats.org/officeDocument/2006/relationships/hyperlink" Target="https://doi.org/10.1177/0891243287001002002" TargetMode="External"/><Relationship Id="rId77" Type="http://schemas.openxmlformats.org/officeDocument/2006/relationships/hyperlink" Target="https://doi.org/10.1177/089124388002003004" TargetMode="External"/><Relationship Id="rId66" Type="http://schemas.openxmlformats.org/officeDocument/2006/relationships/hyperlink" Target="https://doi.org/10.1257/aer.20200705" TargetMode="External"/><Relationship Id="rId80" Type="http://schemas.openxmlformats.org/officeDocument/2006/relationships/hyperlink" Target="https://doi.org/10.1257/app.20180010" TargetMode="External"/><Relationship Id="rId60" Type="http://schemas.openxmlformats.org/officeDocument/2006/relationships/hyperlink" Target="https://doi.org/10.1353/dem.0.0118" TargetMode="External"/><Relationship Id="rId84" Type="http://schemas.openxmlformats.org/officeDocument/2006/relationships/hyperlink" Target="https://doi.org/10.1353/sof.2003.0036" TargetMode="External"/><Relationship Id="rId63" Type="http://schemas.openxmlformats.org/officeDocument/2006/relationships/hyperlink" Target="https://doi.org/10.2307/1972894" TargetMode="External"/><Relationship Id="rId67" Type="http://schemas.openxmlformats.org/officeDocument/2006/relationships/hyperlink" Target="https://doi.org/10.2307/2061837" TargetMode="External"/><Relationship Id="rId95" Type="http://schemas.openxmlformats.org/officeDocument/2006/relationships/hyperlink" Target="https://doi.org/10.2307/2095937" TargetMode="External"/><Relationship Id="rId62" Type="http://schemas.openxmlformats.org/officeDocument/2006/relationships/hyperlink" Target="https://doi.org/10.2307/2171954" TargetMode="External"/><Relationship Id="rId46" Type="http://schemas.openxmlformats.org/officeDocument/2006/relationships/hyperlink" Target="https://doi.org/10.2307/2228949" TargetMode="External"/><Relationship Id="rId83" Type="http://schemas.openxmlformats.org/officeDocument/2006/relationships/hyperlink" Target="https://doi.org/10.2307/2526238" TargetMode="External"/><Relationship Id="rId86" Type="http://schemas.openxmlformats.org/officeDocument/2006/relationships/hyperlink" Target="https://doi.org/10.2307/2526280" TargetMode="External"/><Relationship Id="rId70" Type="http://schemas.openxmlformats.org/officeDocument/2006/relationships/hyperlink" Target="https://doi.org/10.2307/353571" TargetMode="External"/><Relationship Id="rId94" Type="http://schemas.openxmlformats.org/officeDocument/2006/relationships/hyperlink" Target="https://doi.org/10.3368/jhr.50.2.301" TargetMode="External"/><Relationship Id="rId55" Type="http://schemas.openxmlformats.org/officeDocument/2006/relationships/hyperlink" Target="https://doi.org/10.4054/demres.2018.38.31" TargetMode="External"/><Relationship Id="rId48" Type="http://schemas.openxmlformats.org/officeDocument/2006/relationships/hyperlink" Target="https://doi.org/10.4159/97806740206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Times New Roman"/>
        <a:cs typeface="Times New Roman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Married and Never-Married Days: Marriage, Gender and the Full Time Budget in India</dc:title>
  <dc:creator>Manuscript anonymized for review</dc:creator>
  <cp:keywords/>
  <dcterms:created xsi:type="dcterms:W3CDTF">2026-10-17T02:30:19Z</dcterms:created>
  <dcterms:modified xsi:type="dcterms:W3CDTF">2026-10-17T02:30:19Z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Objective: This study asks which activities differ alongside married Indian women’s higher unpaid work, and how the division varies within couples and with co-residence with parents-in-law.Background: Studies of marriage and time use usually examine one outcome at a time, such as housework or sleep. Because a day’s activities must sum to 1,440 minutes, differences in one activity must be matched elsewhere, and India’s patrilocal marriage system makes these trade-offs especially consequential for women.Method: Using all 450,457 diaries of India’s Time Use Survey 2024, the study compares 88,337 married and never-married women and 87,364 men aged 20 to 39 across nine activity divisions. Selection is addressed by age restriction, reweighting and bias adjustment; 106,858 linked couples give within-household comparisons.Results: Married women reported 280 minutes more of unpaid domestic and care work than never-married women; for men the difference was 26 minutes more. Reweighted, it was 233; bias-adjusted, 264. Wives did 367 minutes more of unpaid work than their husbands, and their share of the couple’s unpaid work was 91%. Co-residence with parents-in-law made no detectable difference.Conclusion: Marital status divides women’s days far more than men’s; married women’s additional unpaid work coincides mainly with less paid work and learning, and much of it accompanies motherhood rather than marriage alone.Keywords: marriage, time use, unpaid work, gender, patrilocality, India</vt:lpwstr>
  </property>
  <property fmtid="{D5CDD505-2E9C-101B-9397-08002B2CF9AE}" pid="3" name="date">
    <vt:lpwstr/>
  </property>
</Properties>
</file>