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More Paid Work, the Same Unpaid Load: Gender Gaps in Time Use in India, 2019–2024</w:t>
      </w:r>
    </w:p>
    <w:p>
      <w:pPr>
        <w:pStyle w:val="Author"/>
      </w:pPr>
      <w:r>
        <w:t xml:space="preserve">Manuscript anonymised for review</w:t>
      </w:r>
    </w:p>
    <w:p>
      <w:pPr>
        <w:pStyle w:val="FirstParagraph"/>
      </w:pPr>
      <w:r>
        <w:rPr>
          <w:b/>
          <w:bCs/>
        </w:rPr>
        <w:t xml:space="preserve">Abstract.</w:t>
      </w:r>
      <w:r>
        <w:t xml:space="preserve"> </w:t>
      </w:r>
      <w:r>
        <w:t xml:space="preserve">Official labour force statistics record a steep rise in Indian women’s employment after 2019. Time diaries show what that rise meant for women’s days. I compare India’s nationally representative Time Use Surveys of 2019 and 2024 (770,848 diaries of persons aged 15 and over). After harmonising the two surveys, I decompose changes across the full 1,440-minute day. Women’s mean time in employment rose by 11.1 minutes a day, almost entirely because more women worked on the diary day (20.6% to 23.7%); minutes per worker did not change. About 8 in 10 of these minutes reflect a shift of women out of domestic duties and into self-employment and salaried work as their principal activity. Women’s unpaid domestic and care work did not fall: less time cleaning was offset by more childcare, and the gender gap in unpaid work narrowed by only 3.2 minutes, to 289 minutes a day. Men’s employment time rose about twice as much, partly offset by less own-use production. Reweighting the 2019 population to the 2024 composition enlarges rather than removes the rise in women’s paid work. Gains in paid work were largest for women aged 45 to 59 and women with little schooling. The new paid work has so far been added to women’s days rather than redistributing their unpaid work.</w:t>
      </w:r>
    </w:p>
    <w:p>
      <w:pPr>
        <w:pStyle w:val="BodyText"/>
      </w:pPr>
      <w:r>
        <w:rPr>
          <w:b/>
          <w:bCs/>
        </w:rPr>
        <w:t xml:space="preserve">Keywords:</w:t>
      </w:r>
      <w:r>
        <w:t xml:space="preserve"> </w:t>
      </w:r>
      <w:r>
        <w:t xml:space="preserve">time use; unpaid care work; female labour force participation; gender gaps; India; time diaries</w:t>
      </w:r>
    </w:p>
    <w:bookmarkStart w:id="9" w:name="introduction"/>
    <w:p>
      <w:pPr>
        <w:pStyle w:val="Heading1"/>
      </w:pPr>
      <w:r>
        <w:rPr>
          <w:rStyle w:val="SectionNumber"/>
        </w:rPr>
        <w:t xml:space="preserve">1</w:t>
      </w:r>
      <w:r>
        <w:tab/>
      </w:r>
      <w:r>
        <w:t xml:space="preserve">Introduction</w:t>
      </w:r>
    </w:p>
    <w:p>
      <w:pPr>
        <w:pStyle w:val="FirstParagraph"/>
      </w:pPr>
      <w:r>
        <w:t xml:space="preserve">Women’s employment in India has been one of the most debated questions in development economics. For more than a decade the debate was about decline: survey after survey found that fewer women were working even as the economy grew, fertility fell and girls’ schooling rose</w:t>
      </w:r>
      <w:r>
        <w:t xml:space="preserve"> </w:t>
      </w:r>
      <w:r>
        <w:t xml:space="preserve">(</w:t>
      </w:r>
      <w:hyperlink w:anchor="ref-afridi2018">
        <w:r>
          <w:rPr>
            <w:rStyle w:val="Hyperlink"/>
          </w:rPr>
          <w:t xml:space="preserve">Afridi, Dinkelman, and Mahajan, 2018</w:t>
        </w:r>
      </w:hyperlink>
      <w:r>
        <w:t xml:space="preserve">;</w:t>
      </w:r>
      <w:r>
        <w:t xml:space="preserve"> </w:t>
      </w:r>
      <w:hyperlink w:anchor="ref-chatterjee2018">
        <w:r>
          <w:rPr>
            <w:rStyle w:val="Hyperlink"/>
          </w:rPr>
          <w:t xml:space="preserve">Chatterjee, Desai, and Vanneman, 2018</w:t>
        </w:r>
      </w:hyperlink>
      <w:r>
        <w:t xml:space="preserve">;</w:t>
      </w:r>
      <w:r>
        <w:t xml:space="preserve"> </w:t>
      </w:r>
      <w:hyperlink w:anchor="ref-klasen2015">
        <w:r>
          <w:rPr>
            <w:rStyle w:val="Hyperlink"/>
          </w:rPr>
          <w:t xml:space="preserve">Klasen and Pieters, 2015</w:t>
        </w:r>
      </w:hyperlink>
      <w:r>
        <w:t xml:space="preserve">;</w:t>
      </w:r>
      <w:r>
        <w:t xml:space="preserve"> </w:t>
      </w:r>
      <w:hyperlink w:anchor="ref-mehrotra2017">
        <w:r>
          <w:rPr>
            <w:rStyle w:val="Hyperlink"/>
          </w:rPr>
          <w:t xml:space="preserve">Mehrotra and Parida, 2017</w:t>
        </w:r>
      </w:hyperlink>
      <w:r>
        <w:t xml:space="preserve">)</w:t>
      </w:r>
      <w:r>
        <w:t xml:space="preserve">. That pattern has reversed in the official statistics. In India’s Periodic Labour Force Survey (PLFS), the worker-population ratio of women aged 15 and over on the usual-status measure rose from 23.3 percent in 2018–19 to 40.3 percent in 2023–24</w:t>
      </w:r>
      <w:r>
        <w:t xml:space="preserve"> </w:t>
      </w:r>
      <w:r>
        <w:t xml:space="preserve">(</w:t>
      </w:r>
      <w:hyperlink w:anchor="ref-nso2024plfs">
        <w:r>
          <w:rPr>
            <w:rStyle w:val="Hyperlink"/>
          </w:rPr>
          <w:t xml:space="preserve">National Sample Survey Office, 2024</w:t>
        </w:r>
      </w:hyperlink>
      <w:r>
        <w:t xml:space="preserve">;</w:t>
      </w:r>
      <w:r>
        <w:t xml:space="preserve"> </w:t>
      </w:r>
      <w:hyperlink w:anchor="ref-pib2024">
        <w:r>
          <w:rPr>
            <w:rStyle w:val="Hyperlink"/>
          </w:rPr>
          <w:t xml:space="preserve">Press Information Bureau, 2024</w:t>
        </w:r>
      </w:hyperlink>
      <w:r>
        <w:t xml:space="preserve">)</w:t>
      </w:r>
      <w:r>
        <w:t xml:space="preserve">. A rise of this size in five years is unusual, and it raises two questions that labour force surveys cannot answer on their own. How much additional time in paid work does the rise represent? And did women’s unpaid domestic and care work, which in India takes a very large share of women’s time</w:t>
      </w:r>
      <w:r>
        <w:t xml:space="preserve"> </w:t>
      </w:r>
      <w:r>
        <w:t xml:space="preserve">(</w:t>
      </w:r>
      <w:hyperlink w:anchor="ref-hirway2015">
        <w:r>
          <w:rPr>
            <w:rStyle w:val="Hyperlink"/>
          </w:rPr>
          <w:t xml:space="preserve">Hirway, 2015</w:t>
        </w:r>
      </w:hyperlink>
      <w:r>
        <w:t xml:space="preserve">;</w:t>
      </w:r>
      <w:r>
        <w:t xml:space="preserve"> </w:t>
      </w:r>
      <w:hyperlink w:anchor="ref-hirway2011">
        <w:r>
          <w:rPr>
            <w:rStyle w:val="Hyperlink"/>
          </w:rPr>
          <w:t xml:space="preserve">Hirway and Jose, 2011</w:t>
        </w:r>
      </w:hyperlink>
      <w:r>
        <w:t xml:space="preserve">)</w:t>
      </w:r>
      <w:r>
        <w:t xml:space="preserve">, fall as their paid work rose?</w:t>
      </w:r>
    </w:p>
    <w:p>
      <w:pPr>
        <w:pStyle w:val="BodyText"/>
      </w:pPr>
      <w:r>
        <w:t xml:space="preserve">Time diaries can answer both questions, because they record every activity over a full day and the minutes must add up to 1,440. India has now fielded two nationally representative Time Use Surveys (TUS), in calendar years 2019 and 2024, with the same 24-hour diary design and the same activity classification. Together they provide 770,848 diaries of persons aged 15 and over. This paper uses the two surveys to measure how the gendered allocation of time changed over the period in which the official employment rate rose.</w:t>
      </w:r>
    </w:p>
    <w:p>
      <w:pPr>
        <w:pStyle w:val="BodyText"/>
      </w:pPr>
      <w:r>
        <w:t xml:space="preserve">The paper makes three contributions. First, it measures the employment rise in minutes rather than in status. Women’s mean time in employment rose by 11.1 minutes (95% CI [8.5, 13.6]) a day. The increase came almost entirely on the extensive margin: the share of women doing any employment on the diary day rose from 20.6 to 23.7 percent, while minutes per participating woman stayed at about 356. A shift-share decomposition by usual principal activity status shows that about 81 percent of the rise reflects women moving out of domestic duties and into self-employment and regular salaried work, and the rest reflects more time in employment within a status.</w:t>
      </w:r>
    </w:p>
    <w:p>
      <w:pPr>
        <w:pStyle w:val="BodyText"/>
      </w:pPr>
      <w:r>
        <w:t xml:space="preserve">Second, the paper accounts for the whole day. Women’s unpaid domestic and care work fell by 2.2 minutes (95% CI [-0.6, 5.1]), a change that cannot be distinguished from zero. Beneath that stability, time spent cleaning and maintaining the dwelling fell by 11.8 minutes and childcare rose by 9.9 minutes. The additional paid minutes therefore came mainly from less self-care and own-use production, not from a net reduction in unpaid work. The gender gap in unpaid work narrowed by 3.2 minutes, from 292 to 289 minutes a day. Men’s time in employment rose by more than women’s, partly because men shifted time from own-use production into employment, so the gender gap in all production work did not change. Men also gained more free time than women.</w:t>
      </w:r>
    </w:p>
    <w:p>
      <w:pPr>
        <w:pStyle w:val="BodyText"/>
      </w:pPr>
      <w:r>
        <w:t xml:space="preserve">Third, the paper asks whether these changes reflect changes in who women are, and for whom the changes occurred. Reweighting the 2019 population to the 2024 distribution of age, education, marital status, household structure, consumption and state</w:t>
      </w:r>
      <w:r>
        <w:t xml:space="preserve"> </w:t>
      </w:r>
      <w:r>
        <w:t xml:space="preserve">(</w:t>
      </w:r>
      <w:hyperlink w:anchor="ref-dinardo1996">
        <w:r>
          <w:rPr>
            <w:rStyle w:val="Hyperlink"/>
          </w:rPr>
          <w:t xml:space="preserve">DiNardo, Fortin, and Lemieux, 1996</w:t>
        </w:r>
      </w:hyperlink>
      <w:r>
        <w:t xml:space="preserve">)</w:t>
      </w:r>
      <w:r>
        <w:t xml:space="preserve"> </w:t>
      </w:r>
      <w:r>
        <w:t xml:space="preserve">increases the estimated rise in women’s employment time to 14.1 minutes, so compositional change does not explain it. The rise was largest among women aged 45 to 59 and women with less than primary schooling, who also recorded less unpaid work. Younger women and women with secondary or higher education recorded little additional paid work and more unpaid work, mostly childcare.</w:t>
      </w:r>
    </w:p>
    <w:p>
      <w:pPr>
        <w:pStyle w:val="BodyText"/>
      </w:pPr>
      <w:r>
        <w:t xml:space="preserve">Two recent studies compare the 2019 and 2024 surveys.</w:t>
      </w:r>
      <w:r>
        <w:t xml:space="preserve"> </w:t>
      </w:r>
      <w:r>
        <w:t xml:space="preserve">Krishnamurthy (</w:t>
      </w:r>
      <w:hyperlink w:anchor="ref-krishnamurthy2025">
        <w:r>
          <w:rPr>
            <w:rStyle w:val="Hyperlink"/>
          </w:rPr>
          <w:t xml:space="preserve">2025</w:t>
        </w:r>
      </w:hyperlink>
      <w:r>
        <w:t xml:space="preserve">)</w:t>
      </w:r>
      <w:r>
        <w:t xml:space="preserve"> </w:t>
      </w:r>
      <w:r>
        <w:t xml:space="preserve">reports national descriptive trends, and</w:t>
      </w:r>
      <w:r>
        <w:t xml:space="preserve"> </w:t>
      </w:r>
      <w:r>
        <w:t xml:space="preserve">Kumar, Bathla, and Singh (</w:t>
      </w:r>
      <w:hyperlink w:anchor="ref-kumar2026">
        <w:r>
          <w:rPr>
            <w:rStyle w:val="Hyperlink"/>
          </w:rPr>
          <w:t xml:space="preserve">2026</w:t>
        </w:r>
      </w:hyperlink>
      <w:r>
        <w:t xml:space="preserve">)</w:t>
      </w:r>
      <w:r>
        <w:t xml:space="preserve"> </w:t>
      </w:r>
      <w:r>
        <w:t xml:space="preserve">study rural working-age adults with a focus on agriculture, finding higher participation of rural women in agricultural work alongside persistently high unpaid domestic time. The present paper differs in covering the whole population aged 15 and over, in documenting what is and is not comparable between the two surveys, in separating extensive and intensive margins and status composition from within-status change, in a composition-adjusted comparison, and in a full 1,440-minute accounting for both sexes.</w:t>
      </w:r>
    </w:p>
    <w:p>
      <w:pPr>
        <w:pStyle w:val="BodyText"/>
      </w:pPr>
      <w:r>
        <w:t xml:space="preserve">The findings connect India’s employment debate with the international literature on gender convergence in time use. In high-income countries, women’s rising employment was followed, slowly and incompletely, by men doing more unpaid work</w:t>
      </w:r>
      <w:r>
        <w:t xml:space="preserve"> </w:t>
      </w:r>
      <w:r>
        <w:t xml:space="preserve">(</w:t>
      </w:r>
      <w:hyperlink w:anchor="ref-altintas2016">
        <w:r>
          <w:rPr>
            <w:rStyle w:val="Hyperlink"/>
          </w:rPr>
          <w:t xml:space="preserve">Altintas and Sullivan, 2016</w:t>
        </w:r>
      </w:hyperlink>
      <w:r>
        <w:t xml:space="preserve">;</w:t>
      </w:r>
      <w:r>
        <w:t xml:space="preserve"> </w:t>
      </w:r>
      <w:hyperlink w:anchor="ref-bianchi2000">
        <w:r>
          <w:rPr>
            <w:rStyle w:val="Hyperlink"/>
          </w:rPr>
          <w:t xml:space="preserve">Bianchi et al., 2000</w:t>
        </w:r>
      </w:hyperlink>
      <w:r>
        <w:t xml:space="preserve">;</w:t>
      </w:r>
      <w:r>
        <w:t xml:space="preserve"> </w:t>
      </w:r>
      <w:hyperlink w:anchor="ref-gershuny2000">
        <w:r>
          <w:rPr>
            <w:rStyle w:val="Hyperlink"/>
          </w:rPr>
          <w:t xml:space="preserve">Gershuny, 2000</w:t>
        </w:r>
      </w:hyperlink>
      <w:r>
        <w:t xml:space="preserve">;</w:t>
      </w:r>
      <w:r>
        <w:t xml:space="preserve"> </w:t>
      </w:r>
      <w:hyperlink w:anchor="ref-kan2011">
        <w:r>
          <w:rPr>
            <w:rStyle w:val="Hyperlink"/>
          </w:rPr>
          <w:t xml:space="preserve">Kan, Sullivan, and Gershuny, 2011</w:t>
        </w:r>
      </w:hyperlink>
      <w:r>
        <w:t xml:space="preserve">;</w:t>
      </w:r>
      <w:r>
        <w:t xml:space="preserve"> </w:t>
      </w:r>
      <w:hyperlink w:anchor="ref-sayer2005">
        <w:r>
          <w:rPr>
            <w:rStyle w:val="Hyperlink"/>
          </w:rPr>
          <w:t xml:space="preserve">Sayer, 2005</w:t>
        </w:r>
      </w:hyperlink>
      <w:r>
        <w:t xml:space="preserve">)</w:t>
      </w:r>
      <w:r>
        <w:t xml:space="preserve">, a pattern that</w:t>
      </w:r>
      <w:r>
        <w:t xml:space="preserve"> </w:t>
      </w:r>
      <w:r>
        <w:t xml:space="preserve">England (</w:t>
      </w:r>
      <w:hyperlink w:anchor="ref-england2010">
        <w:r>
          <w:rPr>
            <w:rStyle w:val="Hyperlink"/>
          </w:rPr>
          <w:t xml:space="preserve">2010</w:t>
        </w:r>
      </w:hyperlink>
      <w:r>
        <w:t xml:space="preserve">)</w:t>
      </w:r>
      <w:r>
        <w:t xml:space="preserve"> </w:t>
      </w:r>
      <w:r>
        <w:t xml:space="preserve">described as uneven and stalled. In India between 2019 and 2024, women’s paid work rose while the division of unpaid work barely moved. The results are descriptive. The two surveys are repeated cross-sections, and the period includes the COVID-19 pandemic, so I do not attribute the changes to any single cause or policy.</w:t>
      </w:r>
    </w:p>
    <w:bookmarkEnd w:id="9"/>
    <w:bookmarkStart w:id="12" w:name="background"/>
    <w:p>
      <w:pPr>
        <w:pStyle w:val="Heading1"/>
      </w:pPr>
      <w:r>
        <w:rPr>
          <w:rStyle w:val="SectionNumber"/>
        </w:rPr>
        <w:t xml:space="preserve">2</w:t>
      </w:r>
      <w:r>
        <w:tab/>
      </w:r>
      <w:r>
        <w:t xml:space="preserve">Background</w:t>
      </w:r>
    </w:p>
    <w:bookmarkStart w:id="10" w:name="womens-employment-in-india"/>
    <w:p>
      <w:pPr>
        <w:pStyle w:val="Heading2"/>
      </w:pPr>
      <w:r>
        <w:rPr>
          <w:rStyle w:val="SectionNumber"/>
        </w:rPr>
        <w:t xml:space="preserve">2.1</w:t>
      </w:r>
      <w:r>
        <w:tab/>
      </w:r>
      <w:r>
        <w:t xml:space="preserve">Women’s employment in India</w:t>
      </w:r>
    </w:p>
    <w:p>
      <w:pPr>
        <w:pStyle w:val="FirstParagraph"/>
      </w:pPr>
      <w:r>
        <w:t xml:space="preserve">The decline in women’s labour force participation in India between the mid-2000s and 2017–18 has been attributed to rising household incomes, to rising enrolment in education, to a shortage of jobs considered suitable for women, to social norms that restrict women’s mobility and work outside the home, and to the measurement of women’s work</w:t>
      </w:r>
      <w:r>
        <w:t xml:space="preserve"> </w:t>
      </w:r>
      <w:r>
        <w:t xml:space="preserve">(</w:t>
      </w:r>
      <w:hyperlink w:anchor="ref-afridi2018">
        <w:r>
          <w:rPr>
            <w:rStyle w:val="Hyperlink"/>
          </w:rPr>
          <w:t xml:space="preserve">Afridi, Dinkelman, and Mahajan, 2018</w:t>
        </w:r>
      </w:hyperlink>
      <w:r>
        <w:t xml:space="preserve">;</w:t>
      </w:r>
      <w:r>
        <w:t xml:space="preserve"> </w:t>
      </w:r>
      <w:hyperlink w:anchor="ref-chatterjee2018">
        <w:r>
          <w:rPr>
            <w:rStyle w:val="Hyperlink"/>
          </w:rPr>
          <w:t xml:space="preserve">Chatterjee, Desai, and Vanneman, 2018</w:t>
        </w:r>
      </w:hyperlink>
      <w:r>
        <w:t xml:space="preserve">;</w:t>
      </w:r>
      <w:r>
        <w:t xml:space="preserve"> </w:t>
      </w:r>
      <w:hyperlink w:anchor="ref-jayachandran2021">
        <w:r>
          <w:rPr>
            <w:rStyle w:val="Hyperlink"/>
          </w:rPr>
          <w:t xml:space="preserve">Jayachandran, 2021</w:t>
        </w:r>
      </w:hyperlink>
      <w:r>
        <w:t xml:space="preserve">;</w:t>
      </w:r>
      <w:r>
        <w:t xml:space="preserve"> </w:t>
      </w:r>
      <w:hyperlink w:anchor="ref-klasen2015">
        <w:r>
          <w:rPr>
            <w:rStyle w:val="Hyperlink"/>
          </w:rPr>
          <w:t xml:space="preserve">Klasen and Pieters, 2015</w:t>
        </w:r>
      </w:hyperlink>
      <w:r>
        <w:t xml:space="preserve">;</w:t>
      </w:r>
      <w:r>
        <w:t xml:space="preserve"> </w:t>
      </w:r>
      <w:hyperlink w:anchor="ref-mehrotra2017">
        <w:r>
          <w:rPr>
            <w:rStyle w:val="Hyperlink"/>
          </w:rPr>
          <w:t xml:space="preserve">Mehrotra and Parida, 2017</w:t>
        </w:r>
      </w:hyperlink>
      <w:r>
        <w:t xml:space="preserve">)</w:t>
      </w:r>
      <w:r>
        <w:t xml:space="preserve">. Using the India Human Development Survey,</w:t>
      </w:r>
      <w:r>
        <w:t xml:space="preserve"> </w:t>
      </w:r>
      <w:r>
        <w:t xml:space="preserve">Chatterjee and Vanneman (</w:t>
      </w:r>
      <w:hyperlink w:anchor="ref-chatterjee2022">
        <w:r>
          <w:rPr>
            <w:rStyle w:val="Hyperlink"/>
          </w:rPr>
          <w:t xml:space="preserve">2022</w:t>
        </w:r>
      </w:hyperlink>
      <w:r>
        <w:t xml:space="preserve">)</w:t>
      </w:r>
      <w:r>
        <w:t xml:space="preserve"> </w:t>
      </w:r>
      <w:r>
        <w:t xml:space="preserve">find that the U-shaped relationship between women’s education and employment persists even in districts where the stigma attached to women’s work is weak or where more salaried jobs considered suitable for women exist, and they point instead to the strong gender segregation of white-collar occupations. Panel evidence shows high rates of entry into and exit from work</w:t>
      </w:r>
      <w:r>
        <w:t xml:space="preserve"> </w:t>
      </w:r>
      <w:r>
        <w:t xml:space="preserve">(</w:t>
      </w:r>
      <w:hyperlink w:anchor="ref-sarkar2019">
        <w:r>
          <w:rPr>
            <w:rStyle w:val="Hyperlink"/>
          </w:rPr>
          <w:t xml:space="preserve">Sarkar, Sahoo, and Klasen, 2019</w:t>
        </w:r>
      </w:hyperlink>
      <w:r>
        <w:t xml:space="preserve">)</w:t>
      </w:r>
      <w:r>
        <w:t xml:space="preserve">, so women’s measured employment is sensitive to the reference period and to how intermittent, home-based and family work is recorded.</w:t>
      </w:r>
    </w:p>
    <w:p>
      <w:pPr>
        <w:pStyle w:val="BodyText"/>
      </w:pPr>
      <w:r>
        <w:t xml:space="preserve">Measurement is a long-standing concern. Labour force surveys classify a person by status over a reference period, while much of women’s work in India is part-time, seasonal, home-based or done in family enterprises</w:t>
      </w:r>
      <w:r>
        <w:t xml:space="preserve"> </w:t>
      </w:r>
      <w:r>
        <w:t xml:space="preserve">(</w:t>
      </w:r>
      <w:hyperlink w:anchor="ref-hirway2015">
        <w:r>
          <w:rPr>
            <w:rStyle w:val="Hyperlink"/>
          </w:rPr>
          <w:t xml:space="preserve">Hirway, 2015</w:t>
        </w:r>
      </w:hyperlink>
      <w:r>
        <w:t xml:space="preserve">;</w:t>
      </w:r>
      <w:r>
        <w:t xml:space="preserve"> </w:t>
      </w:r>
      <w:hyperlink w:anchor="ref-hirway2011">
        <w:r>
          <w:rPr>
            <w:rStyle w:val="Hyperlink"/>
          </w:rPr>
          <w:t xml:space="preserve">Hirway and Jose, 2011</w:t>
        </w:r>
      </w:hyperlink>
      <w:r>
        <w:t xml:space="preserve">)</w:t>
      </w:r>
      <w:r>
        <w:t xml:space="preserve">.</w:t>
      </w:r>
      <w:r>
        <w:t xml:space="preserve"> </w:t>
      </w:r>
      <w:r>
        <w:t xml:space="preserve">Deshpande and Kabeer (</w:t>
      </w:r>
      <w:hyperlink w:anchor="ref-deshpande2024">
        <w:r>
          <w:rPr>
            <w:rStyle w:val="Hyperlink"/>
          </w:rPr>
          <w:t xml:space="preserve">2024</w:t>
        </w:r>
      </w:hyperlink>
      <w:r>
        <w:t xml:space="preserve">)</w:t>
      </w:r>
      <w:r>
        <w:t xml:space="preserve"> </w:t>
      </w:r>
      <w:r>
        <w:t xml:space="preserve">show that women’s work in India is distributed across income generation, expenditure-saving production for the household and unpaid domestic work, and that norms shape the distribution. Time-use data record the same activities in minutes on a given day, so they can show whether a change in status corresponds to a change in time spent working</w:t>
      </w:r>
      <w:r>
        <w:t xml:space="preserve"> </w:t>
      </w:r>
      <w:r>
        <w:t xml:space="preserve">(</w:t>
      </w:r>
      <w:hyperlink w:anchor="ref-vijayamba2024">
        <w:r>
          <w:rPr>
            <w:rStyle w:val="Hyperlink"/>
          </w:rPr>
          <w:t xml:space="preserve">Vijayamba and Swaminathan, 2024</w:t>
        </w:r>
      </w:hyperlink>
      <w:r>
        <w:t xml:space="preserve">)</w:t>
      </w:r>
      <w:r>
        <w:t xml:space="preserve">.</w:t>
      </w:r>
    </w:p>
    <w:p>
      <w:pPr>
        <w:pStyle w:val="BodyText"/>
      </w:pPr>
      <w:r>
        <w:t xml:space="preserve">From 2018–19 the official rates rose steadily. The PLFS usual-status worker-population ratio for women aged 15 and over rose in every year, from 23.3 percent in 2018–19 to 40.3 percent in 2023–24, and the labour force participation rate rose from 24.5 to 41.7 percent</w:t>
      </w:r>
      <w:r>
        <w:t xml:space="preserve"> </w:t>
      </w:r>
      <w:r>
        <w:t xml:space="preserve">(</w:t>
      </w:r>
      <w:hyperlink w:anchor="ref-pib2024">
        <w:r>
          <w:rPr>
            <w:rStyle w:val="Hyperlink"/>
          </w:rPr>
          <w:t xml:space="preserve">Press Information Bureau, 2024</w:t>
        </w:r>
      </w:hyperlink>
      <w:r>
        <w:t xml:space="preserve">)</w:t>
      </w:r>
      <w:r>
        <w:t xml:space="preserve">. The time-use surveys provide an independent measurement of the same period with a different instrument.</w:t>
      </w:r>
    </w:p>
    <w:bookmarkEnd w:id="10"/>
    <w:bookmarkStart w:id="11" w:name="time-use-and-gender-convergence"/>
    <w:p>
      <w:pPr>
        <w:pStyle w:val="Heading2"/>
      </w:pPr>
      <w:r>
        <w:rPr>
          <w:rStyle w:val="SectionNumber"/>
        </w:rPr>
        <w:t xml:space="preserve">2.2</w:t>
      </w:r>
      <w:r>
        <w:tab/>
      </w:r>
      <w:r>
        <w:t xml:space="preserve">Time use and gender convergence</w:t>
      </w:r>
    </w:p>
    <w:p>
      <w:pPr>
        <w:pStyle w:val="FirstParagraph"/>
      </w:pPr>
      <w:r>
        <w:t xml:space="preserve">Studies of time use in high-income countries since the 1960s find that women’s paid work rose and their unpaid work fell, while men’s unpaid work rose slowly. The gap in unpaid work narrowed mainly because women did less housework rather than because men did more</w:t>
      </w:r>
      <w:r>
        <w:t xml:space="preserve"> </w:t>
      </w:r>
      <w:r>
        <w:t xml:space="preserve">(</w:t>
      </w:r>
      <w:hyperlink w:anchor="ref-altintas2016">
        <w:r>
          <w:rPr>
            <w:rStyle w:val="Hyperlink"/>
          </w:rPr>
          <w:t xml:space="preserve">Altintas and Sullivan, 2016</w:t>
        </w:r>
      </w:hyperlink>
      <w:r>
        <w:t xml:space="preserve">;</w:t>
      </w:r>
      <w:r>
        <w:t xml:space="preserve"> </w:t>
      </w:r>
      <w:hyperlink w:anchor="ref-bianchi2000">
        <w:r>
          <w:rPr>
            <w:rStyle w:val="Hyperlink"/>
          </w:rPr>
          <w:t xml:space="preserve">Bianchi et al., 2000</w:t>
        </w:r>
      </w:hyperlink>
      <w:r>
        <w:t xml:space="preserve">;</w:t>
      </w:r>
      <w:r>
        <w:t xml:space="preserve"> </w:t>
      </w:r>
      <w:hyperlink w:anchor="ref-sayer2005">
        <w:r>
          <w:rPr>
            <w:rStyle w:val="Hyperlink"/>
          </w:rPr>
          <w:t xml:space="preserve">Sayer, 2005</w:t>
        </w:r>
      </w:hyperlink>
      <w:r>
        <w:t xml:space="preserve">)</w:t>
      </w:r>
      <w:r>
        <w:t xml:space="preserve">. Gender gaps in time use are also widest in the life-course stages in which young children are present</w:t>
      </w:r>
      <w:r>
        <w:t xml:space="preserve"> </w:t>
      </w:r>
      <w:r>
        <w:t xml:space="preserve">(</w:t>
      </w:r>
      <w:hyperlink w:anchor="ref-anxo2011">
        <w:r>
          <w:rPr>
            <w:rStyle w:val="Hyperlink"/>
          </w:rPr>
          <w:t xml:space="preserve">Anxo et al., 2011</w:t>
        </w:r>
      </w:hyperlink>
      <w:r>
        <w:t xml:space="preserve">)</w:t>
      </w:r>
      <w:r>
        <w:t xml:space="preserve">.</w:t>
      </w:r>
      <w:r>
        <w:t xml:space="preserve"> </w:t>
      </w:r>
      <w:r>
        <w:t xml:space="preserve">Goldin (</w:t>
      </w:r>
      <w:hyperlink w:anchor="ref-goldin2006">
        <w:r>
          <w:rPr>
            <w:rStyle w:val="Hyperlink"/>
          </w:rPr>
          <w:t xml:space="preserve">2006</w:t>
        </w:r>
      </w:hyperlink>
      <w:r>
        <w:t xml:space="preserve">)</w:t>
      </w:r>
      <w:r>
        <w:t xml:space="preserve"> </w:t>
      </w:r>
      <w:r>
        <w:t xml:space="preserve">and</w:t>
      </w:r>
      <w:r>
        <w:t xml:space="preserve"> </w:t>
      </w:r>
      <w:r>
        <w:t xml:space="preserve">England (</w:t>
      </w:r>
      <w:hyperlink w:anchor="ref-england2010">
        <w:r>
          <w:rPr>
            <w:rStyle w:val="Hyperlink"/>
          </w:rPr>
          <w:t xml:space="preserve">2010</w:t>
        </w:r>
      </w:hyperlink>
      <w:r>
        <w:t xml:space="preserve">)</w:t>
      </w:r>
      <w:r>
        <w:t xml:space="preserve"> </w:t>
      </w:r>
      <w:r>
        <w:t xml:space="preserve">describe the change in women’s paid work as larger and faster than the change in the domestic division of labour. Evidence from India over the pandemic points the same way: using a household panel,</w:t>
      </w:r>
      <w:r>
        <w:t xml:space="preserve"> </w:t>
      </w:r>
      <w:r>
        <w:t xml:space="preserve">Deshpande (</w:t>
      </w:r>
      <w:hyperlink w:anchor="ref-deshpande2022">
        <w:r>
          <w:rPr>
            <w:rStyle w:val="Hyperlink"/>
          </w:rPr>
          <w:t xml:space="preserve">2022</w:t>
        </w:r>
      </w:hyperlink>
      <w:r>
        <w:t xml:space="preserve">)</w:t>
      </w:r>
      <w:r>
        <w:t xml:space="preserve"> </w:t>
      </w:r>
      <w:r>
        <w:t xml:space="preserve">found that men’s time in domestic work rose during the 2020 lockdown but moved back towards earlier levels as restrictions eased. Unpaid work is also divided among women:</w:t>
      </w:r>
      <w:r>
        <w:t xml:space="preserve"> </w:t>
      </w:r>
      <w:r>
        <w:t xml:space="preserve">Srivastava (</w:t>
      </w:r>
      <w:hyperlink w:anchor="ref-srivastava2020">
        <w:r>
          <w:rPr>
            <w:rStyle w:val="Hyperlink"/>
          </w:rPr>
          <w:t xml:space="preserve">2020</w:t>
        </w:r>
      </w:hyperlink>
      <w:r>
        <w:t xml:space="preserve">)</w:t>
      </w:r>
      <w:r>
        <w:t xml:space="preserve"> </w:t>
      </w:r>
      <w:r>
        <w:t xml:space="preserve">shows with Indian time-use data that in multigenerational households housework is bargained between mothers-in-law and daughters-in-law, and finds more support for patriarchal bargaining than for the view that a daughter-in-law’s education shifts housework away from her.</w:t>
      </w:r>
    </w:p>
    <w:p>
      <w:pPr>
        <w:pStyle w:val="BodyText"/>
      </w:pPr>
      <w:r>
        <w:t xml:space="preserve">These studies suggest three questions for India. Did the employment rise show up in the time diaries, and on which margin? Did women’s unpaid work fall to make room? And did men’s unpaid work rise? Because the two Indian surveys use the same diary instrument, they can answer these questions over a period of rapid change in the official employment statistics.</w:t>
      </w:r>
    </w:p>
    <w:bookmarkEnd w:id="11"/>
    <w:bookmarkEnd w:id="12"/>
    <w:bookmarkStart w:id="17" w:name="data-and-comparability"/>
    <w:p>
      <w:pPr>
        <w:pStyle w:val="Heading1"/>
      </w:pPr>
      <w:r>
        <w:rPr>
          <w:rStyle w:val="SectionNumber"/>
        </w:rPr>
        <w:t xml:space="preserve">3</w:t>
      </w:r>
      <w:r>
        <w:tab/>
      </w:r>
      <w:r>
        <w:t xml:space="preserve">Data and comparability</w:t>
      </w:r>
    </w:p>
    <w:bookmarkStart w:id="13" w:name="the-two-surveys"/>
    <w:p>
      <w:pPr>
        <w:pStyle w:val="Heading2"/>
      </w:pPr>
      <w:r>
        <w:rPr>
          <w:rStyle w:val="SectionNumber"/>
        </w:rPr>
        <w:t xml:space="preserve">3.1</w:t>
      </w:r>
      <w:r>
        <w:tab/>
      </w:r>
      <w:r>
        <w:t xml:space="preserve">The two surveys</w:t>
      </w:r>
    </w:p>
    <w:p>
      <w:pPr>
        <w:pStyle w:val="FirstParagraph"/>
      </w:pPr>
      <w:r>
        <w:t xml:space="preserve">The Time Use Survey 2019 was conducted by the National Statistical Office (NSO) from January to December 2019 in four quarterly sub-rounds</w:t>
      </w:r>
      <w:r>
        <w:t xml:space="preserve"> </w:t>
      </w:r>
      <w:r>
        <w:t xml:space="preserve">(</w:t>
      </w:r>
      <w:hyperlink w:anchor="ref-nso2020tus">
        <w:r>
          <w:rPr>
            <w:rStyle w:val="Hyperlink"/>
          </w:rPr>
          <w:t xml:space="preserve">National Statistical Office, 2020b</w:t>
        </w:r>
      </w:hyperlink>
      <w:r>
        <w:t xml:space="preserve">,</w:t>
      </w:r>
      <w:r>
        <w:t xml:space="preserve"> </w:t>
      </w:r>
      <w:hyperlink w:anchor="ref-tus2019data">
        <w:r>
          <w:rPr>
            <w:rStyle w:val="Hyperlink"/>
          </w:rPr>
          <w:t xml:space="preserve">2020a</w:t>
        </w:r>
      </w:hyperlink>
      <w:r>
        <w:t xml:space="preserve">)</w:t>
      </w:r>
      <w:r>
        <w:t xml:space="preserve">. The Time Use Survey 2024 was conducted from January to December 2024 with the same design</w:t>
      </w:r>
      <w:r>
        <w:t xml:space="preserve"> </w:t>
      </w:r>
      <w:r>
        <w:t xml:space="preserve">(</w:t>
      </w:r>
      <w:hyperlink w:anchor="ref-nso2025tus">
        <w:r>
          <w:rPr>
            <w:rStyle w:val="Hyperlink"/>
          </w:rPr>
          <w:t xml:space="preserve">National Statistics Office, 2025b</w:t>
        </w:r>
      </w:hyperlink>
      <w:r>
        <w:t xml:space="preserve">,</w:t>
      </w:r>
      <w:r>
        <w:t xml:space="preserve"> </w:t>
      </w:r>
      <w:hyperlink w:anchor="ref-tus2024data">
        <w:r>
          <w:rPr>
            <w:rStyle w:val="Hyperlink"/>
          </w:rPr>
          <w:t xml:space="preserve">2025a</w:t>
        </w:r>
      </w:hyperlink>
      <w:r>
        <w:t xml:space="preserve">)</w:t>
      </w:r>
      <w:r>
        <w:t xml:space="preserve">. In both surveys every household member aged 6 and over reported the activities of the previous day, from 4:00 a.m. on the day before the interview to 4:00 a.m. on the day of the interview, in 48 half-hour slots. Activities of 10 minutes or more in a slot were recorded with three-digit codes of the International Classification of Activities for Time-Use Statistics 2016 (ICATUS 2016), and one activity in each slot was marked as the major activity. The 2019 survey enumerated 447,250 persons aged 6 and over in 138,799 households, and the 2024 survey 454,192 persons in 139,487 households</w:t>
      </w:r>
      <w:r>
        <w:t xml:space="preserve"> </w:t>
      </w:r>
      <w:r>
        <w:t xml:space="preserve">(</w:t>
      </w:r>
      <w:hyperlink w:anchor="ref-nso2020tus">
        <w:r>
          <w:rPr>
            <w:rStyle w:val="Hyperlink"/>
          </w:rPr>
          <w:t xml:space="preserve">National Statistical Office, 2020b</w:t>
        </w:r>
      </w:hyperlink>
      <w:r>
        <w:t xml:space="preserve">;</w:t>
      </w:r>
      <w:r>
        <w:t xml:space="preserve"> </w:t>
      </w:r>
      <w:hyperlink w:anchor="ref-nso2025tus">
        <w:r>
          <w:rPr>
            <w:rStyle w:val="Hyperlink"/>
          </w:rPr>
          <w:t xml:space="preserve">National Statistics Office, 2025b</w:t>
        </w:r>
      </w:hyperlink>
      <w:r>
        <w:t xml:space="preserve">)</w:t>
      </w:r>
      <w:r>
        <w:t xml:space="preserve">. Both surveys use stratified multi-stage samples, with villages and urban blocks as first-stage units and households as second-stage units.</w:t>
      </w:r>
    </w:p>
    <w:p>
      <w:pPr>
        <w:pStyle w:val="BodyText"/>
      </w:pPr>
      <w:r>
        <w:t xml:space="preserve">I use the unit-level data released by the Ministry of Statistics and Programme Implementation. For 2019 the files contain 9,436,777 activity records for 445,299 persons with diaries; for 2024 they contain 10,211,478 activity records for 450,457 persons. Following the official estimates that consider only the major activity in a slot, each slot is assigned to its major activity, so every diary sums to 1,440 minutes (all diaries in 2019 and all but 5 in 2024). I exclude persons recorded as third gender (129 in 2019 and 49 in 2024), because the numbers are too small for separate analysis, and restrict the sample to persons aged 15 and over with a recorded day of the week. The analysis sample contains 384,736 diaries of women and 386,112 diaries of men.</w:t>
      </w:r>
    </w:p>
    <w:bookmarkEnd w:id="13"/>
    <w:bookmarkStart w:id="14" w:name="what-is-comparable"/>
    <w:p>
      <w:pPr>
        <w:pStyle w:val="Heading2"/>
      </w:pPr>
      <w:r>
        <w:rPr>
          <w:rStyle w:val="SectionNumber"/>
        </w:rPr>
        <w:t xml:space="preserve">3.2</w:t>
      </w:r>
      <w:r>
        <w:tab/>
      </w:r>
      <w:r>
        <w:t xml:space="preserve">What is comparable</w:t>
      </w:r>
    </w:p>
    <w:p>
      <w:pPr>
        <w:pStyle w:val="FirstParagraph"/>
      </w:pPr>
      <w:r>
        <w:t xml:space="preserve">Table 1 summarises the comparison. The activity classification is the same: both surveys use ICATUS 2016 three-digit codes, and the set of codes appearing in the two microdata files is identical. The reference day, slot length, minimum duration, age coverage and diary respondents are the same, and both years were fielded across a full calendar year, so seasonal patterns are balanced. Each person’s usual principal activity status, on which the status decomposition in Section 5.3 rests, is recorded with the same codes in both rosters.</w:t>
      </w:r>
    </w:p>
    <w:p>
      <w:pPr>
        <w:pStyle w:val="TableCaption"/>
      </w:pPr>
      <w:r>
        <w:t xml:space="preserve">Table 1. Comparability of the 2019 and 2024 Time Use Surveys</w:t>
      </w:r>
    </w:p>
    <w:tbl>
      <w:tblPr>
        <w:tblStyle w:val="Table"/>
        <w:tblW w:type="pct" w:w="5000"/>
        <w:tblLayout w:type="fixed"/>
        <w:tblLook w:firstRow="1" w:lastRow="0" w:firstColumn="0" w:lastColumn="0" w:noHBand="0" w:noVBand="0" w:val="0020"/>
        <w:tblCaption w:val="Table 1. Comparability of the 2019 and 2024 Time Use Surveys"/>
      </w:tblPr>
      <w:tblGrid>
        <w:gridCol w:w="1375"/>
        <w:gridCol w:w="1834"/>
        <w:gridCol w:w="2167"/>
        <w:gridCol w:w="2542"/>
      </w:tblGrid>
      <w:tr>
        <w:trPr>
          <w:tblHeader w:val="on"/>
        </w:trPr>
        <w:tc>
          <w:tcPr/>
          <w:p>
            <w:pPr>
              <w:pStyle w:val="Compact"/>
              <w:jc w:val="left"/>
            </w:pPr>
            <w:r>
              <w:t xml:space="preserve">Feature</w:t>
            </w:r>
          </w:p>
        </w:tc>
        <w:tc>
          <w:tcPr/>
          <w:p>
            <w:pPr>
              <w:pStyle w:val="Compact"/>
              <w:jc w:val="left"/>
            </w:pPr>
            <w:r>
              <w:t xml:space="preserve">TUS 2019</w:t>
            </w:r>
          </w:p>
        </w:tc>
        <w:tc>
          <w:tcPr/>
          <w:p>
            <w:pPr>
              <w:pStyle w:val="Compact"/>
              <w:jc w:val="left"/>
            </w:pPr>
            <w:r>
              <w:t xml:space="preserve">TUS 2024</w:t>
            </w:r>
          </w:p>
        </w:tc>
        <w:tc>
          <w:tcPr/>
          <w:p>
            <w:pPr>
              <w:pStyle w:val="Compact"/>
              <w:jc w:val="left"/>
            </w:pPr>
            <w:r>
              <w:t xml:space="preserve">Harmonisation</w:t>
            </w:r>
          </w:p>
        </w:tc>
      </w:tr>
      <w:tr>
        <w:tc>
          <w:tcPr/>
          <w:p>
            <w:pPr>
              <w:pStyle w:val="Compact"/>
              <w:jc w:val="left"/>
            </w:pPr>
            <w:r>
              <w:t xml:space="preserve">Fieldwork</w:t>
            </w:r>
          </w:p>
        </w:tc>
        <w:tc>
          <w:tcPr/>
          <w:p>
            <w:pPr>
              <w:pStyle w:val="Compact"/>
              <w:jc w:val="left"/>
            </w:pPr>
            <w:r>
              <w:t xml:space="preserve">Jan–Dec 2019, four sub-rounds</w:t>
            </w:r>
          </w:p>
        </w:tc>
        <w:tc>
          <w:tcPr/>
          <w:p>
            <w:pPr>
              <w:pStyle w:val="Compact"/>
              <w:jc w:val="left"/>
            </w:pPr>
            <w:r>
              <w:t xml:space="preserve">Jan–Dec 2024, four sub-rounds</w:t>
            </w:r>
          </w:p>
        </w:tc>
        <w:tc>
          <w:tcPr/>
          <w:p>
            <w:pPr>
              <w:pStyle w:val="Compact"/>
              <w:jc w:val="left"/>
            </w:pPr>
            <w:r>
              <w:t xml:space="preserve">None needed</w:t>
            </w:r>
          </w:p>
        </w:tc>
      </w:tr>
      <w:tr>
        <w:tc>
          <w:tcPr/>
          <w:p>
            <w:pPr>
              <w:pStyle w:val="Compact"/>
              <w:jc w:val="left"/>
            </w:pPr>
            <w:r>
              <w:t xml:space="preserve">Sample design</w:t>
            </w:r>
          </w:p>
        </w:tc>
        <w:tc>
          <w:tcPr/>
          <w:p>
            <w:pPr>
              <w:pStyle w:val="Compact"/>
              <w:jc w:val="left"/>
            </w:pPr>
            <w:r>
              <w:t xml:space="preserve">Stratified two-stage</w:t>
            </w:r>
          </w:p>
        </w:tc>
        <w:tc>
          <w:tcPr/>
          <w:p>
            <w:pPr>
              <w:pStyle w:val="Compact"/>
              <w:jc w:val="left"/>
            </w:pPr>
            <w:r>
              <w:t xml:space="preserve">Stratified two-stage</w:t>
            </w:r>
          </w:p>
        </w:tc>
        <w:tc>
          <w:tcPr/>
          <w:p>
            <w:pPr>
              <w:pStyle w:val="Compact"/>
              <w:jc w:val="left"/>
            </w:pPr>
            <w:r>
              <w:t xml:space="preserve">Year-specific weights; clusters by year and first-stage unit</w:t>
            </w:r>
          </w:p>
        </w:tc>
      </w:tr>
      <w:tr>
        <w:tc>
          <w:tcPr/>
          <w:p>
            <w:pPr>
              <w:pStyle w:val="Compact"/>
              <w:jc w:val="left"/>
            </w:pPr>
            <w:r>
              <w:t xml:space="preserve">Persons aged 6+ enumerated</w:t>
            </w:r>
          </w:p>
        </w:tc>
        <w:tc>
          <w:tcPr/>
          <w:p>
            <w:pPr>
              <w:pStyle w:val="Compact"/>
              <w:jc w:val="left"/>
            </w:pPr>
            <w:r>
              <w:t xml:space="preserve">447,250</w:t>
            </w:r>
          </w:p>
        </w:tc>
        <w:tc>
          <w:tcPr/>
          <w:p>
            <w:pPr>
              <w:pStyle w:val="Compact"/>
              <w:jc w:val="left"/>
            </w:pPr>
            <w:r>
              <w:t xml:space="preserve">454,192</w:t>
            </w:r>
          </w:p>
        </w:tc>
        <w:tc>
          <w:tcPr/>
          <w:p>
            <w:pPr>
              <w:pStyle w:val="Compact"/>
              <w:jc w:val="left"/>
            </w:pPr>
            <w:r>
              <w:t xml:space="preserve">–</w:t>
            </w:r>
          </w:p>
        </w:tc>
      </w:tr>
      <w:tr>
        <w:tc>
          <w:tcPr/>
          <w:p>
            <w:pPr>
              <w:pStyle w:val="Compact"/>
              <w:jc w:val="left"/>
            </w:pPr>
            <w:r>
              <w:t xml:space="preserve">Diary reference period</w:t>
            </w:r>
          </w:p>
        </w:tc>
        <w:tc>
          <w:tcPr/>
          <w:p>
            <w:pPr>
              <w:pStyle w:val="Compact"/>
              <w:jc w:val="left"/>
            </w:pPr>
            <w:r>
              <w:t xml:space="preserve">4:00 a.m. to 4:00 a.m.</w:t>
            </w:r>
          </w:p>
        </w:tc>
        <w:tc>
          <w:tcPr/>
          <w:p>
            <w:pPr>
              <w:pStyle w:val="Compact"/>
              <w:jc w:val="left"/>
            </w:pPr>
            <w:r>
              <w:t xml:space="preserve">4:00 a.m. to 4:00 a.m.</w:t>
            </w:r>
          </w:p>
        </w:tc>
        <w:tc>
          <w:tcPr/>
          <w:p>
            <w:pPr>
              <w:pStyle w:val="Compact"/>
              <w:jc w:val="left"/>
            </w:pPr>
            <w:r>
              <w:t xml:space="preserve">None needed</w:t>
            </w:r>
          </w:p>
        </w:tc>
      </w:tr>
      <w:tr>
        <w:tc>
          <w:tcPr/>
          <w:p>
            <w:pPr>
              <w:pStyle w:val="Compact"/>
              <w:jc w:val="left"/>
            </w:pPr>
            <w:r>
              <w:t xml:space="preserve">Slot structure</w:t>
            </w:r>
          </w:p>
        </w:tc>
        <w:tc>
          <w:tcPr/>
          <w:p>
            <w:pPr>
              <w:pStyle w:val="Compact"/>
              <w:jc w:val="left"/>
            </w:pPr>
            <w:r>
              <w:t xml:space="preserve">48 slots of 30 minutes</w:t>
            </w:r>
          </w:p>
        </w:tc>
        <w:tc>
          <w:tcPr/>
          <w:p>
            <w:pPr>
              <w:pStyle w:val="Compact"/>
              <w:jc w:val="left"/>
            </w:pPr>
            <w:r>
              <w:t xml:space="preserve">48 slots of 30 minutes</w:t>
            </w:r>
          </w:p>
        </w:tc>
        <w:tc>
          <w:tcPr/>
          <w:p>
            <w:pPr>
              <w:pStyle w:val="Compact"/>
              <w:jc w:val="left"/>
            </w:pPr>
            <w:r>
              <w:t xml:space="preserve">None needed</w:t>
            </w:r>
          </w:p>
        </w:tc>
      </w:tr>
      <w:tr>
        <w:tc>
          <w:tcPr/>
          <w:p>
            <w:pPr>
              <w:pStyle w:val="Compact"/>
              <w:jc w:val="left"/>
            </w:pPr>
            <w:r>
              <w:t xml:space="preserve">Activities recorded per slot</w:t>
            </w:r>
          </w:p>
        </w:tc>
        <w:tc>
          <w:tcPr/>
          <w:p>
            <w:pPr>
              <w:pStyle w:val="Compact"/>
              <w:jc w:val="left"/>
            </w:pPr>
            <w:r>
              <w:t xml:space="preserve">Activities of 10+ minutes; one marked major</w:t>
            </w:r>
          </w:p>
        </w:tc>
        <w:tc>
          <w:tcPr/>
          <w:p>
            <w:pPr>
              <w:pStyle w:val="Compact"/>
              <w:jc w:val="left"/>
            </w:pPr>
            <w:r>
              <w:t xml:space="preserve">Up to 3 activities of 10+ minutes; one marked major</w:t>
            </w:r>
          </w:p>
        </w:tc>
        <w:tc>
          <w:tcPr/>
          <w:p>
            <w:pPr>
              <w:pStyle w:val="Compact"/>
              <w:jc w:val="left"/>
            </w:pPr>
            <w:r>
              <w:t xml:space="preserve">Major activity only (sums to 1,440)</w:t>
            </w:r>
          </w:p>
        </w:tc>
      </w:tr>
      <w:tr>
        <w:tc>
          <w:tcPr/>
          <w:p>
            <w:pPr>
              <w:pStyle w:val="Compact"/>
              <w:jc w:val="left"/>
            </w:pPr>
            <w:r>
              <w:t xml:space="preserve">Activity classification</w:t>
            </w:r>
          </w:p>
        </w:tc>
        <w:tc>
          <w:tcPr/>
          <w:p>
            <w:pPr>
              <w:pStyle w:val="Compact"/>
              <w:jc w:val="left"/>
            </w:pPr>
            <w:r>
              <w:t xml:space="preserve">ICATUS 2016, 3-digit</w:t>
            </w:r>
          </w:p>
        </w:tc>
        <w:tc>
          <w:tcPr/>
          <w:p>
            <w:pPr>
              <w:pStyle w:val="Compact"/>
              <w:jc w:val="left"/>
            </w:pPr>
            <w:r>
              <w:t xml:space="preserve">ICATUS 2016, 3-digit (same code set)</w:t>
            </w:r>
          </w:p>
        </w:tc>
        <w:tc>
          <w:tcPr/>
          <w:p>
            <w:pPr>
              <w:pStyle w:val="Compact"/>
              <w:jc w:val="left"/>
            </w:pPr>
            <w:r>
              <w:t xml:space="preserve">None needed</w:t>
            </w:r>
          </w:p>
        </w:tc>
      </w:tr>
      <w:tr>
        <w:tc>
          <w:tcPr/>
          <w:p>
            <w:pPr>
              <w:pStyle w:val="Compact"/>
              <w:jc w:val="left"/>
            </w:pPr>
            <w:r>
              <w:t xml:space="preserve">Mode of interview</w:t>
            </w:r>
          </w:p>
        </w:tc>
        <w:tc>
          <w:tcPr/>
          <w:p>
            <w:pPr>
              <w:pStyle w:val="Compact"/>
              <w:jc w:val="left"/>
            </w:pPr>
            <w:r>
              <w:t xml:space="preserve">Personal interview</w:t>
            </w:r>
          </w:p>
        </w:tc>
        <w:tc>
          <w:tcPr/>
          <w:p>
            <w:pPr>
              <w:pStyle w:val="Compact"/>
              <w:jc w:val="left"/>
            </w:pPr>
            <w:r>
              <w:t xml:space="preserve">CAPI</w:t>
            </w:r>
          </w:p>
        </w:tc>
        <w:tc>
          <w:tcPr/>
          <w:p>
            <w:pPr>
              <w:pStyle w:val="Compact"/>
              <w:jc w:val="left"/>
            </w:pPr>
            <w:r>
              <w:t xml:space="preserve">Not possible; see text</w:t>
            </w:r>
          </w:p>
        </w:tc>
      </w:tr>
      <w:tr>
        <w:tc>
          <w:tcPr/>
          <w:p>
            <w:pPr>
              <w:pStyle w:val="Compact"/>
              <w:jc w:val="left"/>
            </w:pPr>
            <w:r>
              <w:t xml:space="preserve">Proxy-reported diaries, ages 15+</w:t>
            </w:r>
          </w:p>
        </w:tc>
        <w:tc>
          <w:tcPr/>
          <w:p>
            <w:pPr>
              <w:pStyle w:val="Compact"/>
              <w:jc w:val="left"/>
            </w:pPr>
            <w:r>
              <w:t xml:space="preserve">35.5%</w:t>
            </w:r>
          </w:p>
        </w:tc>
        <w:tc>
          <w:tcPr/>
          <w:p>
            <w:pPr>
              <w:pStyle w:val="Compact"/>
              <w:jc w:val="left"/>
            </w:pPr>
            <w:r>
              <w:t xml:space="preserve">33.5%</w:t>
            </w:r>
          </w:p>
        </w:tc>
        <w:tc>
          <w:tcPr/>
          <w:p>
            <w:pPr>
              <w:pStyle w:val="Compact"/>
              <w:jc w:val="left"/>
            </w:pPr>
            <w:r>
              <w:t xml:space="preserve">Robustness: self-reports only</w:t>
            </w:r>
          </w:p>
        </w:tc>
      </w:tr>
      <w:tr>
        <w:tc>
          <w:tcPr/>
          <w:p>
            <w:pPr>
              <w:pStyle w:val="Compact"/>
              <w:jc w:val="left"/>
            </w:pPr>
            <w:r>
              <w:t xml:space="preserve">Household roster</w:t>
            </w:r>
          </w:p>
        </w:tc>
        <w:tc>
          <w:tcPr/>
          <w:p>
            <w:pPr>
              <w:pStyle w:val="Compact"/>
              <w:jc w:val="left"/>
            </w:pPr>
            <w:r>
              <w:t xml:space="preserve">All members, incl. under 6</w:t>
            </w:r>
          </w:p>
        </w:tc>
        <w:tc>
          <w:tcPr/>
          <w:p>
            <w:pPr>
              <w:pStyle w:val="Compact"/>
              <w:jc w:val="left"/>
            </w:pPr>
            <w:r>
              <w:t xml:space="preserve">Members aged 6+ only</w:t>
            </w:r>
          </w:p>
        </w:tc>
        <w:tc>
          <w:tcPr/>
          <w:p>
            <w:pPr>
              <w:pStyle w:val="Compact"/>
              <w:jc w:val="left"/>
            </w:pPr>
            <w:r>
              <w:t xml:space="preserve">Under-6 = household size minus diarists, both years</w:t>
            </w:r>
          </w:p>
        </w:tc>
      </w:tr>
      <w:tr>
        <w:tc>
          <w:tcPr/>
          <w:p>
            <w:pPr>
              <w:pStyle w:val="Compact"/>
              <w:jc w:val="left"/>
            </w:pPr>
            <w:r>
              <w:t xml:space="preserve">State boundaries</w:t>
            </w:r>
          </w:p>
        </w:tc>
        <w:tc>
          <w:tcPr/>
          <w:p>
            <w:pPr>
              <w:pStyle w:val="Compact"/>
              <w:jc w:val="left"/>
            </w:pPr>
            <w:r>
              <w:t xml:space="preserve">J&amp;K incl. Ladakh; DNH and DD separate</w:t>
            </w:r>
          </w:p>
        </w:tc>
        <w:tc>
          <w:tcPr/>
          <w:p>
            <w:pPr>
              <w:pStyle w:val="Compact"/>
              <w:jc w:val="left"/>
            </w:pPr>
            <w:r>
              <w:t xml:space="preserve">Ladakh separate; DNH and DD merged</w:t>
            </w:r>
          </w:p>
        </w:tc>
        <w:tc>
          <w:tcPr/>
          <w:p>
            <w:pPr>
              <w:pStyle w:val="Compact"/>
              <w:jc w:val="left"/>
            </w:pPr>
            <w:r>
              <w:t xml:space="preserve">Ladakh to J&amp;K; DNH and DD merged</w:t>
            </w:r>
          </w:p>
        </w:tc>
      </w:tr>
      <w:tr>
        <w:tc>
          <w:tcPr/>
          <w:p>
            <w:pPr>
              <w:pStyle w:val="Compact"/>
              <w:jc w:val="left"/>
            </w:pPr>
            <w:r>
              <w:t xml:space="preserve">Usual activity status</w:t>
            </w:r>
          </w:p>
        </w:tc>
        <w:tc>
          <w:tcPr/>
          <w:p>
            <w:pPr>
              <w:pStyle w:val="Compact"/>
              <w:jc w:val="left"/>
            </w:pPr>
            <w:r>
              <w:t xml:space="preserve">Principal status, NSS codes</w:t>
            </w:r>
          </w:p>
        </w:tc>
        <w:tc>
          <w:tcPr/>
          <w:p>
            <w:pPr>
              <w:pStyle w:val="Compact"/>
              <w:jc w:val="left"/>
            </w:pPr>
            <w:r>
              <w:t xml:space="preserve">Principal status, NSS codes</w:t>
            </w:r>
          </w:p>
        </w:tc>
        <w:tc>
          <w:tcPr/>
          <w:p>
            <w:pPr>
              <w:pStyle w:val="Compact"/>
              <w:jc w:val="left"/>
            </w:pPr>
            <w:r>
              <w:t xml:space="preserve">Same groups</w:t>
            </w:r>
          </w:p>
        </w:tc>
      </w:tr>
    </w:tbl>
    <w:p>
      <w:pPr>
        <w:pStyle w:val="BodyText"/>
      </w:pPr>
      <w:r>
        <w:rPr>
          <w:i/>
          <w:iCs/>
        </w:rPr>
        <w:t xml:space="preserve">Note:</w:t>
      </w:r>
      <w:r>
        <w:t xml:space="preserve"> </w:t>
      </w:r>
      <w:r>
        <w:t xml:space="preserve">Design features from National Statistical Office (2020b) and National Statistics Office (2025b). Proxy-reported: weighted share of diaries of persons aged 15+ for which the informant was not the respondent, from the microdata. CAPI: computer-assisted personal interview. J&amp;K: Jammu and Kashmir; DNH and DD: Dadra and Nagar Haveli, and Daman and Diu.</w:t>
      </w:r>
    </w:p>
    <w:bookmarkEnd w:id="14"/>
    <w:bookmarkStart w:id="15" w:name="what-is-not-or-not-fully-comparable"/>
    <w:p>
      <w:pPr>
        <w:pStyle w:val="Heading2"/>
      </w:pPr>
      <w:r>
        <w:rPr>
          <w:rStyle w:val="SectionNumber"/>
        </w:rPr>
        <w:t xml:space="preserve">3.3</w:t>
      </w:r>
      <w:r>
        <w:tab/>
      </w:r>
      <w:r>
        <w:t xml:space="preserve">What is not, or not fully, comparable</w:t>
      </w:r>
    </w:p>
    <w:p>
      <w:pPr>
        <w:pStyle w:val="FirstParagraph"/>
      </w:pPr>
      <w:r>
        <w:t xml:space="preserve">Four differences limit comparability. First, the 2024 survey was conducted by computer-assisted personal interview (CAPI)</w:t>
      </w:r>
      <w:r>
        <w:t xml:space="preserve"> </w:t>
      </w:r>
      <w:r>
        <w:t xml:space="preserve">(</w:t>
      </w:r>
      <w:hyperlink w:anchor="ref-nso2025tus">
        <w:r>
          <w:rPr>
            <w:rStyle w:val="Hyperlink"/>
          </w:rPr>
          <w:t xml:space="preserve">National Statistics Office, 2025b</w:t>
        </w:r>
      </w:hyperlink>
      <w:r>
        <w:t xml:space="preserve">)</w:t>
      </w:r>
      <w:r>
        <w:t xml:space="preserve">, whereas the 2019 report describes personal interviews without specifying computer assistance</w:t>
      </w:r>
      <w:r>
        <w:t xml:space="preserve"> </w:t>
      </w:r>
      <w:r>
        <w:t xml:space="preserve">(</w:t>
      </w:r>
      <w:hyperlink w:anchor="ref-nso2020tus">
        <w:r>
          <w:rPr>
            <w:rStyle w:val="Hyperlink"/>
          </w:rPr>
          <w:t xml:space="preserve">National Statistical Office, 2020b</w:t>
        </w:r>
      </w:hyperlink>
      <w:r>
        <w:t xml:space="preserve">)</w:t>
      </w:r>
      <w:r>
        <w:t xml:space="preserve">. A change in mode can change how activities are prompted and recorded. Second, the 2024 documentation explicitly caps recorded activities at three per slot. Because I use only the major activity in each slot, the number of simultaneous activities recorded does not affect the estimates, but the choice of the major activity could. Third, the 2024 microdata contain no household members under age 6, so the number of young children must be inferred as household size minus the number of diarists. I apply the same residual method to 2019. In the 2019 data, where children under 6 are listed, the residual and the direct count agree on whether a household has a child under 6 for 99.4 percent of diaries. Fourth, the share of diaries reported for a</w:t>
      </w:r>
      <w:r>
        <w:t xml:space="preserve"> </w:t>
      </w:r>
      <w:r>
        <w:t xml:space="preserve">“normal”</w:t>
      </w:r>
      <w:r>
        <w:t xml:space="preserve"> </w:t>
      </w:r>
      <w:r>
        <w:t xml:space="preserve">day is slightly lower in 2024 (Table 2).</w:t>
      </w:r>
    </w:p>
    <w:p>
      <w:pPr>
        <w:pStyle w:val="BodyText"/>
      </w:pPr>
      <w:r>
        <w:t xml:space="preserve">These differences matter most for changes that are common to men and women. Both sexes record about 20 fewer minutes of self-care (sleep, eating and personal hygiene) in 2024 and more free time. A real change cannot be ruled out, but a common shift of this kind is also what a change in recording practice would produce. I therefore give most weight to estimates that are less exposed to common recording changes: changes in the gap between women and men, which difference out shifts common to both sexes, and changes in paid and unpaid work, which are the focus of both surveys’ published estimates. I also show that the main estimates hold among self-reported diaries, diaries for normal days, and weekday diaries.</w:t>
      </w:r>
    </w:p>
    <w:p>
      <w:pPr>
        <w:pStyle w:val="BodyText"/>
      </w:pPr>
      <w:r>
        <w:t xml:space="preserve">As an external check, participation rates estimated from the microdata closely reproduce the official figures. Among persons aged 15 to 59, the official estimates put the share of women participating in employment and related activities at 21.8 percent in 2019 and 25.0 percent in 2024, and the share of men at 70.9 and 75.0 percent</w:t>
      </w:r>
      <w:r>
        <w:t xml:space="preserve"> </w:t>
      </w:r>
      <w:r>
        <w:t xml:space="preserve">(</w:t>
      </w:r>
      <w:hyperlink w:anchor="ref-nso2025tus">
        <w:r>
          <w:rPr>
            <w:rStyle w:val="Hyperlink"/>
          </w:rPr>
          <w:t xml:space="preserve">National Statistics Office, 2025b</w:t>
        </w:r>
      </w:hyperlink>
      <w:r>
        <w:t xml:space="preserve">)</w:t>
      </w:r>
      <w:r>
        <w:t xml:space="preserve">. The corresponding estimates in my data, based on the major activity, are 21.7 and 24.9 percent for women and 70.7 and 74.9 percent for men.</w:t>
      </w:r>
    </w:p>
    <w:bookmarkEnd w:id="15"/>
    <w:bookmarkStart w:id="16" w:name="activity-groups"/>
    <w:p>
      <w:pPr>
        <w:pStyle w:val="Heading2"/>
      </w:pPr>
      <w:r>
        <w:rPr>
          <w:rStyle w:val="SectionNumber"/>
        </w:rPr>
        <w:t xml:space="preserve">3.4</w:t>
      </w:r>
      <w:r>
        <w:tab/>
      </w:r>
      <w:r>
        <w:t xml:space="preserve">Activity groups</w:t>
      </w:r>
    </w:p>
    <w:p>
      <w:pPr>
        <w:pStyle w:val="FirstParagraph"/>
      </w:pPr>
      <w:r>
        <w:t xml:space="preserve">I group the three-digit codes into the nine ICATUS divisions: (1) employment and related activities, including travel to work; (2) production of goods for own final use, such as farming, animal care and collecting fuel and water for the household; (3) unpaid domestic services for household members; (4) unpaid caregiving for household members; (5) unpaid volunteer, trainee and other unpaid work; (6) learning; (7) socialising, communication, community participation and religious practice; (8) culture, leisure, mass media and sports; and (9) self-care and maintenance. I refer to division 1 as employment or paid work, to divisions 1 and 2 together as production work (both fall within the production boundary of the System of National Accounts), to divisions 3 and 4 as unpaid work, to divisions 7 and 8 as free time, and to divisions 1 to 5 as total work.</w:t>
      </w:r>
    </w:p>
    <w:bookmarkEnd w:id="16"/>
    <w:bookmarkEnd w:id="17"/>
    <w:bookmarkStart w:id="18" w:name="methods"/>
    <w:p>
      <w:pPr>
        <w:pStyle w:val="Heading1"/>
      </w:pPr>
      <w:r>
        <w:rPr>
          <w:rStyle w:val="SectionNumber"/>
        </w:rPr>
        <w:t xml:space="preserve">4</w:t>
      </w:r>
      <w:r>
        <w:tab/>
      </w:r>
      <w:r>
        <w:t xml:space="preserve">Methods</w:t>
      </w:r>
    </w:p>
    <w:p>
      <w:pPr>
        <w:pStyle w:val="FirstParagraph"/>
      </w:pPr>
      <w:r>
        <w:t xml:space="preserve">All estimates use the survey weights, rescaled within each year so that the two years contribute in proportion to their sample sizes. Standard errors are clustered by first-stage unit within year, and I report 95 percent confidence intervals.</w:t>
      </w:r>
    </w:p>
    <w:p>
      <w:pPr>
        <w:pStyle w:val="BodyText"/>
      </w:pPr>
      <w:r>
        <w:rPr>
          <w:b/>
          <w:bCs/>
        </w:rPr>
        <w:t xml:space="preserve">Changes and changes in gaps.</w:t>
      </w:r>
      <w:r>
        <w:t xml:space="preserve"> </w:t>
      </w:r>
      <w:r>
        <w:t xml:space="preserve">For each activity group</w:t>
      </w:r>
      <w:r>
        <w:t xml:space="preserve"> </w:t>
      </w:r>
      <m:oMath>
        <m:r>
          <m:t>y</m:t>
        </m:r>
      </m:oMath>
      <w:r>
        <w:t xml:space="preserve">, the change in mean minutes for women is the coefficient on a 2024 indicator in a weighted regression of</w:t>
      </w:r>
      <w:r>
        <w:t xml:space="preserve"> </w:t>
      </w:r>
      <m:oMath>
        <m:r>
          <m:t>y</m:t>
        </m:r>
      </m:oMath>
      <w:r>
        <w:t xml:space="preserve"> </w:t>
      </w:r>
      <w:r>
        <w:t xml:space="preserve">on that indicator in the women’s sample, and likewise for men. The change in the gender gap is the coefficient</w:t>
      </w:r>
      <w:r>
        <w:t xml:space="preserve"> </w:t>
      </w:r>
      <m:oMath>
        <m:r>
          <m:t>δ</m:t>
        </m:r>
      </m:oMath>
      <w:r>
        <w:t xml:space="preserve"> </w:t>
      </w:r>
      <w:r>
        <w:t xml:space="preserve">in</w:t>
      </w:r>
    </w:p>
    <w:p>
      <w:pPr>
        <w:pStyle w:val="BodyText"/>
      </w:pPr>
      <m:oMathPara>
        <m:oMathParaPr>
          <m:jc m:val="center"/>
        </m:oMathParaPr>
        <m:oMath>
          <m:sSub>
            <m:e>
              <m:r>
                <m:t>y</m:t>
              </m:r>
            </m:e>
            <m:sub>
              <m:r>
                <m:t>i</m:t>
              </m:r>
            </m:sub>
          </m:sSub>
          <m:r>
            <m:rPr>
              <m:sty m:val="p"/>
            </m:rPr>
            <m:t>=</m:t>
          </m:r>
          <m:r>
            <m:t>α</m:t>
          </m:r>
          <m:r>
            <m:rPr>
              <m:sty m:val="p"/>
            </m:rPr>
            <m:t>+</m:t>
          </m:r>
          <m:r>
            <m:t>β</m:t>
          </m:r>
          <m:r>
            <m:t> </m:t>
          </m:r>
          <m:sSub>
            <m:e>
              <m:r>
                <m:rPr>
                  <m:nor/>
                  <m:sty m:val="p"/>
                </m:rPr>
                <m:t>Female</m:t>
              </m:r>
            </m:e>
            <m:sub>
              <m:r>
                <m:t>i</m:t>
              </m:r>
            </m:sub>
          </m:sSub>
          <m:r>
            <m:rPr>
              <m:sty m:val="p"/>
            </m:rPr>
            <m:t>+</m:t>
          </m:r>
          <m:r>
            <m:t>γ</m:t>
          </m:r>
          <m:r>
            <m:t> </m:t>
          </m:r>
          <m:sSub>
            <m:e>
              <m:r>
                <m:rPr>
                  <m:nor/>
                  <m:sty m:val="p"/>
                </m:rPr>
                <m:t>Y2024</m:t>
              </m:r>
            </m:e>
            <m:sub>
              <m:r>
                <m:t>i</m:t>
              </m:r>
            </m:sub>
          </m:sSub>
          <m:r>
            <m:rPr>
              <m:sty m:val="p"/>
            </m:rPr>
            <m:t>+</m:t>
          </m:r>
          <m:r>
            <m:t>δ</m:t>
          </m:r>
          <m:r>
            <m:t> </m:t>
          </m:r>
          <m:r>
            <m:rPr>
              <m:sty m:val="p"/>
            </m:rPr>
            <m:t>(</m:t>
          </m:r>
          <m:sSub>
            <m:e>
              <m:r>
                <m:rPr>
                  <m:nor/>
                  <m:sty m:val="p"/>
                </m:rPr>
                <m:t>Female</m:t>
              </m:r>
            </m:e>
            <m:sub>
              <m:r>
                <m:t>i</m:t>
              </m:r>
            </m:sub>
          </m:sSub>
          <m:r>
            <m:rPr>
              <m:sty m:val="p"/>
            </m:rPr>
            <m:t>×</m:t>
          </m:r>
          <m:sSub>
            <m:e>
              <m:r>
                <m:rPr>
                  <m:nor/>
                  <m:sty m:val="p"/>
                </m:rPr>
                <m:t>Y2024</m:t>
              </m:r>
            </m:e>
            <m:sub>
              <m:r>
                <m:t>i</m:t>
              </m:r>
            </m:sub>
          </m:sSub>
          <m:r>
            <m:rPr>
              <m:sty m:val="p"/>
            </m:rPr>
            <m:t>)</m:t>
          </m:r>
          <m:r>
            <m:rPr>
              <m:sty m:val="p"/>
            </m:rPr>
            <m:t>+</m:t>
          </m:r>
          <m:sSub>
            <m:e>
              <m:r>
                <m:t>ε</m:t>
              </m:r>
            </m:e>
            <m:sub>
              <m:r>
                <m:t>i</m:t>
              </m:r>
            </m:sub>
          </m:sSub>
          <m:r>
            <m:rPr>
              <m:sty m:val="p"/>
            </m:rPr>
            <m:t>.</m:t>
          </m:r>
        </m:oMath>
      </m:oMathPara>
    </w:p>
    <w:p>
      <w:pPr>
        <w:pStyle w:val="FirstParagraph"/>
      </w:pPr>
      <w:r>
        <w:t xml:space="preserve">Because the 1,440 minutes of each diary are fully allocated, the changes across the nine divisions sum to zero for each sex.</w:t>
      </w:r>
    </w:p>
    <w:p>
      <w:pPr>
        <w:pStyle w:val="BodyText"/>
      </w:pPr>
      <w:r>
        <w:rPr>
          <w:b/>
          <w:bCs/>
        </w:rPr>
        <w:t xml:space="preserve">Extensive and intensive margins.</w:t>
      </w:r>
      <w:r>
        <w:t xml:space="preserve"> </w:t>
      </w:r>
      <w:r>
        <w:t xml:space="preserve">Mean minutes in an activity equal the share of persons doing it on the diary day,</w:t>
      </w:r>
      <w:r>
        <w:t xml:space="preserve"> </w:t>
      </w:r>
      <m:oMath>
        <m:r>
          <m:t>p</m:t>
        </m:r>
      </m:oMath>
      <w:r>
        <w:t xml:space="preserve">, times the mean minutes among those who do it,</w:t>
      </w:r>
      <w:r>
        <w:t xml:space="preserve"> </w:t>
      </w:r>
      <m:oMath>
        <m:r>
          <m:t>m</m:t>
        </m:r>
      </m:oMath>
      <w:r>
        <w:t xml:space="preserve">. I split the change into an extensive part,</w:t>
      </w:r>
      <w:r>
        <w:t xml:space="preserve"> </w:t>
      </w:r>
      <m:oMath>
        <m:r>
          <m:rPr>
            <m:sty m:val="p"/>
          </m:rPr>
          <m:t>Δ</m:t>
        </m:r>
        <m:r>
          <m:t>p</m:t>
        </m:r>
        <m:r>
          <m:rPr>
            <m:sty m:val="p"/>
          </m:rPr>
          <m:t>⋅</m:t>
        </m:r>
        <m:acc>
          <m:accPr>
            <m:chr m:val="‾"/>
          </m:accPr>
          <m:e>
            <m:r>
              <m:t>m</m:t>
            </m:r>
          </m:e>
        </m:acc>
      </m:oMath>
      <w:r>
        <w:t xml:space="preserve">, and an intensive part,</w:t>
      </w:r>
      <w:r>
        <w:t xml:space="preserve"> </w:t>
      </w:r>
      <m:oMath>
        <m:r>
          <m:rPr>
            <m:sty m:val="p"/>
          </m:rPr>
          <m:t>Δ</m:t>
        </m:r>
        <m:r>
          <m:t>m</m:t>
        </m:r>
        <m:r>
          <m:rPr>
            <m:sty m:val="p"/>
          </m:rPr>
          <m:t>⋅</m:t>
        </m:r>
        <m:acc>
          <m:accPr>
            <m:chr m:val="‾"/>
          </m:accPr>
          <m:e>
            <m:r>
              <m:t>p</m:t>
            </m:r>
          </m:e>
        </m:acc>
      </m:oMath>
      <w:r>
        <w:t xml:space="preserve">, where bars denote averages of the two years; the two parts sum to the total change.</w:t>
      </w:r>
    </w:p>
    <w:p>
      <w:pPr>
        <w:pStyle w:val="BodyText"/>
      </w:pPr>
      <w:r>
        <w:rPr>
          <w:b/>
          <w:bCs/>
        </w:rPr>
        <w:t xml:space="preserve">Status shift-share.</w:t>
      </w:r>
      <w:r>
        <w:t xml:space="preserve"> </w:t>
      </w:r>
      <w:r>
        <w:t xml:space="preserve">Women’s mean minutes equal</w:t>
      </w:r>
      <w:r>
        <w:t xml:space="preserve"> </w:t>
      </w:r>
      <m:oMath>
        <m:nary>
          <m:naryPr>
            <m:chr m:val="∑"/>
            <m:limLoc m:val="undOvr"/>
            <m:subHide m:val="off"/>
            <m:supHide m:val="on"/>
          </m:naryPr>
          <m:sub>
            <m:r>
              <m:t>k</m:t>
            </m:r>
          </m:sub>
          <m:sup>
            <m:r>
              <m:t>​</m:t>
            </m:r>
          </m:sup>
          <m:e>
            <m:sSub>
              <m:e>
                <m:r>
                  <m:t>s</m:t>
                </m:r>
              </m:e>
              <m:sub>
                <m:r>
                  <m:t>k</m:t>
                </m:r>
              </m:sub>
            </m:sSub>
          </m:e>
        </m:nary>
        <m:sSub>
          <m:e>
            <m:r>
              <m:t>μ</m:t>
            </m:r>
          </m:e>
          <m:sub>
            <m:r>
              <m:t>k</m:t>
            </m:r>
          </m:sub>
        </m:sSub>
      </m:oMath>
      <w:r>
        <w:t xml:space="preserve">, where</w:t>
      </w:r>
      <w:r>
        <w:t xml:space="preserve"> </w:t>
      </w:r>
      <m:oMath>
        <m:sSub>
          <m:e>
            <m:r>
              <m:t>s</m:t>
            </m:r>
          </m:e>
          <m:sub>
            <m:r>
              <m:t>k</m:t>
            </m:r>
          </m:sub>
        </m:sSub>
      </m:oMath>
      <w:r>
        <w:t xml:space="preserve"> </w:t>
      </w:r>
      <w:r>
        <w:t xml:space="preserve">is the share of women in usual principal activity status</w:t>
      </w:r>
      <w:r>
        <w:t xml:space="preserve"> </w:t>
      </w:r>
      <m:oMath>
        <m:r>
          <m:t>k</m:t>
        </m:r>
      </m:oMath>
      <w:r>
        <w:t xml:space="preserve"> </w:t>
      </w:r>
      <w:r>
        <w:t xml:space="preserve">(self-employed, unpaid family helper, regular wage or salaried, casual labour, domestic duties, student, and other) and</w:t>
      </w:r>
      <w:r>
        <w:t xml:space="preserve"> </w:t>
      </w:r>
      <m:oMath>
        <m:sSub>
          <m:e>
            <m:r>
              <m:t>μ</m:t>
            </m:r>
          </m:e>
          <m:sub>
            <m:r>
              <m:t>k</m:t>
            </m:r>
          </m:sub>
        </m:sSub>
      </m:oMath>
      <w:r>
        <w:t xml:space="preserve"> </w:t>
      </w:r>
      <w:r>
        <w:t xml:space="preserve">is mean minutes in that status. The change splits into a between-status part,</w:t>
      </w:r>
      <w:r>
        <w:t xml:space="preserve"> </w:t>
      </w:r>
      <m:oMath>
        <m:nary>
          <m:naryPr>
            <m:chr m:val="∑"/>
            <m:limLoc m:val="undOvr"/>
            <m:subHide m:val="off"/>
            <m:supHide m:val="on"/>
          </m:naryPr>
          <m:sub>
            <m:r>
              <m:t>k</m:t>
            </m:r>
          </m:sub>
          <m:sup>
            <m:r>
              <m:t>​</m:t>
            </m:r>
          </m:sup>
          <m:e>
            <m:r>
              <m:rPr>
                <m:sty m:val="p"/>
              </m:rPr>
              <m:t>Δ</m:t>
            </m:r>
          </m:e>
        </m:nary>
        <m:sSub>
          <m:e>
            <m:r>
              <m:t>s</m:t>
            </m:r>
          </m:e>
          <m:sub>
            <m:r>
              <m:t>k</m:t>
            </m:r>
          </m:sub>
        </m:sSub>
        <m:sSub>
          <m:e>
            <m:acc>
              <m:accPr>
                <m:chr m:val="‾"/>
              </m:accPr>
              <m:e>
                <m:r>
                  <m:t>μ</m:t>
                </m:r>
              </m:e>
            </m:acc>
          </m:e>
          <m:sub>
            <m:r>
              <m:t>k</m:t>
            </m:r>
          </m:sub>
        </m:sSub>
      </m:oMath>
      <w:r>
        <w:t xml:space="preserve">, which captures movement of women across statuses, and a within-status part,</w:t>
      </w:r>
      <w:r>
        <w:t xml:space="preserve"> </w:t>
      </w:r>
      <m:oMath>
        <m:nary>
          <m:naryPr>
            <m:chr m:val="∑"/>
            <m:limLoc m:val="undOvr"/>
            <m:subHide m:val="off"/>
            <m:supHide m:val="on"/>
          </m:naryPr>
          <m:sub>
            <m:r>
              <m:t>k</m:t>
            </m:r>
          </m:sub>
          <m:sup>
            <m:r>
              <m:t>​</m:t>
            </m:r>
          </m:sup>
          <m:e>
            <m:sSub>
              <m:e>
                <m:acc>
                  <m:accPr>
                    <m:chr m:val="‾"/>
                  </m:accPr>
                  <m:e>
                    <m:r>
                      <m:t>s</m:t>
                    </m:r>
                  </m:e>
                </m:acc>
              </m:e>
              <m:sub>
                <m:r>
                  <m:t>k</m:t>
                </m:r>
              </m:sub>
            </m:sSub>
          </m:e>
        </m:nary>
        <m:r>
          <m:rPr>
            <m:sty m:val="p"/>
          </m:rPr>
          <m:t>Δ</m:t>
        </m:r>
        <m:sSub>
          <m:e>
            <m:r>
              <m:t>μ</m:t>
            </m:r>
          </m:e>
          <m:sub>
            <m:r>
              <m:t>k</m:t>
            </m:r>
          </m:sub>
        </m:sSub>
      </m:oMath>
      <w:r>
        <w:t xml:space="preserve">, which captures changes in time use among women with the same status. Status is reported for the past year and the diary for one day, so the decomposition links the status-based and time-based measures of work.</w:t>
      </w:r>
    </w:p>
    <w:p>
      <w:pPr>
        <w:pStyle w:val="BodyText"/>
      </w:pPr>
      <w:r>
        <w:rPr>
          <w:b/>
          <w:bCs/>
        </w:rPr>
        <w:t xml:space="preserve">Composition adjustment.</w:t>
      </w:r>
      <w:r>
        <w:t xml:space="preserve"> </w:t>
      </w:r>
      <w:r>
        <w:t xml:space="preserve">To ask whether changes in the population’s composition explain the changes in time use, I reweight the 2019 sample to the 2024 distribution of observed characteristics</w:t>
      </w:r>
      <w:r>
        <w:t xml:space="preserve"> </w:t>
      </w:r>
      <w:r>
        <w:t xml:space="preserve">(</w:t>
      </w:r>
      <w:hyperlink w:anchor="ref-dinardo1996">
        <w:r>
          <w:rPr>
            <w:rStyle w:val="Hyperlink"/>
          </w:rPr>
          <w:t xml:space="preserve">DiNardo, Fortin, and Lemieux, 1996</w:t>
        </w:r>
      </w:hyperlink>
      <w:r>
        <w:t xml:space="preserve">;</w:t>
      </w:r>
      <w:r>
        <w:t xml:space="preserve"> </w:t>
      </w:r>
      <w:hyperlink w:anchor="ref-fortin2011">
        <w:r>
          <w:rPr>
            <w:rStyle w:val="Hyperlink"/>
          </w:rPr>
          <w:t xml:space="preserve">Fortin, Lemieux, and Firpo, 2011</w:t>
        </w:r>
      </w:hyperlink>
      <w:r>
        <w:t xml:space="preserve">)</w:t>
      </w:r>
      <w:r>
        <w:t xml:space="preserve">. A weighted logit of the 2024 indicator on age group by sector, education by sector, marital status, household size, presence of a child under 6, state, within-year consumption quintile, sub-round and day of the week gives the predicted probability</w:t>
      </w:r>
      <w:r>
        <w:t xml:space="preserve"> </w:t>
      </w:r>
      <m:oMath>
        <m:acc>
          <m:accPr>
            <m:chr m:val="̂"/>
          </m:accPr>
          <m:e>
            <m:r>
              <m:t>p</m:t>
            </m:r>
          </m:e>
        </m:acc>
        <m:r>
          <m:rPr>
            <m:sty m:val="p"/>
          </m:rPr>
          <m:t>(</m:t>
        </m:r>
        <m:r>
          <m:t>X</m:t>
        </m:r>
        <m:r>
          <m:rPr>
            <m:sty m:val="p"/>
          </m:rPr>
          <m:t>)</m:t>
        </m:r>
      </m:oMath>
      <w:r>
        <w:t xml:space="preserve">. Each 2019 observation’s weight is multiplied by</w:t>
      </w:r>
      <w:r>
        <w:t xml:space="preserve"> </w:t>
      </w:r>
      <m:oMath>
        <m:acc>
          <m:accPr>
            <m:chr m:val="̂"/>
          </m:accPr>
          <m:e>
            <m:r>
              <m:t>p</m:t>
            </m:r>
          </m:e>
        </m:acc>
        <m:r>
          <m:rPr>
            <m:sty m:val="p"/>
          </m:rPr>
          <m:t>(</m:t>
        </m:r>
        <m:r>
          <m:t>X</m:t>
        </m:r>
        <m:r>
          <m:rPr>
            <m:sty m:val="p"/>
          </m:rPr>
          <m:t>)</m:t>
        </m:r>
        <m:r>
          <m:rPr>
            <m:sty m:val="p"/>
          </m:rPr>
          <m:t>/</m:t>
        </m:r>
        <m:r>
          <m:rPr>
            <m:sty m:val="p"/>
          </m:rPr>
          <m:t>(</m:t>
        </m:r>
        <m:r>
          <m:t>1</m:t>
        </m:r>
        <m:r>
          <m:rPr>
            <m:sty m:val="p"/>
          </m:rPr>
          <m:t>−</m:t>
        </m:r>
        <m:acc>
          <m:accPr>
            <m:chr m:val="̂"/>
          </m:accPr>
          <m:e>
            <m:r>
              <m:t>p</m:t>
            </m:r>
          </m:e>
        </m:acc>
        <m:r>
          <m:rPr>
            <m:sty m:val="p"/>
          </m:rPr>
          <m:t>(</m:t>
        </m:r>
        <m:r>
          <m:t>X</m:t>
        </m:r>
        <m:r>
          <m:rPr>
            <m:sty m:val="p"/>
          </m:rPr>
          <m:t>)</m:t>
        </m:r>
        <m:r>
          <m:rPr>
            <m:sty m:val="p"/>
          </m:rPr>
          <m:t>)</m:t>
        </m:r>
      </m:oMath>
      <w:r>
        <w:t xml:space="preserve"> </w:t>
      </w:r>
      <w:r>
        <w:t xml:space="preserve">and scaled by the ratio of the year shares. The difference between the 2024 mean and the reweighted 2019 mean is the change holding these characteristics at their 2024 distribution. Status is not included, because it is an outcome of the same process. The effective sample size of the reweighted 2019 sample is 95 percent of that with the original weights for women and 97 percent for men, so the reweighting does not rest on a few observations.</w:t>
      </w:r>
    </w:p>
    <w:p>
      <w:pPr>
        <w:pStyle w:val="BodyText"/>
      </w:pPr>
      <w:r>
        <w:rPr>
          <w:b/>
          <w:bCs/>
        </w:rPr>
        <w:t xml:space="preserve">Use of AI tools.</w:t>
      </w:r>
      <w:r>
        <w:t xml:space="preserve"> </w:t>
      </w:r>
      <w:r>
        <w:t xml:space="preserve">Claude (Anthropic) was used to polish the language of the manuscript. Claude and other AI coding assistants helped write and check the analysis code and check the references under the author’s direction. The author reviewed and verified all output and takes full responsibility for the content.</w:t>
      </w:r>
    </w:p>
    <w:bookmarkEnd w:id="18"/>
    <w:bookmarkStart w:id="32" w:name="results"/>
    <w:p>
      <w:pPr>
        <w:pStyle w:val="Heading1"/>
      </w:pPr>
      <w:r>
        <w:rPr>
          <w:rStyle w:val="SectionNumber"/>
        </w:rPr>
        <w:t xml:space="preserve">5</w:t>
      </w:r>
      <w:r>
        <w:tab/>
      </w:r>
      <w:r>
        <w:t xml:space="preserve">Results</w:t>
      </w:r>
    </w:p>
    <w:bookmarkStart w:id="19" w:name="sample"/>
    <w:p>
      <w:pPr>
        <w:pStyle w:val="Heading2"/>
      </w:pPr>
      <w:r>
        <w:rPr>
          <w:rStyle w:val="SectionNumber"/>
        </w:rPr>
        <w:t xml:space="preserve">5.1</w:t>
      </w:r>
      <w:r>
        <w:tab/>
      </w:r>
      <w:r>
        <w:t xml:space="preserve">Sample</w:t>
      </w:r>
    </w:p>
    <w:p>
      <w:pPr>
        <w:pStyle w:val="FirstParagraph"/>
      </w:pPr>
      <w:r>
        <w:t xml:space="preserve">Table 2 describes the analysis sample. The two populations are similar. Between 2019 and 2024 the share of women with at least a graduate degree rose from 9.8 to 11.7 percent, and the share with less than primary schooling fell from 40.1 to 33.5 percent. The share of women whose usual principal status was a form of employment rose from 21.9 to 25.3 percent, an increase of 3.3 percentage points (95% CI [2.6, 4.0]). The TUS records only usual principal status, whereas the PLFS figures cited above combine principal and subsidiary status and refer to agricultural years (July to June). The levels and changes are therefore not directly comparable, but the TUS principal-status measure rose much less than the PLFS usual-status measure over a similar period.</w:t>
      </w:r>
    </w:p>
    <w:p>
      <w:pPr>
        <w:pStyle w:val="TableCaption"/>
      </w:pPr>
      <w:r>
        <w:t xml:space="preserve">Table 2. Analysis sample, persons aged 15 and over</w:t>
      </w:r>
    </w:p>
    <w:tbl>
      <w:tblPr>
        <w:tblStyle w:val="Table"/>
        <w:tblW w:type="pct" w:w="5000"/>
        <w:tblLayout w:type="fixed"/>
        <w:tblLook w:firstRow="1" w:lastRow="0" w:firstColumn="0" w:lastColumn="0" w:noHBand="0" w:noVBand="0" w:val="0020"/>
        <w:tblCaption w:val="Table 2. Analysis sample, persons aged 15 and over"/>
      </w:tblPr>
      <w:tblGrid>
        <w:gridCol w:w="3805"/>
        <w:gridCol w:w="1131"/>
        <w:gridCol w:w="1131"/>
        <w:gridCol w:w="925"/>
        <w:gridCol w:w="925"/>
      </w:tblGrid>
      <w:tr>
        <w:trPr>
          <w:tblHeader w:val="on"/>
        </w:trPr>
        <w:tc>
          <w:tcPr/>
          <w:p>
            <w:pPr>
              <w:pStyle w:val="Compact"/>
              <w:jc w:val="left"/>
            </w:pPr>
            <w:r>
              <w:t xml:space="preserve">Characteristic</w:t>
            </w:r>
          </w:p>
        </w:tc>
        <w:tc>
          <w:tcPr/>
          <w:p>
            <w:pPr>
              <w:pStyle w:val="Compact"/>
              <w:jc w:val="left"/>
            </w:pPr>
            <w:r>
              <w:t xml:space="preserve">Women 2019</w:t>
            </w:r>
          </w:p>
        </w:tc>
        <w:tc>
          <w:tcPr/>
          <w:p>
            <w:pPr>
              <w:pStyle w:val="Compact"/>
              <w:jc w:val="left"/>
            </w:pPr>
            <w:r>
              <w:t xml:space="preserve">Women 2024</w:t>
            </w:r>
          </w:p>
        </w:tc>
        <w:tc>
          <w:tcPr/>
          <w:p>
            <w:pPr>
              <w:pStyle w:val="Compact"/>
              <w:jc w:val="left"/>
            </w:pPr>
            <w:r>
              <w:t xml:space="preserve">Men 2019</w:t>
            </w:r>
          </w:p>
        </w:tc>
        <w:tc>
          <w:tcPr/>
          <w:p>
            <w:pPr>
              <w:pStyle w:val="Compact"/>
              <w:jc w:val="left"/>
            </w:pPr>
            <w:r>
              <w:t xml:space="preserve">Men 2024</w:t>
            </w:r>
          </w:p>
        </w:tc>
      </w:tr>
      <w:tr>
        <w:tc>
          <w:tcPr/>
          <w:p>
            <w:pPr>
              <w:pStyle w:val="Compact"/>
              <w:jc w:val="left"/>
            </w:pPr>
            <w:r>
              <w:t xml:space="preserve">Diaries (N)</w:t>
            </w:r>
          </w:p>
        </w:tc>
        <w:tc>
          <w:tcPr/>
          <w:p>
            <w:pPr>
              <w:pStyle w:val="Compact"/>
              <w:jc w:val="left"/>
            </w:pPr>
            <w:r>
              <w:t xml:space="preserve">189,794</w:t>
            </w:r>
          </w:p>
        </w:tc>
        <w:tc>
          <w:tcPr/>
          <w:p>
            <w:pPr>
              <w:pStyle w:val="Compact"/>
              <w:jc w:val="left"/>
            </w:pPr>
            <w:r>
              <w:t xml:space="preserve">194,942</w:t>
            </w:r>
          </w:p>
        </w:tc>
        <w:tc>
          <w:tcPr/>
          <w:p>
            <w:pPr>
              <w:pStyle w:val="Compact"/>
              <w:jc w:val="left"/>
            </w:pPr>
            <w:r>
              <w:t xml:space="preserve">192,207</w:t>
            </w:r>
          </w:p>
        </w:tc>
        <w:tc>
          <w:tcPr/>
          <w:p>
            <w:pPr>
              <w:pStyle w:val="Compact"/>
              <w:jc w:val="left"/>
            </w:pPr>
            <w:r>
              <w:t xml:space="preserve">193,905</w:t>
            </w:r>
          </w:p>
        </w:tc>
      </w:tr>
      <w:tr>
        <w:tc>
          <w:tcPr/>
          <w:p>
            <w:pPr>
              <w:pStyle w:val="Compact"/>
              <w:jc w:val="left"/>
            </w:pPr>
            <w:r>
              <w:t xml:space="preserve">Mean age (years)</w:t>
            </w:r>
          </w:p>
        </w:tc>
        <w:tc>
          <w:tcPr/>
          <w:p>
            <w:pPr>
              <w:pStyle w:val="Compact"/>
              <w:jc w:val="left"/>
            </w:pPr>
            <w:r>
              <w:t xml:space="preserve">38.5</w:t>
            </w:r>
          </w:p>
        </w:tc>
        <w:tc>
          <w:tcPr/>
          <w:p>
            <w:pPr>
              <w:pStyle w:val="Compact"/>
              <w:jc w:val="left"/>
            </w:pPr>
            <w:r>
              <w:t xml:space="preserve">39.0</w:t>
            </w:r>
          </w:p>
        </w:tc>
        <w:tc>
          <w:tcPr/>
          <w:p>
            <w:pPr>
              <w:pStyle w:val="Compact"/>
              <w:jc w:val="left"/>
            </w:pPr>
            <w:r>
              <w:t xml:space="preserve">38.3</w:t>
            </w:r>
          </w:p>
        </w:tc>
        <w:tc>
          <w:tcPr/>
          <w:p>
            <w:pPr>
              <w:pStyle w:val="Compact"/>
              <w:jc w:val="left"/>
            </w:pPr>
            <w:r>
              <w:t xml:space="preserve">38.9</w:t>
            </w:r>
          </w:p>
        </w:tc>
      </w:tr>
      <w:tr>
        <w:tc>
          <w:tcPr/>
          <w:p>
            <w:pPr>
              <w:pStyle w:val="Compact"/>
              <w:jc w:val="left"/>
            </w:pPr>
            <w:r>
              <w:t xml:space="preserve">Urban (%)</w:t>
            </w:r>
          </w:p>
        </w:tc>
        <w:tc>
          <w:tcPr/>
          <w:p>
            <w:pPr>
              <w:pStyle w:val="Compact"/>
              <w:jc w:val="left"/>
            </w:pPr>
            <w:r>
              <w:t xml:space="preserve">30.5</w:t>
            </w:r>
          </w:p>
        </w:tc>
        <w:tc>
          <w:tcPr/>
          <w:p>
            <w:pPr>
              <w:pStyle w:val="Compact"/>
              <w:jc w:val="left"/>
            </w:pPr>
            <w:r>
              <w:t xml:space="preserve">30.9</w:t>
            </w:r>
          </w:p>
        </w:tc>
        <w:tc>
          <w:tcPr/>
          <w:p>
            <w:pPr>
              <w:pStyle w:val="Compact"/>
              <w:jc w:val="left"/>
            </w:pPr>
            <w:r>
              <w:t xml:space="preserve">31.5</w:t>
            </w:r>
          </w:p>
        </w:tc>
        <w:tc>
          <w:tcPr/>
          <w:p>
            <w:pPr>
              <w:pStyle w:val="Compact"/>
              <w:jc w:val="left"/>
            </w:pPr>
            <w:r>
              <w:t xml:space="preserve">32.7</w:t>
            </w:r>
          </w:p>
        </w:tc>
      </w:tr>
      <w:tr>
        <w:tc>
          <w:tcPr/>
          <w:p>
            <w:pPr>
              <w:pStyle w:val="Compact"/>
              <w:jc w:val="left"/>
            </w:pPr>
            <w:r>
              <w:t xml:space="preserve">Currently married (%)</w:t>
            </w:r>
          </w:p>
        </w:tc>
        <w:tc>
          <w:tcPr/>
          <w:p>
            <w:pPr>
              <w:pStyle w:val="Compact"/>
              <w:jc w:val="left"/>
            </w:pPr>
            <w:r>
              <w:t xml:space="preserve">71.5</w:t>
            </w:r>
          </w:p>
        </w:tc>
        <w:tc>
          <w:tcPr/>
          <w:p>
            <w:pPr>
              <w:pStyle w:val="Compact"/>
              <w:jc w:val="left"/>
            </w:pPr>
            <w:r>
              <w:t xml:space="preserve">70.9</w:t>
            </w:r>
          </w:p>
        </w:tc>
        <w:tc>
          <w:tcPr/>
          <w:p>
            <w:pPr>
              <w:pStyle w:val="Compact"/>
              <w:jc w:val="left"/>
            </w:pPr>
            <w:r>
              <w:t xml:space="preserve">68.1</w:t>
            </w:r>
          </w:p>
        </w:tc>
        <w:tc>
          <w:tcPr/>
          <w:p>
            <w:pPr>
              <w:pStyle w:val="Compact"/>
              <w:jc w:val="left"/>
            </w:pPr>
            <w:r>
              <w:t xml:space="preserve">68.1</w:t>
            </w:r>
          </w:p>
        </w:tc>
      </w:tr>
      <w:tr>
        <w:tc>
          <w:tcPr/>
          <w:p>
            <w:pPr>
              <w:pStyle w:val="Compact"/>
              <w:jc w:val="left"/>
            </w:pPr>
            <w:r>
              <w:t xml:space="preserve">Graduate or above (%)</w:t>
            </w:r>
          </w:p>
        </w:tc>
        <w:tc>
          <w:tcPr/>
          <w:p>
            <w:pPr>
              <w:pStyle w:val="Compact"/>
              <w:jc w:val="left"/>
            </w:pPr>
            <w:r>
              <w:t xml:space="preserve">9.8</w:t>
            </w:r>
          </w:p>
        </w:tc>
        <w:tc>
          <w:tcPr/>
          <w:p>
            <w:pPr>
              <w:pStyle w:val="Compact"/>
              <w:jc w:val="left"/>
            </w:pPr>
            <w:r>
              <w:t xml:space="preserve">11.7</w:t>
            </w:r>
          </w:p>
        </w:tc>
        <w:tc>
          <w:tcPr/>
          <w:p>
            <w:pPr>
              <w:pStyle w:val="Compact"/>
              <w:jc w:val="left"/>
            </w:pPr>
            <w:r>
              <w:t xml:space="preserve">13.5</w:t>
            </w:r>
          </w:p>
        </w:tc>
        <w:tc>
          <w:tcPr/>
          <w:p>
            <w:pPr>
              <w:pStyle w:val="Compact"/>
              <w:jc w:val="left"/>
            </w:pPr>
            <w:r>
              <w:t xml:space="preserve">16.1</w:t>
            </w:r>
          </w:p>
        </w:tc>
      </w:tr>
      <w:tr>
        <w:tc>
          <w:tcPr/>
          <w:p>
            <w:pPr>
              <w:pStyle w:val="Compact"/>
              <w:jc w:val="left"/>
            </w:pPr>
            <w:r>
              <w:t xml:space="preserve">Below primary (%)</w:t>
            </w:r>
          </w:p>
        </w:tc>
        <w:tc>
          <w:tcPr/>
          <w:p>
            <w:pPr>
              <w:pStyle w:val="Compact"/>
              <w:jc w:val="left"/>
            </w:pPr>
            <w:r>
              <w:t xml:space="preserve">40.1</w:t>
            </w:r>
          </w:p>
        </w:tc>
        <w:tc>
          <w:tcPr/>
          <w:p>
            <w:pPr>
              <w:pStyle w:val="Compact"/>
              <w:jc w:val="left"/>
            </w:pPr>
            <w:r>
              <w:t xml:space="preserve">33.5</w:t>
            </w:r>
          </w:p>
        </w:tc>
        <w:tc>
          <w:tcPr/>
          <w:p>
            <w:pPr>
              <w:pStyle w:val="Compact"/>
              <w:jc w:val="left"/>
            </w:pPr>
            <w:r>
              <w:t xml:space="preserve">24.2</w:t>
            </w:r>
          </w:p>
        </w:tc>
        <w:tc>
          <w:tcPr/>
          <w:p>
            <w:pPr>
              <w:pStyle w:val="Compact"/>
              <w:jc w:val="left"/>
            </w:pPr>
            <w:r>
              <w:t xml:space="preserve">19.5</w:t>
            </w:r>
          </w:p>
        </w:tc>
      </w:tr>
      <w:tr>
        <w:tc>
          <w:tcPr/>
          <w:p>
            <w:pPr>
              <w:pStyle w:val="Compact"/>
              <w:jc w:val="left"/>
            </w:pPr>
            <w:r>
              <w:t xml:space="preserve">Employed, usual principal status (%)</w:t>
            </w:r>
          </w:p>
        </w:tc>
        <w:tc>
          <w:tcPr/>
          <w:p>
            <w:pPr>
              <w:pStyle w:val="Compact"/>
              <w:jc w:val="left"/>
            </w:pPr>
            <w:r>
              <w:t xml:space="preserve">21.9</w:t>
            </w:r>
          </w:p>
        </w:tc>
        <w:tc>
          <w:tcPr/>
          <w:p>
            <w:pPr>
              <w:pStyle w:val="Compact"/>
              <w:jc w:val="left"/>
            </w:pPr>
            <w:r>
              <w:t xml:space="preserve">25.3</w:t>
            </w:r>
          </w:p>
        </w:tc>
        <w:tc>
          <w:tcPr/>
          <w:p>
            <w:pPr>
              <w:pStyle w:val="Compact"/>
              <w:jc w:val="left"/>
            </w:pPr>
            <w:r>
              <w:t xml:space="preserve">76.2</w:t>
            </w:r>
          </w:p>
        </w:tc>
        <w:tc>
          <w:tcPr/>
          <w:p>
            <w:pPr>
              <w:pStyle w:val="Compact"/>
              <w:jc w:val="left"/>
            </w:pPr>
            <w:r>
              <w:t xml:space="preserve">77.9</w:t>
            </w:r>
          </w:p>
        </w:tc>
      </w:tr>
      <w:tr>
        <w:tc>
          <w:tcPr/>
          <w:p>
            <w:pPr>
              <w:pStyle w:val="Compact"/>
              <w:jc w:val="left"/>
            </w:pPr>
            <w:r>
              <w:t xml:space="preserve">Child under 6 in household (%)</w:t>
            </w:r>
          </w:p>
        </w:tc>
        <w:tc>
          <w:tcPr/>
          <w:p>
            <w:pPr>
              <w:pStyle w:val="Compact"/>
              <w:jc w:val="left"/>
            </w:pPr>
            <w:r>
              <w:t xml:space="preserve">35.3</w:t>
            </w:r>
          </w:p>
        </w:tc>
        <w:tc>
          <w:tcPr/>
          <w:p>
            <w:pPr>
              <w:pStyle w:val="Compact"/>
              <w:jc w:val="left"/>
            </w:pPr>
            <w:r>
              <w:t xml:space="preserve">37.4</w:t>
            </w:r>
          </w:p>
        </w:tc>
        <w:tc>
          <w:tcPr/>
          <w:p>
            <w:pPr>
              <w:pStyle w:val="Compact"/>
              <w:jc w:val="left"/>
            </w:pPr>
            <w:r>
              <w:t xml:space="preserve">32.1</w:t>
            </w:r>
          </w:p>
        </w:tc>
        <w:tc>
          <w:tcPr/>
          <w:p>
            <w:pPr>
              <w:pStyle w:val="Compact"/>
              <w:jc w:val="left"/>
            </w:pPr>
            <w:r>
              <w:t xml:space="preserve">33.8</w:t>
            </w:r>
          </w:p>
        </w:tc>
      </w:tr>
      <w:tr>
        <w:tc>
          <w:tcPr/>
          <w:p>
            <w:pPr>
              <w:pStyle w:val="Compact"/>
              <w:jc w:val="left"/>
            </w:pPr>
            <w:r>
              <w:t xml:space="preserve">Normal day (%)</w:t>
            </w:r>
          </w:p>
        </w:tc>
        <w:tc>
          <w:tcPr/>
          <w:p>
            <w:pPr>
              <w:pStyle w:val="Compact"/>
              <w:jc w:val="left"/>
            </w:pPr>
            <w:r>
              <w:t xml:space="preserve">93.2</w:t>
            </w:r>
          </w:p>
        </w:tc>
        <w:tc>
          <w:tcPr/>
          <w:p>
            <w:pPr>
              <w:pStyle w:val="Compact"/>
              <w:jc w:val="left"/>
            </w:pPr>
            <w:r>
              <w:t xml:space="preserve">91.8</w:t>
            </w:r>
          </w:p>
        </w:tc>
        <w:tc>
          <w:tcPr/>
          <w:p>
            <w:pPr>
              <w:pStyle w:val="Compact"/>
              <w:jc w:val="left"/>
            </w:pPr>
            <w:r>
              <w:t xml:space="preserve">91.0</w:t>
            </w:r>
          </w:p>
        </w:tc>
        <w:tc>
          <w:tcPr/>
          <w:p>
            <w:pPr>
              <w:pStyle w:val="Compact"/>
              <w:jc w:val="left"/>
            </w:pPr>
            <w:r>
              <w:t xml:space="preserve">89.1</w:t>
            </w:r>
          </w:p>
        </w:tc>
      </w:tr>
      <w:tr>
        <w:tc>
          <w:tcPr/>
          <w:p>
            <w:pPr>
              <w:pStyle w:val="Compact"/>
              <w:jc w:val="left"/>
            </w:pPr>
            <w:r>
              <w:t xml:space="preserve">Self-reported diary (%)</w:t>
            </w:r>
          </w:p>
        </w:tc>
        <w:tc>
          <w:tcPr/>
          <w:p>
            <w:pPr>
              <w:pStyle w:val="Compact"/>
              <w:jc w:val="left"/>
            </w:pPr>
            <w:r>
              <w:t xml:space="preserve">70.4</w:t>
            </w:r>
          </w:p>
        </w:tc>
        <w:tc>
          <w:tcPr/>
          <w:p>
            <w:pPr>
              <w:pStyle w:val="Compact"/>
              <w:jc w:val="left"/>
            </w:pPr>
            <w:r>
              <w:t xml:space="preserve">73.2</w:t>
            </w:r>
          </w:p>
        </w:tc>
        <w:tc>
          <w:tcPr/>
          <w:p>
            <w:pPr>
              <w:pStyle w:val="Compact"/>
              <w:jc w:val="left"/>
            </w:pPr>
            <w:r>
              <w:t xml:space="preserve">58.6</w:t>
            </w:r>
          </w:p>
        </w:tc>
        <w:tc>
          <w:tcPr/>
          <w:p>
            <w:pPr>
              <w:pStyle w:val="Compact"/>
              <w:jc w:val="left"/>
            </w:pPr>
            <w:r>
              <w:t xml:space="preserve">59.8</w:t>
            </w:r>
          </w:p>
        </w:tc>
      </w:tr>
      <w:tr>
        <w:tc>
          <w:tcPr/>
          <w:p>
            <w:pPr>
              <w:pStyle w:val="Compact"/>
              <w:jc w:val="left"/>
            </w:pPr>
            <w:r>
              <w:t xml:space="preserve">Sunday diary (%)</w:t>
            </w:r>
          </w:p>
        </w:tc>
        <w:tc>
          <w:tcPr/>
          <w:p>
            <w:pPr>
              <w:pStyle w:val="Compact"/>
              <w:jc w:val="left"/>
            </w:pPr>
            <w:r>
              <w:t xml:space="preserve">13.7</w:t>
            </w:r>
          </w:p>
        </w:tc>
        <w:tc>
          <w:tcPr/>
          <w:p>
            <w:pPr>
              <w:pStyle w:val="Compact"/>
              <w:jc w:val="left"/>
            </w:pPr>
            <w:r>
              <w:t xml:space="preserve">13.7</w:t>
            </w:r>
          </w:p>
        </w:tc>
        <w:tc>
          <w:tcPr/>
          <w:p>
            <w:pPr>
              <w:pStyle w:val="Compact"/>
              <w:jc w:val="left"/>
            </w:pPr>
            <w:r>
              <w:t xml:space="preserve">13.6</w:t>
            </w:r>
          </w:p>
        </w:tc>
        <w:tc>
          <w:tcPr/>
          <w:p>
            <w:pPr>
              <w:pStyle w:val="Compact"/>
              <w:jc w:val="left"/>
            </w:pPr>
            <w:r>
              <w:t xml:space="preserve">13.8</w:t>
            </w:r>
          </w:p>
        </w:tc>
      </w:tr>
    </w:tbl>
    <w:p>
      <w:pPr>
        <w:pStyle w:val="BodyText"/>
      </w:pPr>
      <w:r>
        <w:rPr>
          <w:i/>
          <w:iCs/>
        </w:rPr>
        <w:t xml:space="preserve">Note:</w:t>
      </w:r>
      <w:r>
        <w:t xml:space="preserve"> </w:t>
      </w:r>
      <w:r>
        <w:t xml:space="preserve">Weighted means and shares, except N. Child under 6: household size minus the number of diarists is positive (both years). Self-reported diary: the informant was the respondent.</w:t>
      </w:r>
    </w:p>
    <w:bookmarkEnd w:id="19"/>
    <w:bookmarkStart w:id="20" w:name="paid-work-rose-on-the-extensive-margin"/>
    <w:p>
      <w:pPr>
        <w:pStyle w:val="Heading2"/>
      </w:pPr>
      <w:r>
        <w:rPr>
          <w:rStyle w:val="SectionNumber"/>
        </w:rPr>
        <w:t xml:space="preserve">5.2</w:t>
      </w:r>
      <w:r>
        <w:tab/>
      </w:r>
      <w:r>
        <w:t xml:space="preserve">Paid work rose on the extensive margin</w:t>
      </w:r>
    </w:p>
    <w:p>
      <w:pPr>
        <w:pStyle w:val="FirstParagraph"/>
      </w:pPr>
      <w:r>
        <w:t xml:space="preserve">Table 3 reports mean minutes per day in each activity group for women and men in both years, the change, and the change in the gender gap. Women’s time in employment rose from 73.5 to 84.5 minutes a day, an increase of 11.1 minutes (95% CI [8.5, 13.6]). Men’s rose from 324.8 to 347.4 minutes, an increase of 22.6 minutes (95% CI [18.8, 26.4]).</w:t>
      </w:r>
    </w:p>
    <w:p>
      <w:pPr>
        <w:pStyle w:val="TableCaption"/>
      </w:pPr>
      <w:r>
        <w:t xml:space="preserve">Table 3. Mean minutes per day by sex, 2019 and 2024, persons aged 15 and over</w:t>
      </w:r>
    </w:p>
    <w:tbl>
      <w:tblPr>
        <w:tblStyle w:val="Table"/>
        <w:tblW w:type="pct" w:w="5000"/>
        <w:tblLayout w:type="fixed"/>
        <w:tblLook w:firstRow="1" w:lastRow="0" w:firstColumn="0" w:lastColumn="0" w:noHBand="0" w:noVBand="0" w:val="0020"/>
        <w:tblCaption w:val="Table 3. Mean minutes per day by sex, 2019 and 2024, persons aged 15 and over"/>
      </w:tblPr>
      <w:tblGrid>
        <w:gridCol w:w="1182"/>
        <w:gridCol w:w="472"/>
        <w:gridCol w:w="472"/>
        <w:gridCol w:w="748"/>
        <w:gridCol w:w="394"/>
        <w:gridCol w:w="394"/>
        <w:gridCol w:w="669"/>
        <w:gridCol w:w="1103"/>
        <w:gridCol w:w="1103"/>
        <w:gridCol w:w="1379"/>
      </w:tblGrid>
      <w:tr>
        <w:trPr>
          <w:tblHeader w:val="on"/>
        </w:trPr>
        <w:tc>
          <w:tcPr/>
          <w:p>
            <w:pPr>
              <w:pStyle w:val="Compact"/>
              <w:jc w:val="left"/>
            </w:pPr>
            <w:r>
              <w:t xml:space="preserve">Activity (ICATUS division)</w:t>
            </w:r>
          </w:p>
        </w:tc>
        <w:tc>
          <w:tcPr/>
          <w:p>
            <w:pPr>
              <w:pStyle w:val="Compact"/>
              <w:jc w:val="left"/>
            </w:pPr>
            <w:r>
              <w:t xml:space="preserve">Women: 2019</w:t>
            </w:r>
          </w:p>
        </w:tc>
        <w:tc>
          <w:tcPr/>
          <w:p>
            <w:pPr>
              <w:pStyle w:val="Compact"/>
              <w:jc w:val="left"/>
            </w:pPr>
            <w:r>
              <w:t xml:space="preserve">Women: 2024</w:t>
            </w:r>
          </w:p>
        </w:tc>
        <w:tc>
          <w:tcPr/>
          <w:p>
            <w:pPr>
              <w:pStyle w:val="Compact"/>
              <w:jc w:val="left"/>
            </w:pPr>
            <w:r>
              <w:t xml:space="preserve">Women: Change (SE)</w:t>
            </w:r>
          </w:p>
        </w:tc>
        <w:tc>
          <w:tcPr/>
          <w:p>
            <w:pPr>
              <w:pStyle w:val="Compact"/>
              <w:jc w:val="left"/>
            </w:pPr>
            <w:r>
              <w:t xml:space="preserve">Men: 2019</w:t>
            </w:r>
          </w:p>
        </w:tc>
        <w:tc>
          <w:tcPr/>
          <w:p>
            <w:pPr>
              <w:pStyle w:val="Compact"/>
              <w:jc w:val="left"/>
            </w:pPr>
            <w:r>
              <w:t xml:space="preserve">Men: 2024</w:t>
            </w:r>
          </w:p>
        </w:tc>
        <w:tc>
          <w:tcPr/>
          <w:p>
            <w:pPr>
              <w:pStyle w:val="Compact"/>
              <w:jc w:val="left"/>
            </w:pPr>
            <w:r>
              <w:t xml:space="preserve">Men: Change (SE)</w:t>
            </w:r>
          </w:p>
        </w:tc>
        <w:tc>
          <w:tcPr/>
          <w:p>
            <w:pPr>
              <w:pStyle w:val="Compact"/>
              <w:jc w:val="left"/>
            </w:pPr>
            <w:r>
              <w:t xml:space="preserve">Gap (women minus men): 2019</w:t>
            </w:r>
          </w:p>
        </w:tc>
        <w:tc>
          <w:tcPr/>
          <w:p>
            <w:pPr>
              <w:pStyle w:val="Compact"/>
              <w:jc w:val="left"/>
            </w:pPr>
            <w:r>
              <w:t xml:space="preserve">Gap (women minus men): 2024</w:t>
            </w:r>
          </w:p>
        </w:tc>
        <w:tc>
          <w:tcPr/>
          <w:p>
            <w:pPr>
              <w:pStyle w:val="Compact"/>
              <w:jc w:val="left"/>
            </w:pPr>
            <w:r>
              <w:t xml:space="preserve">Gap (women minus men): Change (SE)</w:t>
            </w:r>
          </w:p>
        </w:tc>
      </w:tr>
      <w:tr>
        <w:tc>
          <w:tcPr/>
          <w:p>
            <w:pPr>
              <w:pStyle w:val="Compact"/>
              <w:jc w:val="left"/>
            </w:pPr>
            <w:r>
              <w:t xml:space="preserve">Employment (1)</w:t>
            </w:r>
          </w:p>
        </w:tc>
        <w:tc>
          <w:tcPr/>
          <w:p>
            <w:pPr>
              <w:pStyle w:val="Compact"/>
              <w:jc w:val="left"/>
            </w:pPr>
            <w:r>
              <w:t xml:space="preserve">73.5</w:t>
            </w:r>
          </w:p>
        </w:tc>
        <w:tc>
          <w:tcPr/>
          <w:p>
            <w:pPr>
              <w:pStyle w:val="Compact"/>
              <w:jc w:val="left"/>
            </w:pPr>
            <w:r>
              <w:t xml:space="preserve">84.5</w:t>
            </w:r>
          </w:p>
        </w:tc>
        <w:tc>
          <w:tcPr/>
          <w:p>
            <w:pPr>
              <w:pStyle w:val="Compact"/>
              <w:jc w:val="left"/>
            </w:pPr>
            <w:r>
              <w:t xml:space="preserve">11.1 (1.3)</w:t>
            </w:r>
          </w:p>
        </w:tc>
        <w:tc>
          <w:tcPr/>
          <w:p>
            <w:pPr>
              <w:pStyle w:val="Compact"/>
              <w:jc w:val="left"/>
            </w:pPr>
            <w:r>
              <w:t xml:space="preserve">324.8</w:t>
            </w:r>
          </w:p>
        </w:tc>
        <w:tc>
          <w:tcPr/>
          <w:p>
            <w:pPr>
              <w:pStyle w:val="Compact"/>
              <w:jc w:val="left"/>
            </w:pPr>
            <w:r>
              <w:t xml:space="preserve">347.4</w:t>
            </w:r>
          </w:p>
        </w:tc>
        <w:tc>
          <w:tcPr/>
          <w:p>
            <w:pPr>
              <w:pStyle w:val="Compact"/>
              <w:jc w:val="left"/>
            </w:pPr>
            <w:r>
              <w:t xml:space="preserve">22.6 (1.9)</w:t>
            </w:r>
          </w:p>
        </w:tc>
        <w:tc>
          <w:tcPr/>
          <w:p>
            <w:pPr>
              <w:pStyle w:val="Compact"/>
              <w:jc w:val="left"/>
            </w:pPr>
            <w:r>
              <w:t xml:space="preserve">-251.3</w:t>
            </w:r>
          </w:p>
        </w:tc>
        <w:tc>
          <w:tcPr/>
          <w:p>
            <w:pPr>
              <w:pStyle w:val="Compact"/>
              <w:jc w:val="left"/>
            </w:pPr>
            <w:r>
              <w:t xml:space="preserve">-262.9</w:t>
            </w:r>
          </w:p>
        </w:tc>
        <w:tc>
          <w:tcPr/>
          <w:p>
            <w:pPr>
              <w:pStyle w:val="Compact"/>
              <w:jc w:val="left"/>
            </w:pPr>
            <w:r>
              <w:t xml:space="preserve">-11.6 (2.0)</w:t>
            </w:r>
          </w:p>
        </w:tc>
      </w:tr>
      <w:tr>
        <w:tc>
          <w:tcPr/>
          <w:p>
            <w:pPr>
              <w:pStyle w:val="Compact"/>
              <w:jc w:val="left"/>
            </w:pPr>
            <w:r>
              <w:t xml:space="preserve">Own-use production (2)</w:t>
            </w:r>
          </w:p>
        </w:tc>
        <w:tc>
          <w:tcPr/>
          <w:p>
            <w:pPr>
              <w:pStyle w:val="Compact"/>
              <w:jc w:val="left"/>
            </w:pPr>
            <w:r>
              <w:t xml:space="preserve">27.3</w:t>
            </w:r>
          </w:p>
        </w:tc>
        <w:tc>
          <w:tcPr/>
          <w:p>
            <w:pPr>
              <w:pStyle w:val="Compact"/>
              <w:jc w:val="left"/>
            </w:pPr>
            <w:r>
              <w:t xml:space="preserve">24.8</w:t>
            </w:r>
          </w:p>
        </w:tc>
        <w:tc>
          <w:tcPr/>
          <w:p>
            <w:pPr>
              <w:pStyle w:val="Compact"/>
              <w:jc w:val="left"/>
            </w:pPr>
            <w:r>
              <w:t xml:space="preserve">-2.5 (0.8)</w:t>
            </w:r>
          </w:p>
        </w:tc>
        <w:tc>
          <w:tcPr/>
          <w:p>
            <w:pPr>
              <w:pStyle w:val="Compact"/>
              <w:jc w:val="left"/>
            </w:pPr>
            <w:r>
              <w:t xml:space="preserve">34.2</w:t>
            </w:r>
          </w:p>
        </w:tc>
        <w:tc>
          <w:tcPr/>
          <w:p>
            <w:pPr>
              <w:pStyle w:val="Compact"/>
              <w:jc w:val="left"/>
            </w:pPr>
            <w:r>
              <w:t xml:space="preserve">20.7</w:t>
            </w:r>
          </w:p>
        </w:tc>
        <w:tc>
          <w:tcPr/>
          <w:p>
            <w:pPr>
              <w:pStyle w:val="Compact"/>
              <w:jc w:val="left"/>
            </w:pPr>
            <w:r>
              <w:t xml:space="preserve">-13.5 (1.0)</w:t>
            </w:r>
          </w:p>
        </w:tc>
        <w:tc>
          <w:tcPr/>
          <w:p>
            <w:pPr>
              <w:pStyle w:val="Compact"/>
              <w:jc w:val="left"/>
            </w:pPr>
            <w:r>
              <w:t xml:space="preserve">-6.9</w:t>
            </w:r>
          </w:p>
        </w:tc>
        <w:tc>
          <w:tcPr/>
          <w:p>
            <w:pPr>
              <w:pStyle w:val="Compact"/>
              <w:jc w:val="left"/>
            </w:pPr>
            <w:r>
              <w:t xml:space="preserve">4.1</w:t>
            </w:r>
          </w:p>
        </w:tc>
        <w:tc>
          <w:tcPr/>
          <w:p>
            <w:pPr>
              <w:pStyle w:val="Compact"/>
              <w:jc w:val="left"/>
            </w:pPr>
            <w:r>
              <w:t xml:space="preserve">10.9 (0.8)</w:t>
            </w:r>
          </w:p>
        </w:tc>
      </w:tr>
      <w:tr>
        <w:tc>
          <w:tcPr/>
          <w:p>
            <w:pPr>
              <w:pStyle w:val="Compact"/>
              <w:jc w:val="left"/>
            </w:pPr>
            <w:r>
              <w:t xml:space="preserve">Production work (1+2)</w:t>
            </w:r>
          </w:p>
        </w:tc>
        <w:tc>
          <w:tcPr/>
          <w:p>
            <w:pPr>
              <w:pStyle w:val="Compact"/>
              <w:jc w:val="left"/>
            </w:pPr>
            <w:r>
              <w:t xml:space="preserve">100.8</w:t>
            </w:r>
          </w:p>
        </w:tc>
        <w:tc>
          <w:tcPr/>
          <w:p>
            <w:pPr>
              <w:pStyle w:val="Compact"/>
              <w:jc w:val="left"/>
            </w:pPr>
            <w:r>
              <w:t xml:space="preserve">109.4</w:t>
            </w:r>
          </w:p>
        </w:tc>
        <w:tc>
          <w:tcPr/>
          <w:p>
            <w:pPr>
              <w:pStyle w:val="Compact"/>
              <w:jc w:val="left"/>
            </w:pPr>
            <w:r>
              <w:t xml:space="preserve">8.6 (1.4)</w:t>
            </w:r>
          </w:p>
        </w:tc>
        <w:tc>
          <w:tcPr/>
          <w:p>
            <w:pPr>
              <w:pStyle w:val="Compact"/>
              <w:jc w:val="left"/>
            </w:pPr>
            <w:r>
              <w:t xml:space="preserve">359.0</w:t>
            </w:r>
          </w:p>
        </w:tc>
        <w:tc>
          <w:tcPr/>
          <w:p>
            <w:pPr>
              <w:pStyle w:val="Compact"/>
              <w:jc w:val="left"/>
            </w:pPr>
            <w:r>
              <w:t xml:space="preserve">368.1</w:t>
            </w:r>
          </w:p>
        </w:tc>
        <w:tc>
          <w:tcPr/>
          <w:p>
            <w:pPr>
              <w:pStyle w:val="Compact"/>
              <w:jc w:val="left"/>
            </w:pPr>
            <w:r>
              <w:t xml:space="preserve">9.2 (1.6)</w:t>
            </w:r>
          </w:p>
        </w:tc>
        <w:tc>
          <w:tcPr/>
          <w:p>
            <w:pPr>
              <w:pStyle w:val="Compact"/>
              <w:jc w:val="left"/>
            </w:pPr>
            <w:r>
              <w:t xml:space="preserve">-258.2</w:t>
            </w:r>
          </w:p>
        </w:tc>
        <w:tc>
          <w:tcPr/>
          <w:p>
            <w:pPr>
              <w:pStyle w:val="Compact"/>
              <w:jc w:val="left"/>
            </w:pPr>
            <w:r>
              <w:t xml:space="preserve">-258.8</w:t>
            </w:r>
          </w:p>
        </w:tc>
        <w:tc>
          <w:tcPr/>
          <w:p>
            <w:pPr>
              <w:pStyle w:val="Compact"/>
              <w:jc w:val="left"/>
            </w:pPr>
            <w:r>
              <w:t xml:space="preserve">-0.6 (1.9)</w:t>
            </w:r>
          </w:p>
        </w:tc>
      </w:tr>
      <w:tr>
        <w:tc>
          <w:tcPr/>
          <w:p>
            <w:pPr>
              <w:pStyle w:val="Compact"/>
              <w:jc w:val="left"/>
            </w:pPr>
            <w:r>
              <w:t xml:space="preserve">Unpaid domestic services (3)</w:t>
            </w:r>
          </w:p>
        </w:tc>
        <w:tc>
          <w:tcPr/>
          <w:p>
            <w:pPr>
              <w:pStyle w:val="Compact"/>
              <w:jc w:val="left"/>
            </w:pPr>
            <w:r>
              <w:t xml:space="preserve">293.1</w:t>
            </w:r>
          </w:p>
        </w:tc>
        <w:tc>
          <w:tcPr/>
          <w:p>
            <w:pPr>
              <w:pStyle w:val="Compact"/>
              <w:jc w:val="left"/>
            </w:pPr>
            <w:r>
              <w:t xml:space="preserve">280.4</w:t>
            </w:r>
          </w:p>
        </w:tc>
        <w:tc>
          <w:tcPr/>
          <w:p>
            <w:pPr>
              <w:pStyle w:val="Compact"/>
              <w:jc w:val="left"/>
            </w:pPr>
            <w:r>
              <w:t xml:space="preserve">-12.7 (1.3)</w:t>
            </w:r>
          </w:p>
        </w:tc>
        <w:tc>
          <w:tcPr/>
          <w:p>
            <w:pPr>
              <w:pStyle w:val="Compact"/>
              <w:jc w:val="left"/>
            </w:pPr>
            <w:r>
              <w:t xml:space="preserve">30.5</w:t>
            </w:r>
          </w:p>
        </w:tc>
        <w:tc>
          <w:tcPr/>
          <w:p>
            <w:pPr>
              <w:pStyle w:val="Compact"/>
              <w:jc w:val="left"/>
            </w:pPr>
            <w:r>
              <w:t xml:space="preserve">28.0</w:t>
            </w:r>
          </w:p>
        </w:tc>
        <w:tc>
          <w:tcPr/>
          <w:p>
            <w:pPr>
              <w:pStyle w:val="Compact"/>
              <w:jc w:val="left"/>
            </w:pPr>
            <w:r>
              <w:t xml:space="preserve">-2.4 (0.5)</w:t>
            </w:r>
          </w:p>
        </w:tc>
        <w:tc>
          <w:tcPr/>
          <w:p>
            <w:pPr>
              <w:pStyle w:val="Compact"/>
              <w:jc w:val="left"/>
            </w:pPr>
            <w:r>
              <w:t xml:space="preserve">262.6</w:t>
            </w:r>
          </w:p>
        </w:tc>
        <w:tc>
          <w:tcPr/>
          <w:p>
            <w:pPr>
              <w:pStyle w:val="Compact"/>
              <w:jc w:val="left"/>
            </w:pPr>
            <w:r>
              <w:t xml:space="preserve">252.3</w:t>
            </w:r>
          </w:p>
        </w:tc>
        <w:tc>
          <w:tcPr/>
          <w:p>
            <w:pPr>
              <w:pStyle w:val="Compact"/>
              <w:jc w:val="left"/>
            </w:pPr>
            <w:r>
              <w:t xml:space="preserve">-10.3 (1.3)</w:t>
            </w:r>
          </w:p>
        </w:tc>
      </w:tr>
      <w:tr>
        <w:tc>
          <w:tcPr/>
          <w:p>
            <w:pPr>
              <w:pStyle w:val="Compact"/>
              <w:jc w:val="left"/>
            </w:pPr>
            <w:r>
              <w:t xml:space="preserve">    Food and meals</w:t>
            </w:r>
          </w:p>
        </w:tc>
        <w:tc>
          <w:tcPr/>
          <w:p>
            <w:pPr>
              <w:pStyle w:val="Compact"/>
              <w:jc w:val="left"/>
            </w:pPr>
            <w:r>
              <w:t xml:space="preserve">190.5</w:t>
            </w:r>
          </w:p>
        </w:tc>
        <w:tc>
          <w:tcPr/>
          <w:p>
            <w:pPr>
              <w:pStyle w:val="Compact"/>
              <w:jc w:val="left"/>
            </w:pPr>
            <w:r>
              <w:t xml:space="preserve">192.8</w:t>
            </w:r>
          </w:p>
        </w:tc>
        <w:tc>
          <w:tcPr/>
          <w:p>
            <w:pPr>
              <w:pStyle w:val="Compact"/>
              <w:jc w:val="left"/>
            </w:pPr>
            <w:r>
              <w:t xml:space="preserve">2.3 (1.0)</w:t>
            </w:r>
          </w:p>
        </w:tc>
        <w:tc>
          <w:tcPr/>
          <w:p>
            <w:pPr>
              <w:pStyle w:val="Compact"/>
              <w:jc w:val="left"/>
            </w:pPr>
            <w:r>
              <w:t xml:space="preserve">6.5</w:t>
            </w:r>
          </w:p>
        </w:tc>
        <w:tc>
          <w:tcPr/>
          <w:p>
            <w:pPr>
              <w:pStyle w:val="Compact"/>
              <w:jc w:val="left"/>
            </w:pPr>
            <w:r>
              <w:t xml:space="preserve">6.7</w:t>
            </w:r>
          </w:p>
        </w:tc>
        <w:tc>
          <w:tcPr/>
          <w:p>
            <w:pPr>
              <w:pStyle w:val="Compact"/>
              <w:jc w:val="left"/>
            </w:pPr>
            <w:r>
              <w:t xml:space="preserve">0.2 (0.2)</w:t>
            </w:r>
          </w:p>
        </w:tc>
        <w:tc>
          <w:tcPr/>
          <w:p>
            <w:pPr>
              <w:pStyle w:val="Compact"/>
              <w:jc w:val="left"/>
            </w:pPr>
            <w:r>
              <w:t xml:space="preserve">184.0</w:t>
            </w:r>
          </w:p>
        </w:tc>
        <w:tc>
          <w:tcPr/>
          <w:p>
            <w:pPr>
              <w:pStyle w:val="Compact"/>
              <w:jc w:val="left"/>
            </w:pPr>
            <w:r>
              <w:t xml:space="preserve">186.1</w:t>
            </w:r>
          </w:p>
        </w:tc>
        <w:tc>
          <w:tcPr/>
          <w:p>
            <w:pPr>
              <w:pStyle w:val="Compact"/>
              <w:jc w:val="left"/>
            </w:pPr>
            <w:r>
              <w:t xml:space="preserve">2.1 (1.1)</w:t>
            </w:r>
          </w:p>
        </w:tc>
      </w:tr>
      <w:tr>
        <w:tc>
          <w:tcPr/>
          <w:p>
            <w:pPr>
              <w:pStyle w:val="Compact"/>
              <w:jc w:val="left"/>
            </w:pPr>
            <w:r>
              <w:t xml:space="preserve">    Cleaning and upkeep</w:t>
            </w:r>
          </w:p>
        </w:tc>
        <w:tc>
          <w:tcPr/>
          <w:p>
            <w:pPr>
              <w:pStyle w:val="Compact"/>
              <w:jc w:val="left"/>
            </w:pPr>
            <w:r>
              <w:t xml:space="preserve">53.6</w:t>
            </w:r>
          </w:p>
        </w:tc>
        <w:tc>
          <w:tcPr/>
          <w:p>
            <w:pPr>
              <w:pStyle w:val="Compact"/>
              <w:jc w:val="left"/>
            </w:pPr>
            <w:r>
              <w:t xml:space="preserve">41.9</w:t>
            </w:r>
          </w:p>
        </w:tc>
        <w:tc>
          <w:tcPr/>
          <w:p>
            <w:pPr>
              <w:pStyle w:val="Compact"/>
              <w:jc w:val="left"/>
            </w:pPr>
            <w:r>
              <w:t xml:space="preserve">-11.8 (0.4)</w:t>
            </w:r>
          </w:p>
        </w:tc>
        <w:tc>
          <w:tcPr/>
          <w:p>
            <w:pPr>
              <w:pStyle w:val="Compact"/>
              <w:jc w:val="left"/>
            </w:pPr>
            <w:r>
              <w:t xml:space="preserve">4.7</w:t>
            </w:r>
          </w:p>
        </w:tc>
        <w:tc>
          <w:tcPr/>
          <w:p>
            <w:pPr>
              <w:pStyle w:val="Compact"/>
              <w:jc w:val="left"/>
            </w:pPr>
            <w:r>
              <w:t xml:space="preserve">3.5</w:t>
            </w:r>
          </w:p>
        </w:tc>
        <w:tc>
          <w:tcPr/>
          <w:p>
            <w:pPr>
              <w:pStyle w:val="Compact"/>
              <w:jc w:val="left"/>
            </w:pPr>
            <w:r>
              <w:t xml:space="preserve">-1.2 (0.1)</w:t>
            </w:r>
          </w:p>
        </w:tc>
        <w:tc>
          <w:tcPr/>
          <w:p>
            <w:pPr>
              <w:pStyle w:val="Compact"/>
              <w:jc w:val="left"/>
            </w:pPr>
            <w:r>
              <w:t xml:space="preserve">49.0</w:t>
            </w:r>
          </w:p>
        </w:tc>
        <w:tc>
          <w:tcPr/>
          <w:p>
            <w:pPr>
              <w:pStyle w:val="Compact"/>
              <w:jc w:val="left"/>
            </w:pPr>
            <w:r>
              <w:t xml:space="preserve">38.4</w:t>
            </w:r>
          </w:p>
        </w:tc>
        <w:tc>
          <w:tcPr/>
          <w:p>
            <w:pPr>
              <w:pStyle w:val="Compact"/>
              <w:jc w:val="left"/>
            </w:pPr>
            <w:r>
              <w:t xml:space="preserve">-10.6 (0.4)</w:t>
            </w:r>
          </w:p>
        </w:tc>
      </w:tr>
      <w:tr>
        <w:tc>
          <w:tcPr/>
          <w:p>
            <w:pPr>
              <w:pStyle w:val="Compact"/>
              <w:jc w:val="left"/>
            </w:pPr>
            <w:r>
              <w:t xml:space="preserve">Unpaid caregiving (4)</w:t>
            </w:r>
          </w:p>
        </w:tc>
        <w:tc>
          <w:tcPr/>
          <w:p>
            <w:pPr>
              <w:pStyle w:val="Compact"/>
              <w:jc w:val="left"/>
            </w:pPr>
            <w:r>
              <w:t xml:space="preserve">41.1</w:t>
            </w:r>
          </w:p>
        </w:tc>
        <w:tc>
          <w:tcPr/>
          <w:p>
            <w:pPr>
              <w:pStyle w:val="Compact"/>
              <w:jc w:val="left"/>
            </w:pPr>
            <w:r>
              <w:t xml:space="preserve">51.5</w:t>
            </w:r>
          </w:p>
        </w:tc>
        <w:tc>
          <w:tcPr/>
          <w:p>
            <w:pPr>
              <w:pStyle w:val="Compact"/>
              <w:jc w:val="left"/>
            </w:pPr>
            <w:r>
              <w:t xml:space="preserve">10.4 (0.6)</w:t>
            </w:r>
          </w:p>
        </w:tc>
        <w:tc>
          <w:tcPr/>
          <w:p>
            <w:pPr>
              <w:pStyle w:val="Compact"/>
              <w:jc w:val="left"/>
            </w:pPr>
            <w:r>
              <w:t xml:space="preserve">11.8</w:t>
            </w:r>
          </w:p>
        </w:tc>
        <w:tc>
          <w:tcPr/>
          <w:p>
            <w:pPr>
              <w:pStyle w:val="Compact"/>
              <w:jc w:val="left"/>
            </w:pPr>
            <w:r>
              <w:t xml:space="preserve">15.2</w:t>
            </w:r>
          </w:p>
        </w:tc>
        <w:tc>
          <w:tcPr/>
          <w:p>
            <w:pPr>
              <w:pStyle w:val="Compact"/>
              <w:jc w:val="left"/>
            </w:pPr>
            <w:r>
              <w:t xml:space="preserve">3.4 (0.3)</w:t>
            </w:r>
          </w:p>
        </w:tc>
        <w:tc>
          <w:tcPr/>
          <w:p>
            <w:pPr>
              <w:pStyle w:val="Compact"/>
              <w:jc w:val="left"/>
            </w:pPr>
            <w:r>
              <w:t xml:space="preserve">29.3</w:t>
            </w:r>
          </w:p>
        </w:tc>
        <w:tc>
          <w:tcPr/>
          <w:p>
            <w:pPr>
              <w:pStyle w:val="Compact"/>
              <w:jc w:val="left"/>
            </w:pPr>
            <w:r>
              <w:t xml:space="preserve">36.3</w:t>
            </w:r>
          </w:p>
        </w:tc>
        <w:tc>
          <w:tcPr/>
          <w:p>
            <w:pPr>
              <w:pStyle w:val="Compact"/>
              <w:jc w:val="left"/>
            </w:pPr>
            <w:r>
              <w:t xml:space="preserve">7.0 (0.5)</w:t>
            </w:r>
          </w:p>
        </w:tc>
      </w:tr>
      <w:tr>
        <w:tc>
          <w:tcPr/>
          <w:p>
            <w:pPr>
              <w:pStyle w:val="Compact"/>
              <w:jc w:val="left"/>
            </w:pPr>
            <w:r>
              <w:t xml:space="preserve">    Childcare</w:t>
            </w:r>
          </w:p>
        </w:tc>
        <w:tc>
          <w:tcPr/>
          <w:p>
            <w:pPr>
              <w:pStyle w:val="Compact"/>
              <w:jc w:val="left"/>
            </w:pPr>
            <w:r>
              <w:t xml:space="preserve">39.6</w:t>
            </w:r>
          </w:p>
        </w:tc>
        <w:tc>
          <w:tcPr/>
          <w:p>
            <w:pPr>
              <w:pStyle w:val="Compact"/>
              <w:jc w:val="left"/>
            </w:pPr>
            <w:r>
              <w:t xml:space="preserve">49.5</w:t>
            </w:r>
          </w:p>
        </w:tc>
        <w:tc>
          <w:tcPr/>
          <w:p>
            <w:pPr>
              <w:pStyle w:val="Compact"/>
              <w:jc w:val="left"/>
            </w:pPr>
            <w:r>
              <w:t xml:space="preserve">9.9 (0.6)</w:t>
            </w:r>
          </w:p>
        </w:tc>
        <w:tc>
          <w:tcPr/>
          <w:p>
            <w:pPr>
              <w:pStyle w:val="Compact"/>
              <w:jc w:val="left"/>
            </w:pPr>
            <w:r>
              <w:t xml:space="preserve">10.9</w:t>
            </w:r>
          </w:p>
        </w:tc>
        <w:tc>
          <w:tcPr/>
          <w:p>
            <w:pPr>
              <w:pStyle w:val="Compact"/>
              <w:jc w:val="left"/>
            </w:pPr>
            <w:r>
              <w:t xml:space="preserve">14.0</w:t>
            </w:r>
          </w:p>
        </w:tc>
        <w:tc>
          <w:tcPr/>
          <w:p>
            <w:pPr>
              <w:pStyle w:val="Compact"/>
              <w:jc w:val="left"/>
            </w:pPr>
            <w:r>
              <w:t xml:space="preserve">3.1 (0.2)</w:t>
            </w:r>
          </w:p>
        </w:tc>
        <w:tc>
          <w:tcPr/>
          <w:p>
            <w:pPr>
              <w:pStyle w:val="Compact"/>
              <w:jc w:val="left"/>
            </w:pPr>
            <w:r>
              <w:t xml:space="preserve">28.7</w:t>
            </w:r>
          </w:p>
        </w:tc>
        <w:tc>
          <w:tcPr/>
          <w:p>
            <w:pPr>
              <w:pStyle w:val="Compact"/>
              <w:jc w:val="left"/>
            </w:pPr>
            <w:r>
              <w:t xml:space="preserve">35.6</w:t>
            </w:r>
          </w:p>
        </w:tc>
        <w:tc>
          <w:tcPr/>
          <w:p>
            <w:pPr>
              <w:pStyle w:val="Compact"/>
              <w:jc w:val="left"/>
            </w:pPr>
            <w:r>
              <w:t xml:space="preserve">6.8 (0.5)</w:t>
            </w:r>
          </w:p>
        </w:tc>
      </w:tr>
      <w:tr>
        <w:tc>
          <w:tcPr/>
          <w:p>
            <w:pPr>
              <w:pStyle w:val="Compact"/>
              <w:jc w:val="left"/>
            </w:pPr>
            <w:r>
              <w:t xml:space="preserve">Unpaid work (3+4)</w:t>
            </w:r>
          </w:p>
        </w:tc>
        <w:tc>
          <w:tcPr/>
          <w:p>
            <w:pPr>
              <w:pStyle w:val="Compact"/>
              <w:jc w:val="left"/>
            </w:pPr>
            <w:r>
              <w:t xml:space="preserve">334.2</w:t>
            </w:r>
          </w:p>
        </w:tc>
        <w:tc>
          <w:tcPr/>
          <w:p>
            <w:pPr>
              <w:pStyle w:val="Compact"/>
              <w:jc w:val="left"/>
            </w:pPr>
            <w:r>
              <w:t xml:space="preserve">331.9</w:t>
            </w:r>
          </w:p>
        </w:tc>
        <w:tc>
          <w:tcPr/>
          <w:p>
            <w:pPr>
              <w:pStyle w:val="Compact"/>
              <w:jc w:val="left"/>
            </w:pPr>
            <w:r>
              <w:t xml:space="preserve">-2.2 (1.5)</w:t>
            </w:r>
          </w:p>
        </w:tc>
        <w:tc>
          <w:tcPr/>
          <w:p>
            <w:pPr>
              <w:pStyle w:val="Compact"/>
              <w:jc w:val="left"/>
            </w:pPr>
            <w:r>
              <w:t xml:space="preserve">42.3</w:t>
            </w:r>
          </w:p>
        </w:tc>
        <w:tc>
          <w:tcPr/>
          <w:p>
            <w:pPr>
              <w:pStyle w:val="Compact"/>
              <w:jc w:val="left"/>
            </w:pPr>
            <w:r>
              <w:t xml:space="preserve">43.2</w:t>
            </w:r>
          </w:p>
        </w:tc>
        <w:tc>
          <w:tcPr/>
          <w:p>
            <w:pPr>
              <w:pStyle w:val="Compact"/>
              <w:jc w:val="left"/>
            </w:pPr>
            <w:r>
              <w:t xml:space="preserve">1.0 (0.6)</w:t>
            </w:r>
          </w:p>
        </w:tc>
        <w:tc>
          <w:tcPr/>
          <w:p>
            <w:pPr>
              <w:pStyle w:val="Compact"/>
              <w:jc w:val="left"/>
            </w:pPr>
            <w:r>
              <w:t xml:space="preserve">291.9</w:t>
            </w:r>
          </w:p>
        </w:tc>
        <w:tc>
          <w:tcPr/>
          <w:p>
            <w:pPr>
              <w:pStyle w:val="Compact"/>
              <w:jc w:val="left"/>
            </w:pPr>
            <w:r>
              <w:t xml:space="preserve">288.7</w:t>
            </w:r>
          </w:p>
        </w:tc>
        <w:tc>
          <w:tcPr/>
          <w:p>
            <w:pPr>
              <w:pStyle w:val="Compact"/>
              <w:jc w:val="left"/>
            </w:pPr>
            <w:r>
              <w:t xml:space="preserve">-3.2 (1.4)</w:t>
            </w:r>
          </w:p>
        </w:tc>
      </w:tr>
      <w:tr>
        <w:tc>
          <w:tcPr/>
          <w:p>
            <w:pPr>
              <w:pStyle w:val="Compact"/>
              <w:jc w:val="left"/>
            </w:pPr>
            <w:r>
              <w:t xml:space="preserve">Total work (1–5)</w:t>
            </w:r>
          </w:p>
        </w:tc>
        <w:tc>
          <w:tcPr/>
          <w:p>
            <w:pPr>
              <w:pStyle w:val="Compact"/>
              <w:jc w:val="left"/>
            </w:pPr>
            <w:r>
              <w:t xml:space="preserve">437.2</w:t>
            </w:r>
          </w:p>
        </w:tc>
        <w:tc>
          <w:tcPr/>
          <w:p>
            <w:pPr>
              <w:pStyle w:val="Compact"/>
              <w:jc w:val="left"/>
            </w:pPr>
            <w:r>
              <w:t xml:space="preserve">442.7</w:t>
            </w:r>
          </w:p>
        </w:tc>
        <w:tc>
          <w:tcPr/>
          <w:p>
            <w:pPr>
              <w:pStyle w:val="Compact"/>
              <w:jc w:val="left"/>
            </w:pPr>
            <w:r>
              <w:t xml:space="preserve">5.5 (1.5)</w:t>
            </w:r>
          </w:p>
        </w:tc>
        <w:tc>
          <w:tcPr/>
          <w:p>
            <w:pPr>
              <w:pStyle w:val="Compact"/>
              <w:jc w:val="left"/>
            </w:pPr>
            <w:r>
              <w:t xml:space="preserve">404.5</w:t>
            </w:r>
          </w:p>
        </w:tc>
        <w:tc>
          <w:tcPr/>
          <w:p>
            <w:pPr>
              <w:pStyle w:val="Compact"/>
              <w:jc w:val="left"/>
            </w:pPr>
            <w:r>
              <w:t xml:space="preserve">412.8</w:t>
            </w:r>
          </w:p>
        </w:tc>
        <w:tc>
          <w:tcPr/>
          <w:p>
            <w:pPr>
              <w:pStyle w:val="Compact"/>
              <w:jc w:val="left"/>
            </w:pPr>
            <w:r>
              <w:t xml:space="preserve">8.3 (1.6)</w:t>
            </w:r>
          </w:p>
        </w:tc>
        <w:tc>
          <w:tcPr/>
          <w:p>
            <w:pPr>
              <w:pStyle w:val="Compact"/>
              <w:jc w:val="left"/>
            </w:pPr>
            <w:r>
              <w:t xml:space="preserve">32.7</w:t>
            </w:r>
          </w:p>
        </w:tc>
        <w:tc>
          <w:tcPr/>
          <w:p>
            <w:pPr>
              <w:pStyle w:val="Compact"/>
              <w:jc w:val="left"/>
            </w:pPr>
            <w:r>
              <w:t xml:space="preserve">29.9</w:t>
            </w:r>
          </w:p>
        </w:tc>
        <w:tc>
          <w:tcPr/>
          <w:p>
            <w:pPr>
              <w:pStyle w:val="Compact"/>
              <w:jc w:val="left"/>
            </w:pPr>
            <w:r>
              <w:t xml:space="preserve">-2.8 (1.8)</w:t>
            </w:r>
          </w:p>
        </w:tc>
      </w:tr>
      <w:tr>
        <w:tc>
          <w:tcPr/>
          <w:p>
            <w:pPr>
              <w:pStyle w:val="Compact"/>
              <w:jc w:val="left"/>
            </w:pPr>
            <w:r>
              <w:t xml:space="preserve">Learning (6)</w:t>
            </w:r>
          </w:p>
        </w:tc>
        <w:tc>
          <w:tcPr/>
          <w:p>
            <w:pPr>
              <w:pStyle w:val="Compact"/>
              <w:jc w:val="left"/>
            </w:pPr>
            <w:r>
              <w:t xml:space="preserve">40.3</w:t>
            </w:r>
          </w:p>
        </w:tc>
        <w:tc>
          <w:tcPr/>
          <w:p>
            <w:pPr>
              <w:pStyle w:val="Compact"/>
              <w:jc w:val="left"/>
            </w:pPr>
            <w:r>
              <w:t xml:space="preserve">40.7</w:t>
            </w:r>
          </w:p>
        </w:tc>
        <w:tc>
          <w:tcPr/>
          <w:p>
            <w:pPr>
              <w:pStyle w:val="Compact"/>
              <w:jc w:val="left"/>
            </w:pPr>
            <w:r>
              <w:t xml:space="preserve">0.4 (0.7)</w:t>
            </w:r>
          </w:p>
        </w:tc>
        <w:tc>
          <w:tcPr/>
          <w:p>
            <w:pPr>
              <w:pStyle w:val="Compact"/>
              <w:jc w:val="left"/>
            </w:pPr>
            <w:r>
              <w:t xml:space="preserve">53.0</w:t>
            </w:r>
          </w:p>
        </w:tc>
        <w:tc>
          <w:tcPr/>
          <w:p>
            <w:pPr>
              <w:pStyle w:val="Compact"/>
              <w:jc w:val="left"/>
            </w:pPr>
            <w:r>
              <w:t xml:space="preserve">47.9</w:t>
            </w:r>
          </w:p>
        </w:tc>
        <w:tc>
          <w:tcPr/>
          <w:p>
            <w:pPr>
              <w:pStyle w:val="Compact"/>
              <w:jc w:val="left"/>
            </w:pPr>
            <w:r>
              <w:t xml:space="preserve">-5.1 (0.9)</w:t>
            </w:r>
          </w:p>
        </w:tc>
        <w:tc>
          <w:tcPr/>
          <w:p>
            <w:pPr>
              <w:pStyle w:val="Compact"/>
              <w:jc w:val="left"/>
            </w:pPr>
            <w:r>
              <w:t xml:space="preserve">-12.8</w:t>
            </w:r>
          </w:p>
        </w:tc>
        <w:tc>
          <w:tcPr/>
          <w:p>
            <w:pPr>
              <w:pStyle w:val="Compact"/>
              <w:jc w:val="left"/>
            </w:pPr>
            <w:r>
              <w:t xml:space="preserve">-7.2</w:t>
            </w:r>
          </w:p>
        </w:tc>
        <w:tc>
          <w:tcPr/>
          <w:p>
            <w:pPr>
              <w:pStyle w:val="Compact"/>
              <w:jc w:val="left"/>
            </w:pPr>
            <w:r>
              <w:t xml:space="preserve">5.5 (0.9)</w:t>
            </w:r>
          </w:p>
        </w:tc>
      </w:tr>
      <w:tr>
        <w:tc>
          <w:tcPr/>
          <w:p>
            <w:pPr>
              <w:pStyle w:val="Compact"/>
              <w:jc w:val="left"/>
            </w:pPr>
            <w:r>
              <w:t xml:space="preserve">Free time (7+8)</w:t>
            </w:r>
          </w:p>
        </w:tc>
        <w:tc>
          <w:tcPr/>
          <w:p>
            <w:pPr>
              <w:pStyle w:val="Compact"/>
              <w:jc w:val="left"/>
            </w:pPr>
            <w:r>
              <w:t xml:space="preserve">232.8</w:t>
            </w:r>
          </w:p>
        </w:tc>
        <w:tc>
          <w:tcPr/>
          <w:p>
            <w:pPr>
              <w:pStyle w:val="Compact"/>
              <w:jc w:val="left"/>
            </w:pPr>
            <w:r>
              <w:t xml:space="preserve">245.8</w:t>
            </w:r>
          </w:p>
        </w:tc>
        <w:tc>
          <w:tcPr/>
          <w:p>
            <w:pPr>
              <w:pStyle w:val="Compact"/>
              <w:jc w:val="left"/>
            </w:pPr>
            <w:r>
              <w:t xml:space="preserve">13.0 (1.4)</w:t>
            </w:r>
          </w:p>
        </w:tc>
        <w:tc>
          <w:tcPr/>
          <w:p>
            <w:pPr>
              <w:pStyle w:val="Compact"/>
              <w:jc w:val="left"/>
            </w:pPr>
            <w:r>
              <w:t xml:space="preserve">240.2</w:t>
            </w:r>
          </w:p>
        </w:tc>
        <w:tc>
          <w:tcPr/>
          <w:p>
            <w:pPr>
              <w:pStyle w:val="Compact"/>
              <w:jc w:val="left"/>
            </w:pPr>
            <w:r>
              <w:t xml:space="preserve">260.9</w:t>
            </w:r>
          </w:p>
        </w:tc>
        <w:tc>
          <w:tcPr/>
          <w:p>
            <w:pPr>
              <w:pStyle w:val="Compact"/>
              <w:jc w:val="left"/>
            </w:pPr>
            <w:r>
              <w:t xml:space="preserve">20.7 (1.4)</w:t>
            </w:r>
          </w:p>
        </w:tc>
        <w:tc>
          <w:tcPr/>
          <w:p>
            <w:pPr>
              <w:pStyle w:val="Compact"/>
              <w:jc w:val="left"/>
            </w:pPr>
            <w:r>
              <w:t xml:space="preserve">-7.5</w:t>
            </w:r>
          </w:p>
        </w:tc>
        <w:tc>
          <w:tcPr/>
          <w:p>
            <w:pPr>
              <w:pStyle w:val="Compact"/>
              <w:jc w:val="left"/>
            </w:pPr>
            <w:r>
              <w:t xml:space="preserve">-15.1</w:t>
            </w:r>
          </w:p>
        </w:tc>
        <w:tc>
          <w:tcPr/>
          <w:p>
            <w:pPr>
              <w:pStyle w:val="Compact"/>
              <w:jc w:val="left"/>
            </w:pPr>
            <w:r>
              <w:t xml:space="preserve">-7.6 (1.2)</w:t>
            </w:r>
          </w:p>
        </w:tc>
      </w:tr>
      <w:tr>
        <w:tc>
          <w:tcPr/>
          <w:p>
            <w:pPr>
              <w:pStyle w:val="Compact"/>
              <w:jc w:val="left"/>
            </w:pPr>
            <w:r>
              <w:t xml:space="preserve">Self-care and maintenance (9)</w:t>
            </w:r>
          </w:p>
        </w:tc>
        <w:tc>
          <w:tcPr/>
          <w:p>
            <w:pPr>
              <w:pStyle w:val="Compact"/>
              <w:jc w:val="left"/>
            </w:pPr>
            <w:r>
              <w:t xml:space="preserve">729.7</w:t>
            </w:r>
          </w:p>
        </w:tc>
        <w:tc>
          <w:tcPr/>
          <w:p>
            <w:pPr>
              <w:pStyle w:val="Compact"/>
              <w:jc w:val="left"/>
            </w:pPr>
            <w:r>
              <w:t xml:space="preserve">710.8</w:t>
            </w:r>
          </w:p>
        </w:tc>
        <w:tc>
          <w:tcPr/>
          <w:p>
            <w:pPr>
              <w:pStyle w:val="Compact"/>
              <w:jc w:val="left"/>
            </w:pPr>
            <w:r>
              <w:t xml:space="preserve">-18.9 (1.2)</w:t>
            </w:r>
          </w:p>
        </w:tc>
        <w:tc>
          <w:tcPr/>
          <w:p>
            <w:pPr>
              <w:pStyle w:val="Compact"/>
              <w:jc w:val="left"/>
            </w:pPr>
            <w:r>
              <w:t xml:space="preserve">742.2</w:t>
            </w:r>
          </w:p>
        </w:tc>
        <w:tc>
          <w:tcPr/>
          <w:p>
            <w:pPr>
              <w:pStyle w:val="Compact"/>
              <w:jc w:val="left"/>
            </w:pPr>
            <w:r>
              <w:t xml:space="preserve">718.4</w:t>
            </w:r>
          </w:p>
        </w:tc>
        <w:tc>
          <w:tcPr/>
          <w:p>
            <w:pPr>
              <w:pStyle w:val="Compact"/>
              <w:jc w:val="left"/>
            </w:pPr>
            <w:r>
              <w:t xml:space="preserve">-23.8 (1.1)</w:t>
            </w:r>
          </w:p>
        </w:tc>
        <w:tc>
          <w:tcPr/>
          <w:p>
            <w:pPr>
              <w:pStyle w:val="Compact"/>
              <w:jc w:val="left"/>
            </w:pPr>
            <w:r>
              <w:t xml:space="preserve">-12.5</w:t>
            </w:r>
          </w:p>
        </w:tc>
        <w:tc>
          <w:tcPr/>
          <w:p>
            <w:pPr>
              <w:pStyle w:val="Compact"/>
              <w:jc w:val="left"/>
            </w:pPr>
            <w:r>
              <w:t xml:space="preserve">-7.6</w:t>
            </w:r>
          </w:p>
        </w:tc>
        <w:tc>
          <w:tcPr/>
          <w:p>
            <w:pPr>
              <w:pStyle w:val="Compact"/>
              <w:jc w:val="left"/>
            </w:pPr>
            <w:r>
              <w:t xml:space="preserve">4.9 (0.9)</w:t>
            </w:r>
          </w:p>
        </w:tc>
      </w:tr>
      <w:tr>
        <w:tc>
          <w:tcPr/>
          <w:p>
            <w:pPr>
              <w:pStyle w:val="Compact"/>
              <w:jc w:val="left"/>
            </w:pPr>
            <w:r>
              <w:t xml:space="preserve">    Sleep</w:t>
            </w:r>
          </w:p>
        </w:tc>
        <w:tc>
          <w:tcPr/>
          <w:p>
            <w:pPr>
              <w:pStyle w:val="Compact"/>
              <w:jc w:val="left"/>
            </w:pPr>
            <w:r>
              <w:t xml:space="preserve">550.0</w:t>
            </w:r>
          </w:p>
        </w:tc>
        <w:tc>
          <w:tcPr/>
          <w:p>
            <w:pPr>
              <w:pStyle w:val="Compact"/>
              <w:jc w:val="left"/>
            </w:pPr>
            <w:r>
              <w:t xml:space="preserve">543.6</w:t>
            </w:r>
          </w:p>
        </w:tc>
        <w:tc>
          <w:tcPr/>
          <w:p>
            <w:pPr>
              <w:pStyle w:val="Compact"/>
              <w:jc w:val="left"/>
            </w:pPr>
            <w:r>
              <w:t xml:space="preserve">-6.4 (1.0)</w:t>
            </w:r>
          </w:p>
        </w:tc>
        <w:tc>
          <w:tcPr/>
          <w:p>
            <w:pPr>
              <w:pStyle w:val="Compact"/>
              <w:jc w:val="left"/>
            </w:pPr>
            <w:r>
              <w:t xml:space="preserve">539.1</w:t>
            </w:r>
          </w:p>
        </w:tc>
        <w:tc>
          <w:tcPr/>
          <w:p>
            <w:pPr>
              <w:pStyle w:val="Compact"/>
              <w:jc w:val="left"/>
            </w:pPr>
            <w:r>
              <w:t xml:space="preserve">532.5</w:t>
            </w:r>
          </w:p>
        </w:tc>
        <w:tc>
          <w:tcPr/>
          <w:p>
            <w:pPr>
              <w:pStyle w:val="Compact"/>
              <w:jc w:val="left"/>
            </w:pPr>
            <w:r>
              <w:t xml:space="preserve">-6.6 (0.9)</w:t>
            </w:r>
          </w:p>
        </w:tc>
        <w:tc>
          <w:tcPr/>
          <w:p>
            <w:pPr>
              <w:pStyle w:val="Compact"/>
              <w:jc w:val="left"/>
            </w:pPr>
            <w:r>
              <w:t xml:space="preserve">10.9</w:t>
            </w:r>
          </w:p>
        </w:tc>
        <w:tc>
          <w:tcPr/>
          <w:p>
            <w:pPr>
              <w:pStyle w:val="Compact"/>
              <w:jc w:val="left"/>
            </w:pPr>
            <w:r>
              <w:t xml:space="preserve">11.1</w:t>
            </w:r>
          </w:p>
        </w:tc>
        <w:tc>
          <w:tcPr/>
          <w:p>
            <w:pPr>
              <w:pStyle w:val="Compact"/>
              <w:jc w:val="left"/>
            </w:pPr>
            <w:r>
              <w:t xml:space="preserve">0.2 (0.7)</w:t>
            </w:r>
          </w:p>
        </w:tc>
      </w:tr>
    </w:tbl>
    <w:p>
      <w:pPr>
        <w:pStyle w:val="BodyText"/>
      </w:pPr>
      <w:r>
        <w:rPr>
          <w:i/>
          <w:iCs/>
        </w:rPr>
        <w:t xml:space="preserve">Note:</w:t>
      </w:r>
      <w:r>
        <w:t xml:space="preserve"> </w:t>
      </w:r>
      <w:r>
        <w:t xml:space="preserve">Weighted means over all persons, including those who did not do the activity. Major activity in each 30-minute slot. Standard errors clustered by first-stage unit within year. N = 384,736 women and 386,112 men.</w:t>
      </w:r>
    </w:p>
    <w:p>
      <w:pPr>
        <w:pStyle w:val="BodyText"/>
      </w:pPr>
      <w:r>
        <w:t xml:space="preserve">Table 4 splits the changes into extensive and intensive parts. For women, virtually all of the rise in employment time (11.1 of 11.1 minutes) came from the extensive margin. The share of women who did any paid work on the diary day rose by 3.1 percentage points (95% CI [2.4, 3.8]), from 20.6 to 23.7 percent, while women who worked spent 356 minutes on it in 2019 and 356 in 2024. The new paid work therefore resembles women’s existing paid work in duration. It is not dominated by short spells, as might be expected if it mainly reflected a reclassification of marginal activities. For men, the extensive margin also accounts for most of the rise, with participation rising by 4.2 percentage points.</w:t>
      </w:r>
    </w:p>
    <w:p>
      <w:pPr>
        <w:pStyle w:val="TableCaption"/>
      </w:pPr>
      <w:r>
        <w:t xml:space="preserve">Table 4. Participation and minutes per participant: decomposition of the change</w:t>
      </w:r>
    </w:p>
    <w:tbl>
      <w:tblPr>
        <w:tblStyle w:val="Table"/>
        <w:tblW w:type="pct" w:w="5000"/>
        <w:tblLayout w:type="fixed"/>
        <w:tblLook w:firstRow="1" w:lastRow="0" w:firstColumn="0" w:lastColumn="0" w:noHBand="0" w:noVBand="0" w:val="0020"/>
        <w:tblCaption w:val="Table 4. Participation and minutes per participant: decomposition of the change"/>
      </w:tblPr>
      <w:tblGrid>
        <w:gridCol w:w="977"/>
        <w:gridCol w:w="808"/>
        <w:gridCol w:w="808"/>
        <w:gridCol w:w="1011"/>
        <w:gridCol w:w="1011"/>
        <w:gridCol w:w="1011"/>
        <w:gridCol w:w="1145"/>
        <w:gridCol w:w="1145"/>
      </w:tblGrid>
      <w:tr>
        <w:trPr>
          <w:tblHeader w:val="on"/>
        </w:trPr>
        <w:tc>
          <w:tcPr/>
          <w:p>
            <w:pPr>
              <w:pStyle w:val="Compact"/>
              <w:jc w:val="left"/>
            </w:pPr>
            <w:r>
              <w:t xml:space="preserve">Activity</w:t>
            </w:r>
          </w:p>
        </w:tc>
        <w:tc>
          <w:tcPr/>
          <w:p>
            <w:pPr>
              <w:pStyle w:val="Compact"/>
              <w:jc w:val="left"/>
            </w:pPr>
            <w:r>
              <w:t xml:space="preserve">Participation (%): 2019</w:t>
            </w:r>
          </w:p>
        </w:tc>
        <w:tc>
          <w:tcPr/>
          <w:p>
            <w:pPr>
              <w:pStyle w:val="Compact"/>
              <w:jc w:val="left"/>
            </w:pPr>
            <w:r>
              <w:t xml:space="preserve">Participation (%): 2024</w:t>
            </w:r>
          </w:p>
        </w:tc>
        <w:tc>
          <w:tcPr/>
          <w:p>
            <w:pPr>
              <w:pStyle w:val="Compact"/>
              <w:jc w:val="left"/>
            </w:pPr>
            <w:r>
              <w:t xml:space="preserve">Minutes per participant: 2019</w:t>
            </w:r>
          </w:p>
        </w:tc>
        <w:tc>
          <w:tcPr/>
          <w:p>
            <w:pPr>
              <w:pStyle w:val="Compact"/>
              <w:jc w:val="left"/>
            </w:pPr>
            <w:r>
              <w:t xml:space="preserve">Minutes per participant: 2024</w:t>
            </w:r>
          </w:p>
        </w:tc>
        <w:tc>
          <w:tcPr/>
          <w:p>
            <w:pPr>
              <w:pStyle w:val="Compact"/>
              <w:jc w:val="left"/>
            </w:pPr>
            <w:r>
              <w:t xml:space="preserve">Change in mean minutes: Total</w:t>
            </w:r>
          </w:p>
        </w:tc>
        <w:tc>
          <w:tcPr/>
          <w:p>
            <w:pPr>
              <w:pStyle w:val="Compact"/>
              <w:jc w:val="left"/>
            </w:pPr>
            <w:r>
              <w:t xml:space="preserve">Change in mean minutes: Extensive</w:t>
            </w:r>
          </w:p>
        </w:tc>
        <w:tc>
          <w:tcPr/>
          <w:p>
            <w:pPr>
              <w:pStyle w:val="Compact"/>
              <w:jc w:val="left"/>
            </w:pPr>
            <w:r>
              <w:t xml:space="preserve">Change in mean minutes: Intensive</w:t>
            </w:r>
          </w:p>
        </w:tc>
      </w:tr>
      <w:tr>
        <w:tc>
          <w:tcPr/>
          <w:p>
            <w:pPr>
              <w:pStyle w:val="Compact"/>
              <w:jc w:val="left"/>
            </w:pPr>
            <w:r>
              <w:rPr>
                <w:b/>
                <w:bCs/>
              </w:rPr>
              <w:t xml:space="preserve">Women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Employment (1)</w:t>
            </w:r>
          </w:p>
        </w:tc>
        <w:tc>
          <w:tcPr/>
          <w:p>
            <w:pPr>
              <w:pStyle w:val="Compact"/>
              <w:jc w:val="left"/>
            </w:pPr>
            <w:r>
              <w:t xml:space="preserve">20.6</w:t>
            </w:r>
          </w:p>
        </w:tc>
        <w:tc>
          <w:tcPr/>
          <w:p>
            <w:pPr>
              <w:pStyle w:val="Compact"/>
              <w:jc w:val="left"/>
            </w:pPr>
            <w:r>
              <w:t xml:space="preserve">23.7</w:t>
            </w:r>
          </w:p>
        </w:tc>
        <w:tc>
          <w:tcPr/>
          <w:p>
            <w:pPr>
              <w:pStyle w:val="Compact"/>
              <w:jc w:val="left"/>
            </w:pPr>
            <w:r>
              <w:t xml:space="preserve">356</w:t>
            </w:r>
          </w:p>
        </w:tc>
        <w:tc>
          <w:tcPr/>
          <w:p>
            <w:pPr>
              <w:pStyle w:val="Compact"/>
              <w:jc w:val="left"/>
            </w:pPr>
            <w:r>
              <w:t xml:space="preserve">356</w:t>
            </w:r>
          </w:p>
        </w:tc>
        <w:tc>
          <w:tcPr/>
          <w:p>
            <w:pPr>
              <w:pStyle w:val="Compact"/>
              <w:jc w:val="left"/>
            </w:pPr>
            <w:r>
              <w:t xml:space="preserve">11.1</w:t>
            </w:r>
          </w:p>
        </w:tc>
        <w:tc>
          <w:tcPr/>
          <w:p>
            <w:pPr>
              <w:pStyle w:val="Compact"/>
              <w:jc w:val="left"/>
            </w:pPr>
            <w:r>
              <w:t xml:space="preserve">11.1</w:t>
            </w:r>
          </w:p>
        </w:tc>
        <w:tc>
          <w:tcPr/>
          <w:p>
            <w:pPr>
              <w:pStyle w:val="Compact"/>
              <w:jc w:val="left"/>
            </w:pPr>
            <w:r>
              <w:t xml:space="preserve">0.0</w:t>
            </w:r>
          </w:p>
        </w:tc>
      </w:tr>
      <w:tr>
        <w:tc>
          <w:tcPr/>
          <w:p>
            <w:pPr>
              <w:pStyle w:val="Compact"/>
              <w:jc w:val="left"/>
            </w:pPr>
            <w:r>
              <w:t xml:space="preserve">Own-use production (2)</w:t>
            </w:r>
          </w:p>
        </w:tc>
        <w:tc>
          <w:tcPr/>
          <w:p>
            <w:pPr>
              <w:pStyle w:val="Compact"/>
              <w:jc w:val="left"/>
            </w:pPr>
            <w:r>
              <w:t xml:space="preserve">21.6</w:t>
            </w:r>
          </w:p>
        </w:tc>
        <w:tc>
          <w:tcPr/>
          <w:p>
            <w:pPr>
              <w:pStyle w:val="Compact"/>
              <w:jc w:val="left"/>
            </w:pPr>
            <w:r>
              <w:t xml:space="preserve">22.5</w:t>
            </w:r>
          </w:p>
        </w:tc>
        <w:tc>
          <w:tcPr/>
          <w:p>
            <w:pPr>
              <w:pStyle w:val="Compact"/>
              <w:jc w:val="left"/>
            </w:pPr>
            <w:r>
              <w:t xml:space="preserve">126</w:t>
            </w:r>
          </w:p>
        </w:tc>
        <w:tc>
          <w:tcPr/>
          <w:p>
            <w:pPr>
              <w:pStyle w:val="Compact"/>
              <w:jc w:val="left"/>
            </w:pPr>
            <w:r>
              <w:t xml:space="preserve">110</w:t>
            </w:r>
          </w:p>
        </w:tc>
        <w:tc>
          <w:tcPr/>
          <w:p>
            <w:pPr>
              <w:pStyle w:val="Compact"/>
              <w:jc w:val="left"/>
            </w:pPr>
            <w:r>
              <w:t xml:space="preserve">-2.5</w:t>
            </w:r>
          </w:p>
        </w:tc>
        <w:tc>
          <w:tcPr/>
          <w:p>
            <w:pPr>
              <w:pStyle w:val="Compact"/>
              <w:jc w:val="left"/>
            </w:pPr>
            <w:r>
              <w:t xml:space="preserve">1.1</w:t>
            </w:r>
          </w:p>
        </w:tc>
        <w:tc>
          <w:tcPr/>
          <w:p>
            <w:pPr>
              <w:pStyle w:val="Compact"/>
              <w:jc w:val="left"/>
            </w:pPr>
            <w:r>
              <w:t xml:space="preserve">-3.6</w:t>
            </w:r>
          </w:p>
        </w:tc>
      </w:tr>
      <w:tr>
        <w:tc>
          <w:tcPr/>
          <w:p>
            <w:pPr>
              <w:pStyle w:val="Compact"/>
              <w:jc w:val="left"/>
            </w:pPr>
            <w:r>
              <w:t xml:space="preserve">Production work (1+2)</w:t>
            </w:r>
          </w:p>
        </w:tc>
        <w:tc>
          <w:tcPr/>
          <w:p>
            <w:pPr>
              <w:pStyle w:val="Compact"/>
              <w:jc w:val="left"/>
            </w:pPr>
            <w:r>
              <w:t xml:space="preserve">37.9</w:t>
            </w:r>
          </w:p>
        </w:tc>
        <w:tc>
          <w:tcPr/>
          <w:p>
            <w:pPr>
              <w:pStyle w:val="Compact"/>
              <w:jc w:val="left"/>
            </w:pPr>
            <w:r>
              <w:t xml:space="preserve">41.6</w:t>
            </w:r>
          </w:p>
        </w:tc>
        <w:tc>
          <w:tcPr/>
          <w:p>
            <w:pPr>
              <w:pStyle w:val="Compact"/>
              <w:jc w:val="left"/>
            </w:pPr>
            <w:r>
              <w:t xml:space="preserve">266</w:t>
            </w:r>
          </w:p>
        </w:tc>
        <w:tc>
          <w:tcPr/>
          <w:p>
            <w:pPr>
              <w:pStyle w:val="Compact"/>
              <w:jc w:val="left"/>
            </w:pPr>
            <w:r>
              <w:t xml:space="preserve">263</w:t>
            </w:r>
          </w:p>
        </w:tc>
        <w:tc>
          <w:tcPr/>
          <w:p>
            <w:pPr>
              <w:pStyle w:val="Compact"/>
              <w:jc w:val="left"/>
            </w:pPr>
            <w:r>
              <w:t xml:space="preserve">8.6</w:t>
            </w:r>
          </w:p>
        </w:tc>
        <w:tc>
          <w:tcPr/>
          <w:p>
            <w:pPr>
              <w:pStyle w:val="Compact"/>
              <w:jc w:val="left"/>
            </w:pPr>
            <w:r>
              <w:t xml:space="preserve">9.7</w:t>
            </w:r>
          </w:p>
        </w:tc>
        <w:tc>
          <w:tcPr/>
          <w:p>
            <w:pPr>
              <w:pStyle w:val="Compact"/>
              <w:jc w:val="left"/>
            </w:pPr>
            <w:r>
              <w:t xml:space="preserve">-1.1</w:t>
            </w:r>
          </w:p>
        </w:tc>
      </w:tr>
      <w:tr>
        <w:tc>
          <w:tcPr/>
          <w:p>
            <w:pPr>
              <w:pStyle w:val="Compact"/>
              <w:jc w:val="left"/>
            </w:pPr>
            <w:r>
              <w:t xml:space="preserve">Unpaid domestic services (3)</w:t>
            </w:r>
          </w:p>
        </w:tc>
        <w:tc>
          <w:tcPr/>
          <w:p>
            <w:pPr>
              <w:pStyle w:val="Compact"/>
              <w:jc w:val="left"/>
            </w:pPr>
            <w:r>
              <w:t xml:space="preserve">89.9</w:t>
            </w:r>
          </w:p>
        </w:tc>
        <w:tc>
          <w:tcPr/>
          <w:p>
            <w:pPr>
              <w:pStyle w:val="Compact"/>
              <w:jc w:val="left"/>
            </w:pPr>
            <w:r>
              <w:t xml:space="preserve">90.5</w:t>
            </w:r>
          </w:p>
        </w:tc>
        <w:tc>
          <w:tcPr/>
          <w:p>
            <w:pPr>
              <w:pStyle w:val="Compact"/>
              <w:jc w:val="left"/>
            </w:pPr>
            <w:r>
              <w:t xml:space="preserve">326</w:t>
            </w:r>
          </w:p>
        </w:tc>
        <w:tc>
          <w:tcPr/>
          <w:p>
            <w:pPr>
              <w:pStyle w:val="Compact"/>
              <w:jc w:val="left"/>
            </w:pPr>
            <w:r>
              <w:t xml:space="preserve">310</w:t>
            </w:r>
          </w:p>
        </w:tc>
        <w:tc>
          <w:tcPr/>
          <w:p>
            <w:pPr>
              <w:pStyle w:val="Compact"/>
              <w:jc w:val="left"/>
            </w:pPr>
            <w:r>
              <w:t xml:space="preserve">-12.7</w:t>
            </w:r>
          </w:p>
        </w:tc>
        <w:tc>
          <w:tcPr/>
          <w:p>
            <w:pPr>
              <w:pStyle w:val="Compact"/>
              <w:jc w:val="left"/>
            </w:pPr>
            <w:r>
              <w:t xml:space="preserve">2.1</w:t>
            </w:r>
          </w:p>
        </w:tc>
        <w:tc>
          <w:tcPr/>
          <w:p>
            <w:pPr>
              <w:pStyle w:val="Compact"/>
              <w:jc w:val="left"/>
            </w:pPr>
            <w:r>
              <w:t xml:space="preserve">-14.8</w:t>
            </w:r>
          </w:p>
        </w:tc>
      </w:tr>
      <w:tr>
        <w:tc>
          <w:tcPr/>
          <w:p>
            <w:pPr>
              <w:pStyle w:val="Compact"/>
              <w:jc w:val="left"/>
            </w:pPr>
            <w:r>
              <w:t xml:space="preserve">Unpaid caregiving (4)</w:t>
            </w:r>
          </w:p>
        </w:tc>
        <w:tc>
          <w:tcPr/>
          <w:p>
            <w:pPr>
              <w:pStyle w:val="Compact"/>
              <w:jc w:val="left"/>
            </w:pPr>
            <w:r>
              <w:t xml:space="preserve">29.2</w:t>
            </w:r>
          </w:p>
        </w:tc>
        <w:tc>
          <w:tcPr/>
          <w:p>
            <w:pPr>
              <w:pStyle w:val="Compact"/>
              <w:jc w:val="left"/>
            </w:pPr>
            <w:r>
              <w:t xml:space="preserve">36.1</w:t>
            </w:r>
          </w:p>
        </w:tc>
        <w:tc>
          <w:tcPr/>
          <w:p>
            <w:pPr>
              <w:pStyle w:val="Compact"/>
              <w:jc w:val="left"/>
            </w:pPr>
            <w:r>
              <w:t xml:space="preserve">141</w:t>
            </w:r>
          </w:p>
        </w:tc>
        <w:tc>
          <w:tcPr/>
          <w:p>
            <w:pPr>
              <w:pStyle w:val="Compact"/>
              <w:jc w:val="left"/>
            </w:pPr>
            <w:r>
              <w:t xml:space="preserve">143</w:t>
            </w:r>
          </w:p>
        </w:tc>
        <w:tc>
          <w:tcPr/>
          <w:p>
            <w:pPr>
              <w:pStyle w:val="Compact"/>
              <w:jc w:val="left"/>
            </w:pPr>
            <w:r>
              <w:t xml:space="preserve">10.4</w:t>
            </w:r>
          </w:p>
        </w:tc>
        <w:tc>
          <w:tcPr/>
          <w:p>
            <w:pPr>
              <w:pStyle w:val="Compact"/>
              <w:jc w:val="left"/>
            </w:pPr>
            <w:r>
              <w:t xml:space="preserve">9.8</w:t>
            </w:r>
          </w:p>
        </w:tc>
        <w:tc>
          <w:tcPr/>
          <w:p>
            <w:pPr>
              <w:pStyle w:val="Compact"/>
              <w:jc w:val="left"/>
            </w:pPr>
            <w:r>
              <w:t xml:space="preserve">0.6</w:t>
            </w:r>
          </w:p>
        </w:tc>
      </w:tr>
      <w:tr>
        <w:tc>
          <w:tcPr/>
          <w:p>
            <w:pPr>
              <w:pStyle w:val="Compact"/>
              <w:jc w:val="left"/>
            </w:pPr>
            <w:r>
              <w:t xml:space="preserve">Unpaid work (3+4)</w:t>
            </w:r>
          </w:p>
        </w:tc>
        <w:tc>
          <w:tcPr/>
          <w:p>
            <w:pPr>
              <w:pStyle w:val="Compact"/>
              <w:jc w:val="left"/>
            </w:pPr>
            <w:r>
              <w:t xml:space="preserve">91.2</w:t>
            </w:r>
          </w:p>
        </w:tc>
        <w:tc>
          <w:tcPr/>
          <w:p>
            <w:pPr>
              <w:pStyle w:val="Compact"/>
              <w:jc w:val="left"/>
            </w:pPr>
            <w:r>
              <w:t xml:space="preserve">92.1</w:t>
            </w:r>
          </w:p>
        </w:tc>
        <w:tc>
          <w:tcPr/>
          <w:p>
            <w:pPr>
              <w:pStyle w:val="Compact"/>
              <w:jc w:val="left"/>
            </w:pPr>
            <w:r>
              <w:t xml:space="preserve">366</w:t>
            </w:r>
          </w:p>
        </w:tc>
        <w:tc>
          <w:tcPr/>
          <w:p>
            <w:pPr>
              <w:pStyle w:val="Compact"/>
              <w:jc w:val="left"/>
            </w:pPr>
            <w:r>
              <w:t xml:space="preserve">360</w:t>
            </w:r>
          </w:p>
        </w:tc>
        <w:tc>
          <w:tcPr/>
          <w:p>
            <w:pPr>
              <w:pStyle w:val="Compact"/>
              <w:jc w:val="left"/>
            </w:pPr>
            <w:r>
              <w:t xml:space="preserve">-2.2</w:t>
            </w:r>
          </w:p>
        </w:tc>
        <w:tc>
          <w:tcPr/>
          <w:p>
            <w:pPr>
              <w:pStyle w:val="Compact"/>
              <w:jc w:val="left"/>
            </w:pPr>
            <w:r>
              <w:t xml:space="preserve">3.1</w:t>
            </w:r>
          </w:p>
        </w:tc>
        <w:tc>
          <w:tcPr/>
          <w:p>
            <w:pPr>
              <w:pStyle w:val="Compact"/>
              <w:jc w:val="left"/>
            </w:pPr>
            <w:r>
              <w:t xml:space="preserve">-5.4</w:t>
            </w:r>
          </w:p>
        </w:tc>
      </w:tr>
      <w:tr>
        <w:tc>
          <w:tcPr/>
          <w:p>
            <w:pPr>
              <w:pStyle w:val="Compact"/>
              <w:jc w:val="left"/>
            </w:pPr>
            <w:r>
              <w:rPr>
                <w:b/>
                <w:bCs/>
              </w:rPr>
              <w:t xml:space="preserve">Men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Employment (1)</w:t>
            </w:r>
          </w:p>
        </w:tc>
        <w:tc>
          <w:tcPr/>
          <w:p>
            <w:pPr>
              <w:pStyle w:val="Compact"/>
              <w:jc w:val="left"/>
            </w:pPr>
            <w:r>
              <w:t xml:space="preserve">66.9</w:t>
            </w:r>
          </w:p>
        </w:tc>
        <w:tc>
          <w:tcPr/>
          <w:p>
            <w:pPr>
              <w:pStyle w:val="Compact"/>
              <w:jc w:val="left"/>
            </w:pPr>
            <w:r>
              <w:t xml:space="preserve">71.0</w:t>
            </w:r>
          </w:p>
        </w:tc>
        <w:tc>
          <w:tcPr/>
          <w:p>
            <w:pPr>
              <w:pStyle w:val="Compact"/>
              <w:jc w:val="left"/>
            </w:pPr>
            <w:r>
              <w:t xml:space="preserve">486</w:t>
            </w:r>
          </w:p>
        </w:tc>
        <w:tc>
          <w:tcPr/>
          <w:p>
            <w:pPr>
              <w:pStyle w:val="Compact"/>
              <w:jc w:val="left"/>
            </w:pPr>
            <w:r>
              <w:t xml:space="preserve">489</w:t>
            </w:r>
          </w:p>
        </w:tc>
        <w:tc>
          <w:tcPr/>
          <w:p>
            <w:pPr>
              <w:pStyle w:val="Compact"/>
              <w:jc w:val="left"/>
            </w:pPr>
            <w:r>
              <w:t xml:space="preserve">22.6</w:t>
            </w:r>
          </w:p>
        </w:tc>
        <w:tc>
          <w:tcPr/>
          <w:p>
            <w:pPr>
              <w:pStyle w:val="Compact"/>
              <w:jc w:val="left"/>
            </w:pPr>
            <w:r>
              <w:t xml:space="preserve">20.4</w:t>
            </w:r>
          </w:p>
        </w:tc>
        <w:tc>
          <w:tcPr/>
          <w:p>
            <w:pPr>
              <w:pStyle w:val="Compact"/>
              <w:jc w:val="left"/>
            </w:pPr>
            <w:r>
              <w:t xml:space="preserve">2.3</w:t>
            </w:r>
          </w:p>
        </w:tc>
      </w:tr>
      <w:tr>
        <w:tc>
          <w:tcPr/>
          <w:p>
            <w:pPr>
              <w:pStyle w:val="Compact"/>
              <w:jc w:val="left"/>
            </w:pPr>
            <w:r>
              <w:t xml:space="preserve">Own-use production (2)</w:t>
            </w:r>
          </w:p>
        </w:tc>
        <w:tc>
          <w:tcPr/>
          <w:p>
            <w:pPr>
              <w:pStyle w:val="Compact"/>
              <w:jc w:val="left"/>
            </w:pPr>
            <w:r>
              <w:t xml:space="preserve">16.1</w:t>
            </w:r>
          </w:p>
        </w:tc>
        <w:tc>
          <w:tcPr/>
          <w:p>
            <w:pPr>
              <w:pStyle w:val="Compact"/>
              <w:jc w:val="left"/>
            </w:pPr>
            <w:r>
              <w:t xml:space="preserve">14.4</w:t>
            </w:r>
          </w:p>
        </w:tc>
        <w:tc>
          <w:tcPr/>
          <w:p>
            <w:pPr>
              <w:pStyle w:val="Compact"/>
              <w:jc w:val="left"/>
            </w:pPr>
            <w:r>
              <w:t xml:space="preserve">213</w:t>
            </w:r>
          </w:p>
        </w:tc>
        <w:tc>
          <w:tcPr/>
          <w:p>
            <w:pPr>
              <w:pStyle w:val="Compact"/>
              <w:jc w:val="left"/>
            </w:pPr>
            <w:r>
              <w:t xml:space="preserve">144</w:t>
            </w:r>
          </w:p>
        </w:tc>
        <w:tc>
          <w:tcPr/>
          <w:p>
            <w:pPr>
              <w:pStyle w:val="Compact"/>
              <w:jc w:val="left"/>
            </w:pPr>
            <w:r>
              <w:t xml:space="preserve">-13.5</w:t>
            </w:r>
          </w:p>
        </w:tc>
        <w:tc>
          <w:tcPr/>
          <w:p>
            <w:pPr>
              <w:pStyle w:val="Compact"/>
              <w:jc w:val="left"/>
            </w:pPr>
            <w:r>
              <w:t xml:space="preserve">-3.0</w:t>
            </w:r>
          </w:p>
        </w:tc>
        <w:tc>
          <w:tcPr/>
          <w:p>
            <w:pPr>
              <w:pStyle w:val="Compact"/>
              <w:jc w:val="left"/>
            </w:pPr>
            <w:r>
              <w:t xml:space="preserve">-10.4</w:t>
            </w:r>
          </w:p>
        </w:tc>
      </w:tr>
      <w:tr>
        <w:tc>
          <w:tcPr/>
          <w:p>
            <w:pPr>
              <w:pStyle w:val="Compact"/>
              <w:jc w:val="left"/>
            </w:pPr>
            <w:r>
              <w:t xml:space="preserve">Production work (1+2)</w:t>
            </w:r>
          </w:p>
        </w:tc>
        <w:tc>
          <w:tcPr/>
          <w:p>
            <w:pPr>
              <w:pStyle w:val="Compact"/>
              <w:jc w:val="left"/>
            </w:pPr>
            <w:r>
              <w:t xml:space="preserve">74.7</w:t>
            </w:r>
          </w:p>
        </w:tc>
        <w:tc>
          <w:tcPr/>
          <w:p>
            <w:pPr>
              <w:pStyle w:val="Compact"/>
              <w:jc w:val="left"/>
            </w:pPr>
            <w:r>
              <w:t xml:space="preserve">76.4</w:t>
            </w:r>
          </w:p>
        </w:tc>
        <w:tc>
          <w:tcPr/>
          <w:p>
            <w:pPr>
              <w:pStyle w:val="Compact"/>
              <w:jc w:val="left"/>
            </w:pPr>
            <w:r>
              <w:t xml:space="preserve">480</w:t>
            </w:r>
          </w:p>
        </w:tc>
        <w:tc>
          <w:tcPr/>
          <w:p>
            <w:pPr>
              <w:pStyle w:val="Compact"/>
              <w:jc w:val="left"/>
            </w:pPr>
            <w:r>
              <w:t xml:space="preserve">482</w:t>
            </w:r>
          </w:p>
        </w:tc>
        <w:tc>
          <w:tcPr/>
          <w:p>
            <w:pPr>
              <w:pStyle w:val="Compact"/>
              <w:jc w:val="left"/>
            </w:pPr>
            <w:r>
              <w:t xml:space="preserve">9.2</w:t>
            </w:r>
          </w:p>
        </w:tc>
        <w:tc>
          <w:tcPr/>
          <w:p>
            <w:pPr>
              <w:pStyle w:val="Compact"/>
              <w:jc w:val="left"/>
            </w:pPr>
            <w:r>
              <w:t xml:space="preserve">7.9</w:t>
            </w:r>
          </w:p>
        </w:tc>
        <w:tc>
          <w:tcPr/>
          <w:p>
            <w:pPr>
              <w:pStyle w:val="Compact"/>
              <w:jc w:val="left"/>
            </w:pPr>
            <w:r>
              <w:t xml:space="preserve">1.3</w:t>
            </w:r>
          </w:p>
        </w:tc>
      </w:tr>
      <w:tr>
        <w:tc>
          <w:tcPr/>
          <w:p>
            <w:pPr>
              <w:pStyle w:val="Compact"/>
              <w:jc w:val="left"/>
            </w:pPr>
            <w:r>
              <w:t xml:space="preserve">Unpaid domestic services (3)</w:t>
            </w:r>
          </w:p>
        </w:tc>
        <w:tc>
          <w:tcPr/>
          <w:p>
            <w:pPr>
              <w:pStyle w:val="Compact"/>
              <w:jc w:val="left"/>
            </w:pPr>
            <w:r>
              <w:t xml:space="preserve">27.9</w:t>
            </w:r>
          </w:p>
        </w:tc>
        <w:tc>
          <w:tcPr/>
          <w:p>
            <w:pPr>
              <w:pStyle w:val="Compact"/>
              <w:jc w:val="left"/>
            </w:pPr>
            <w:r>
              <w:t xml:space="preserve">28.5</w:t>
            </w:r>
          </w:p>
        </w:tc>
        <w:tc>
          <w:tcPr/>
          <w:p>
            <w:pPr>
              <w:pStyle w:val="Compact"/>
              <w:jc w:val="left"/>
            </w:pPr>
            <w:r>
              <w:t xml:space="preserve">109</w:t>
            </w:r>
          </w:p>
        </w:tc>
        <w:tc>
          <w:tcPr/>
          <w:p>
            <w:pPr>
              <w:pStyle w:val="Compact"/>
              <w:jc w:val="left"/>
            </w:pPr>
            <w:r>
              <w:t xml:space="preserve">98</w:t>
            </w:r>
          </w:p>
        </w:tc>
        <w:tc>
          <w:tcPr/>
          <w:p>
            <w:pPr>
              <w:pStyle w:val="Compact"/>
              <w:jc w:val="left"/>
            </w:pPr>
            <w:r>
              <w:t xml:space="preserve">-2.4</w:t>
            </w:r>
          </w:p>
        </w:tc>
        <w:tc>
          <w:tcPr/>
          <w:p>
            <w:pPr>
              <w:pStyle w:val="Compact"/>
              <w:jc w:val="left"/>
            </w:pPr>
            <w:r>
              <w:t xml:space="preserve">0.6</w:t>
            </w:r>
          </w:p>
        </w:tc>
        <w:tc>
          <w:tcPr/>
          <w:p>
            <w:pPr>
              <w:pStyle w:val="Compact"/>
              <w:jc w:val="left"/>
            </w:pPr>
            <w:r>
              <w:t xml:space="preserve">-3.1</w:t>
            </w:r>
          </w:p>
        </w:tc>
      </w:tr>
      <w:tr>
        <w:tc>
          <w:tcPr/>
          <w:p>
            <w:pPr>
              <w:pStyle w:val="Compact"/>
              <w:jc w:val="left"/>
            </w:pPr>
            <w:r>
              <w:t xml:space="preserve">Unpaid caregiving (4)</w:t>
            </w:r>
          </w:p>
        </w:tc>
        <w:tc>
          <w:tcPr/>
          <w:p>
            <w:pPr>
              <w:pStyle w:val="Compact"/>
              <w:jc w:val="left"/>
            </w:pPr>
            <w:r>
              <w:t xml:space="preserve">13.7</w:t>
            </w:r>
          </w:p>
        </w:tc>
        <w:tc>
          <w:tcPr/>
          <w:p>
            <w:pPr>
              <w:pStyle w:val="Compact"/>
              <w:jc w:val="left"/>
            </w:pPr>
            <w:r>
              <w:t xml:space="preserve">18.4</w:t>
            </w:r>
          </w:p>
        </w:tc>
        <w:tc>
          <w:tcPr/>
          <w:p>
            <w:pPr>
              <w:pStyle w:val="Compact"/>
              <w:jc w:val="left"/>
            </w:pPr>
            <w:r>
              <w:t xml:space="preserve">86</w:t>
            </w:r>
          </w:p>
        </w:tc>
        <w:tc>
          <w:tcPr/>
          <w:p>
            <w:pPr>
              <w:pStyle w:val="Compact"/>
              <w:jc w:val="left"/>
            </w:pPr>
            <w:r>
              <w:t xml:space="preserve">83</w:t>
            </w:r>
          </w:p>
        </w:tc>
        <w:tc>
          <w:tcPr/>
          <w:p>
            <w:pPr>
              <w:pStyle w:val="Compact"/>
              <w:jc w:val="left"/>
            </w:pPr>
            <w:r>
              <w:t xml:space="preserve">3.4</w:t>
            </w:r>
          </w:p>
        </w:tc>
        <w:tc>
          <w:tcPr/>
          <w:p>
            <w:pPr>
              <w:pStyle w:val="Compact"/>
              <w:jc w:val="left"/>
            </w:pPr>
            <w:r>
              <w:t xml:space="preserve">4.0</w:t>
            </w:r>
          </w:p>
        </w:tc>
        <w:tc>
          <w:tcPr/>
          <w:p>
            <w:pPr>
              <w:pStyle w:val="Compact"/>
              <w:jc w:val="left"/>
            </w:pPr>
            <w:r>
              <w:t xml:space="preserve">-0.6</w:t>
            </w:r>
          </w:p>
        </w:tc>
      </w:tr>
      <w:tr>
        <w:tc>
          <w:tcPr/>
          <w:p>
            <w:pPr>
              <w:pStyle w:val="Compact"/>
              <w:jc w:val="left"/>
            </w:pPr>
            <w:r>
              <w:t xml:space="preserve">Unpaid work (3+4)</w:t>
            </w:r>
          </w:p>
        </w:tc>
        <w:tc>
          <w:tcPr/>
          <w:p>
            <w:pPr>
              <w:pStyle w:val="Compact"/>
              <w:jc w:val="left"/>
            </w:pPr>
            <w:r>
              <w:t xml:space="preserve">37.0</w:t>
            </w:r>
          </w:p>
        </w:tc>
        <w:tc>
          <w:tcPr/>
          <w:p>
            <w:pPr>
              <w:pStyle w:val="Compact"/>
              <w:jc w:val="left"/>
            </w:pPr>
            <w:r>
              <w:t xml:space="preserve">41.4</w:t>
            </w:r>
          </w:p>
        </w:tc>
        <w:tc>
          <w:tcPr/>
          <w:p>
            <w:pPr>
              <w:pStyle w:val="Compact"/>
              <w:jc w:val="left"/>
            </w:pPr>
            <w:r>
              <w:t xml:space="preserve">114</w:t>
            </w:r>
          </w:p>
        </w:tc>
        <w:tc>
          <w:tcPr/>
          <w:p>
            <w:pPr>
              <w:pStyle w:val="Compact"/>
              <w:jc w:val="left"/>
            </w:pPr>
            <w:r>
              <w:t xml:space="preserve">104</w:t>
            </w:r>
          </w:p>
        </w:tc>
        <w:tc>
          <w:tcPr/>
          <w:p>
            <w:pPr>
              <w:pStyle w:val="Compact"/>
              <w:jc w:val="left"/>
            </w:pPr>
            <w:r>
              <w:t xml:space="preserve">1.0</w:t>
            </w:r>
          </w:p>
        </w:tc>
        <w:tc>
          <w:tcPr/>
          <w:p>
            <w:pPr>
              <w:pStyle w:val="Compact"/>
              <w:jc w:val="left"/>
            </w:pPr>
            <w:r>
              <w:t xml:space="preserve">4.8</w:t>
            </w:r>
          </w:p>
        </w:tc>
        <w:tc>
          <w:tcPr/>
          <w:p>
            <w:pPr>
              <w:pStyle w:val="Compact"/>
              <w:jc w:val="left"/>
            </w:pPr>
            <w:r>
              <w:t xml:space="preserve">-3.8</w:t>
            </w:r>
          </w:p>
        </w:tc>
      </w:tr>
    </w:tbl>
    <w:p>
      <w:pPr>
        <w:pStyle w:val="BodyText"/>
      </w:pPr>
      <w:r>
        <w:rPr>
          <w:i/>
          <w:iCs/>
        </w:rPr>
        <w:t xml:space="preserve">Note:</w:t>
      </w:r>
      <w:r>
        <w:t xml:space="preserve"> </w:t>
      </w:r>
      <w:r>
        <w:t xml:space="preserve">Participation: share of persons with any minutes in the activity on the diary day. Extensive = change in participation times the two-year mean of minutes per participant; intensive = change in minutes per participant times the two-year mean participation. The two parts sum to the total.</w:t>
      </w:r>
    </w:p>
    <w:p>
      <w:pPr>
        <w:pStyle w:val="BodyText"/>
      </w:pPr>
      <w:r>
        <w:t xml:space="preserve">Own-use production moved in the other direction, most clearly for men. Men’s minutes in own-use production fell by 13.5 minutes (95% CI [11.4, 15.5]), mostly because men who did any own-use production spent less time on it (213 minutes in 2019 and 144 in 2024). The boundary between division 1 (for example, work on a family farm whose output is mainly sold) and division 2 (work whose output is mainly for the household’s own use) depends on the intended use of the output, so a shift across it could reflect a change in market orientation or in coding. When the two divisions are combined, production work rose by 8.6 minutes (95% CI [5.8, 11.3]) for women and 9.2 minutes (95% CI [6.0, 12.4]) for men, and the gender gap in production work did not change (change of -0.6 minutes, 95% CI [-4.3, 3.1]). Measured by employment alone, the gap widened by 11.6 minutes (95% CI [7.7, 15.4]).</w:t>
      </w:r>
    </w:p>
    <w:bookmarkEnd w:id="20"/>
    <w:bookmarkStart w:id="21" w:name="who-the-new-working-women-are"/>
    <w:p>
      <w:pPr>
        <w:pStyle w:val="Heading2"/>
      </w:pPr>
      <w:r>
        <w:rPr>
          <w:rStyle w:val="SectionNumber"/>
        </w:rPr>
        <w:t xml:space="preserve">5.3</w:t>
      </w:r>
      <w:r>
        <w:tab/>
      </w:r>
      <w:r>
        <w:t xml:space="preserve">Who the new working women are</w:t>
      </w:r>
    </w:p>
    <w:p>
      <w:pPr>
        <w:pStyle w:val="FirstParagraph"/>
      </w:pPr>
      <w:r>
        <w:t xml:space="preserve">Table 5 decomposes the change in women’s employment and unpaid work by usual principal activity status. The share of women whose principal status was domestic duties fell from 61.4 to 58.4 percent, while the share of self-employed women (own-account workers and employers) rose from 4.8 to 6.9 percent and the share in regular wage or salaried work from 5.1 to 6.0 percent; the shares of unpaid family helpers and casual labourers changed little.</w:t>
      </w:r>
    </w:p>
    <w:p>
      <w:pPr>
        <w:pStyle w:val="TableCaption"/>
      </w:pPr>
      <w:r>
        <w:t xml:space="preserve">Table 5. Women’s time use by usual principal activity status: shift-share decomposition</w:t>
      </w:r>
    </w:p>
    <w:tbl>
      <w:tblPr>
        <w:tblStyle w:val="Table"/>
        <w:tblW w:type="pct" w:w="5000"/>
        <w:tblLayout w:type="fixed"/>
        <w:tblLook w:firstRow="1" w:lastRow="0" w:firstColumn="0" w:lastColumn="0" w:noHBand="0" w:noVBand="0" w:val="0020"/>
        <w:tblCaption w:val="Table 5. Women’s time use by usual principal activity status: shift-share decomposition"/>
      </w:tblPr>
      <w:tblGrid>
        <w:gridCol w:w="677"/>
        <w:gridCol w:w="471"/>
        <w:gridCol w:w="471"/>
        <w:gridCol w:w="736"/>
        <w:gridCol w:w="736"/>
        <w:gridCol w:w="824"/>
        <w:gridCol w:w="794"/>
        <w:gridCol w:w="765"/>
        <w:gridCol w:w="765"/>
        <w:gridCol w:w="853"/>
        <w:gridCol w:w="824"/>
      </w:tblGrid>
      <w:tr>
        <w:trPr>
          <w:tblHeader w:val="on"/>
        </w:trPr>
        <w:tc>
          <w:tcPr/>
          <w:p>
            <w:pPr>
              <w:pStyle w:val="Compact"/>
              <w:jc w:val="left"/>
            </w:pPr>
            <w:r>
              <w:t xml:space="preserve">Usual principal status</w:t>
            </w:r>
          </w:p>
        </w:tc>
        <w:tc>
          <w:tcPr/>
          <w:p>
            <w:pPr>
              <w:pStyle w:val="Compact"/>
              <w:jc w:val="left"/>
            </w:pPr>
            <w:r>
              <w:t xml:space="preserve">Share (%): 2019</w:t>
            </w:r>
          </w:p>
        </w:tc>
        <w:tc>
          <w:tcPr/>
          <w:p>
            <w:pPr>
              <w:pStyle w:val="Compact"/>
              <w:jc w:val="left"/>
            </w:pPr>
            <w:r>
              <w:t xml:space="preserve">Share (%): 2024</w:t>
            </w:r>
          </w:p>
        </w:tc>
        <w:tc>
          <w:tcPr/>
          <w:p>
            <w:pPr>
              <w:pStyle w:val="Compact"/>
              <w:jc w:val="left"/>
            </w:pPr>
            <w:r>
              <w:t xml:space="preserve">Employment minutes: 2019</w:t>
            </w:r>
          </w:p>
        </w:tc>
        <w:tc>
          <w:tcPr/>
          <w:p>
            <w:pPr>
              <w:pStyle w:val="Compact"/>
              <w:jc w:val="left"/>
            </w:pPr>
            <w:r>
              <w:t xml:space="preserve">Employment minutes: 2024</w:t>
            </w:r>
          </w:p>
        </w:tc>
        <w:tc>
          <w:tcPr/>
          <w:p>
            <w:pPr>
              <w:pStyle w:val="Compact"/>
              <w:jc w:val="left"/>
            </w:pPr>
            <w:r>
              <w:t xml:space="preserve">Employment minutes: Between</w:t>
            </w:r>
          </w:p>
        </w:tc>
        <w:tc>
          <w:tcPr/>
          <w:p>
            <w:pPr>
              <w:pStyle w:val="Compact"/>
              <w:jc w:val="left"/>
            </w:pPr>
            <w:r>
              <w:t xml:space="preserve">Employment minutes: Within</w:t>
            </w:r>
          </w:p>
        </w:tc>
        <w:tc>
          <w:tcPr/>
          <w:p>
            <w:pPr>
              <w:pStyle w:val="Compact"/>
              <w:jc w:val="left"/>
            </w:pPr>
            <w:r>
              <w:t xml:space="preserve">Unpaid work minutes: 2019</w:t>
            </w:r>
          </w:p>
        </w:tc>
        <w:tc>
          <w:tcPr/>
          <w:p>
            <w:pPr>
              <w:pStyle w:val="Compact"/>
              <w:jc w:val="left"/>
            </w:pPr>
            <w:r>
              <w:t xml:space="preserve">Unpaid work minutes: 2024</w:t>
            </w:r>
          </w:p>
        </w:tc>
        <w:tc>
          <w:tcPr/>
          <w:p>
            <w:pPr>
              <w:pStyle w:val="Compact"/>
              <w:jc w:val="left"/>
            </w:pPr>
            <w:r>
              <w:t xml:space="preserve">Unpaid work minutes: Between</w:t>
            </w:r>
          </w:p>
        </w:tc>
        <w:tc>
          <w:tcPr/>
          <w:p>
            <w:pPr>
              <w:pStyle w:val="Compact"/>
              <w:jc w:val="left"/>
            </w:pPr>
            <w:r>
              <w:t xml:space="preserve">Unpaid work minutes: Within</w:t>
            </w:r>
          </w:p>
        </w:tc>
      </w:tr>
      <w:tr>
        <w:tc>
          <w:tcPr/>
          <w:p>
            <w:pPr>
              <w:pStyle w:val="Compact"/>
              <w:jc w:val="left"/>
            </w:pPr>
            <w:r>
              <w:t xml:space="preserve">Self-employed</w:t>
            </w:r>
          </w:p>
        </w:tc>
        <w:tc>
          <w:tcPr/>
          <w:p>
            <w:pPr>
              <w:pStyle w:val="Compact"/>
              <w:jc w:val="left"/>
            </w:pPr>
            <w:r>
              <w:t xml:space="preserve">4.8</w:t>
            </w:r>
          </w:p>
        </w:tc>
        <w:tc>
          <w:tcPr/>
          <w:p>
            <w:pPr>
              <w:pStyle w:val="Compact"/>
              <w:jc w:val="left"/>
            </w:pPr>
            <w:r>
              <w:t xml:space="preserve">6.9</w:t>
            </w:r>
          </w:p>
        </w:tc>
        <w:tc>
          <w:tcPr/>
          <w:p>
            <w:pPr>
              <w:pStyle w:val="Compact"/>
              <w:jc w:val="left"/>
            </w:pPr>
            <w:r>
              <w:t xml:space="preserve">251</w:t>
            </w:r>
          </w:p>
        </w:tc>
        <w:tc>
          <w:tcPr/>
          <w:p>
            <w:pPr>
              <w:pStyle w:val="Compact"/>
              <w:jc w:val="left"/>
            </w:pPr>
            <w:r>
              <w:t xml:space="preserve">247</w:t>
            </w:r>
          </w:p>
        </w:tc>
        <w:tc>
          <w:tcPr/>
          <w:p>
            <w:pPr>
              <w:pStyle w:val="Compact"/>
              <w:jc w:val="left"/>
            </w:pPr>
            <w:r>
              <w:t xml:space="preserve">5.2</w:t>
            </w:r>
          </w:p>
        </w:tc>
        <w:tc>
          <w:tcPr/>
          <w:p>
            <w:pPr>
              <w:pStyle w:val="Compact"/>
              <w:jc w:val="left"/>
            </w:pPr>
            <w:r>
              <w:t xml:space="preserve">-0.3</w:t>
            </w:r>
          </w:p>
        </w:tc>
        <w:tc>
          <w:tcPr/>
          <w:p>
            <w:pPr>
              <w:pStyle w:val="Compact"/>
              <w:jc w:val="left"/>
            </w:pPr>
            <w:r>
              <w:t xml:space="preserve">270</w:t>
            </w:r>
          </w:p>
        </w:tc>
        <w:tc>
          <w:tcPr/>
          <w:p>
            <w:pPr>
              <w:pStyle w:val="Compact"/>
              <w:jc w:val="left"/>
            </w:pPr>
            <w:r>
              <w:t xml:space="preserve">289</w:t>
            </w:r>
          </w:p>
        </w:tc>
        <w:tc>
          <w:tcPr/>
          <w:p>
            <w:pPr>
              <w:pStyle w:val="Compact"/>
              <w:jc w:val="left"/>
            </w:pPr>
            <w:r>
              <w:t xml:space="preserve">5.9</w:t>
            </w:r>
          </w:p>
        </w:tc>
        <w:tc>
          <w:tcPr/>
          <w:p>
            <w:pPr>
              <w:pStyle w:val="Compact"/>
              <w:jc w:val="left"/>
            </w:pPr>
            <w:r>
              <w:t xml:space="preserve">1.1</w:t>
            </w:r>
          </w:p>
        </w:tc>
      </w:tr>
      <w:tr>
        <w:tc>
          <w:tcPr/>
          <w:p>
            <w:pPr>
              <w:pStyle w:val="Compact"/>
              <w:jc w:val="left"/>
            </w:pPr>
            <w:r>
              <w:t xml:space="preserve">Unpaid family helper</w:t>
            </w:r>
          </w:p>
        </w:tc>
        <w:tc>
          <w:tcPr/>
          <w:p>
            <w:pPr>
              <w:pStyle w:val="Compact"/>
              <w:jc w:val="left"/>
            </w:pPr>
            <w:r>
              <w:t xml:space="preserve">5.3</w:t>
            </w:r>
          </w:p>
        </w:tc>
        <w:tc>
          <w:tcPr/>
          <w:p>
            <w:pPr>
              <w:pStyle w:val="Compact"/>
              <w:jc w:val="left"/>
            </w:pPr>
            <w:r>
              <w:t xml:space="preserve">5.6</w:t>
            </w:r>
          </w:p>
        </w:tc>
        <w:tc>
          <w:tcPr/>
          <w:p>
            <w:pPr>
              <w:pStyle w:val="Compact"/>
              <w:jc w:val="left"/>
            </w:pPr>
            <w:r>
              <w:t xml:space="preserve">188</w:t>
            </w:r>
          </w:p>
        </w:tc>
        <w:tc>
          <w:tcPr/>
          <w:p>
            <w:pPr>
              <w:pStyle w:val="Compact"/>
              <w:jc w:val="left"/>
            </w:pPr>
            <w:r>
              <w:t xml:space="preserve">237</w:t>
            </w:r>
          </w:p>
        </w:tc>
        <w:tc>
          <w:tcPr/>
          <w:p>
            <w:pPr>
              <w:pStyle w:val="Compact"/>
              <w:jc w:val="left"/>
            </w:pPr>
            <w:r>
              <w:t xml:space="preserve">0.8</w:t>
            </w:r>
          </w:p>
        </w:tc>
        <w:tc>
          <w:tcPr/>
          <w:p>
            <w:pPr>
              <w:pStyle w:val="Compact"/>
              <w:jc w:val="left"/>
            </w:pPr>
            <w:r>
              <w:t xml:space="preserve">2.7</w:t>
            </w:r>
          </w:p>
        </w:tc>
        <w:tc>
          <w:tcPr/>
          <w:p>
            <w:pPr>
              <w:pStyle w:val="Compact"/>
              <w:jc w:val="left"/>
            </w:pPr>
            <w:r>
              <w:t xml:space="preserve">305</w:t>
            </w:r>
          </w:p>
        </w:tc>
        <w:tc>
          <w:tcPr/>
          <w:p>
            <w:pPr>
              <w:pStyle w:val="Compact"/>
              <w:jc w:val="left"/>
            </w:pPr>
            <w:r>
              <w:t xml:space="preserve">297</w:t>
            </w:r>
          </w:p>
        </w:tc>
        <w:tc>
          <w:tcPr/>
          <w:p>
            <w:pPr>
              <w:pStyle w:val="Compact"/>
              <w:jc w:val="left"/>
            </w:pPr>
            <w:r>
              <w:t xml:space="preserve">1.1</w:t>
            </w:r>
          </w:p>
        </w:tc>
        <w:tc>
          <w:tcPr/>
          <w:p>
            <w:pPr>
              <w:pStyle w:val="Compact"/>
              <w:jc w:val="left"/>
            </w:pPr>
            <w:r>
              <w:t xml:space="preserve">-0.5</w:t>
            </w:r>
          </w:p>
        </w:tc>
      </w:tr>
      <w:tr>
        <w:tc>
          <w:tcPr/>
          <w:p>
            <w:pPr>
              <w:pStyle w:val="Compact"/>
              <w:jc w:val="left"/>
            </w:pPr>
            <w:r>
              <w:t xml:space="preserve">Regular wage/salaried</w:t>
            </w:r>
          </w:p>
        </w:tc>
        <w:tc>
          <w:tcPr/>
          <w:p>
            <w:pPr>
              <w:pStyle w:val="Compact"/>
              <w:jc w:val="left"/>
            </w:pPr>
            <w:r>
              <w:t xml:space="preserve">5.1</w:t>
            </w:r>
          </w:p>
        </w:tc>
        <w:tc>
          <w:tcPr/>
          <w:p>
            <w:pPr>
              <w:pStyle w:val="Compact"/>
              <w:jc w:val="left"/>
            </w:pPr>
            <w:r>
              <w:t xml:space="preserve">6.0</w:t>
            </w:r>
          </w:p>
        </w:tc>
        <w:tc>
          <w:tcPr/>
          <w:p>
            <w:pPr>
              <w:pStyle w:val="Compact"/>
              <w:jc w:val="left"/>
            </w:pPr>
            <w:r>
              <w:t xml:space="preserve">387</w:t>
            </w:r>
          </w:p>
        </w:tc>
        <w:tc>
          <w:tcPr/>
          <w:p>
            <w:pPr>
              <w:pStyle w:val="Compact"/>
              <w:jc w:val="left"/>
            </w:pPr>
            <w:r>
              <w:t xml:space="preserve">390</w:t>
            </w:r>
          </w:p>
        </w:tc>
        <w:tc>
          <w:tcPr/>
          <w:p>
            <w:pPr>
              <w:pStyle w:val="Compact"/>
              <w:jc w:val="left"/>
            </w:pPr>
            <w:r>
              <w:t xml:space="preserve">3.4</w:t>
            </w:r>
          </w:p>
        </w:tc>
        <w:tc>
          <w:tcPr/>
          <w:p>
            <w:pPr>
              <w:pStyle w:val="Compact"/>
              <w:jc w:val="left"/>
            </w:pPr>
            <w:r>
              <w:t xml:space="preserve">0.2</w:t>
            </w:r>
          </w:p>
        </w:tc>
        <w:tc>
          <w:tcPr/>
          <w:p>
            <w:pPr>
              <w:pStyle w:val="Compact"/>
              <w:jc w:val="left"/>
            </w:pPr>
            <w:r>
              <w:t xml:space="preserve">212</w:t>
            </w:r>
          </w:p>
        </w:tc>
        <w:tc>
          <w:tcPr/>
          <w:p>
            <w:pPr>
              <w:pStyle w:val="Compact"/>
              <w:jc w:val="left"/>
            </w:pPr>
            <w:r>
              <w:t xml:space="preserve">212</w:t>
            </w:r>
          </w:p>
        </w:tc>
        <w:tc>
          <w:tcPr/>
          <w:p>
            <w:pPr>
              <w:pStyle w:val="Compact"/>
              <w:jc w:val="left"/>
            </w:pPr>
            <w:r>
              <w:t xml:space="preserve">1.9</w:t>
            </w:r>
          </w:p>
        </w:tc>
        <w:tc>
          <w:tcPr/>
          <w:p>
            <w:pPr>
              <w:pStyle w:val="Compact"/>
              <w:jc w:val="left"/>
            </w:pPr>
            <w:r>
              <w:t xml:space="preserve">0.0</w:t>
            </w:r>
          </w:p>
        </w:tc>
      </w:tr>
      <w:tr>
        <w:tc>
          <w:tcPr/>
          <w:p>
            <w:pPr>
              <w:pStyle w:val="Compact"/>
              <w:jc w:val="left"/>
            </w:pPr>
            <w:r>
              <w:t xml:space="preserve">Casual labour</w:t>
            </w:r>
          </w:p>
        </w:tc>
        <w:tc>
          <w:tcPr/>
          <w:p>
            <w:pPr>
              <w:pStyle w:val="Compact"/>
              <w:jc w:val="left"/>
            </w:pPr>
            <w:r>
              <w:t xml:space="preserve">6.8</w:t>
            </w:r>
          </w:p>
        </w:tc>
        <w:tc>
          <w:tcPr/>
          <w:p>
            <w:pPr>
              <w:pStyle w:val="Compact"/>
              <w:jc w:val="left"/>
            </w:pPr>
            <w:r>
              <w:t xml:space="preserve">6.7</w:t>
            </w:r>
          </w:p>
        </w:tc>
        <w:tc>
          <w:tcPr/>
          <w:p>
            <w:pPr>
              <w:pStyle w:val="Compact"/>
              <w:jc w:val="left"/>
            </w:pPr>
            <w:r>
              <w:t xml:space="preserve">330</w:t>
            </w:r>
          </w:p>
        </w:tc>
        <w:tc>
          <w:tcPr/>
          <w:p>
            <w:pPr>
              <w:pStyle w:val="Compact"/>
              <w:jc w:val="left"/>
            </w:pPr>
            <w:r>
              <w:t xml:space="preserve">353</w:t>
            </w:r>
          </w:p>
        </w:tc>
        <w:tc>
          <w:tcPr/>
          <w:p>
            <w:pPr>
              <w:pStyle w:val="Compact"/>
              <w:jc w:val="left"/>
            </w:pPr>
            <w:r>
              <w:t xml:space="preserve">-0.1</w:t>
            </w:r>
          </w:p>
        </w:tc>
        <w:tc>
          <w:tcPr/>
          <w:p>
            <w:pPr>
              <w:pStyle w:val="Compact"/>
              <w:jc w:val="left"/>
            </w:pPr>
            <w:r>
              <w:t xml:space="preserve">1.5</w:t>
            </w:r>
          </w:p>
        </w:tc>
        <w:tc>
          <w:tcPr/>
          <w:p>
            <w:pPr>
              <w:pStyle w:val="Compact"/>
              <w:jc w:val="left"/>
            </w:pPr>
            <w:r>
              <w:t xml:space="preserve">251</w:t>
            </w:r>
          </w:p>
        </w:tc>
        <w:tc>
          <w:tcPr/>
          <w:p>
            <w:pPr>
              <w:pStyle w:val="Compact"/>
              <w:jc w:val="left"/>
            </w:pPr>
            <w:r>
              <w:t xml:space="preserve">246</w:t>
            </w:r>
          </w:p>
        </w:tc>
        <w:tc>
          <w:tcPr/>
          <w:p>
            <w:pPr>
              <w:pStyle w:val="Compact"/>
              <w:jc w:val="left"/>
            </w:pPr>
            <w:r>
              <w:t xml:space="preserve">-0.1</w:t>
            </w:r>
          </w:p>
        </w:tc>
        <w:tc>
          <w:tcPr/>
          <w:p>
            <w:pPr>
              <w:pStyle w:val="Compact"/>
              <w:jc w:val="left"/>
            </w:pPr>
            <w:r>
              <w:t xml:space="preserve">-0.4</w:t>
            </w:r>
          </w:p>
        </w:tc>
      </w:tr>
      <w:tr>
        <w:tc>
          <w:tcPr/>
          <w:p>
            <w:pPr>
              <w:pStyle w:val="Compact"/>
              <w:jc w:val="left"/>
            </w:pPr>
            <w:r>
              <w:t xml:space="preserve">Domestic duties</w:t>
            </w:r>
          </w:p>
        </w:tc>
        <w:tc>
          <w:tcPr/>
          <w:p>
            <w:pPr>
              <w:pStyle w:val="Compact"/>
              <w:jc w:val="left"/>
            </w:pPr>
            <w:r>
              <w:t xml:space="preserve">61.4</w:t>
            </w:r>
          </w:p>
        </w:tc>
        <w:tc>
          <w:tcPr/>
          <w:p>
            <w:pPr>
              <w:pStyle w:val="Compact"/>
              <w:jc w:val="left"/>
            </w:pPr>
            <w:r>
              <w:t xml:space="preserve">58.4</w:t>
            </w:r>
          </w:p>
        </w:tc>
        <w:tc>
          <w:tcPr/>
          <w:p>
            <w:pPr>
              <w:pStyle w:val="Compact"/>
              <w:jc w:val="left"/>
            </w:pPr>
            <w:r>
              <w:t xml:space="preserve">13</w:t>
            </w:r>
          </w:p>
        </w:tc>
        <w:tc>
          <w:tcPr/>
          <w:p>
            <w:pPr>
              <w:pStyle w:val="Compact"/>
              <w:jc w:val="left"/>
            </w:pPr>
            <w:r>
              <w:t xml:space="preserve">10</w:t>
            </w:r>
          </w:p>
        </w:tc>
        <w:tc>
          <w:tcPr/>
          <w:p>
            <w:pPr>
              <w:pStyle w:val="Compact"/>
              <w:jc w:val="left"/>
            </w:pPr>
            <w:r>
              <w:t xml:space="preserve">-0.3</w:t>
            </w:r>
          </w:p>
        </w:tc>
        <w:tc>
          <w:tcPr/>
          <w:p>
            <w:pPr>
              <w:pStyle w:val="Compact"/>
              <w:jc w:val="left"/>
            </w:pPr>
            <w:r>
              <w:t xml:space="preserve">-1.5</w:t>
            </w:r>
          </w:p>
        </w:tc>
        <w:tc>
          <w:tcPr/>
          <w:p>
            <w:pPr>
              <w:pStyle w:val="Compact"/>
              <w:jc w:val="left"/>
            </w:pPr>
            <w:r>
              <w:t xml:space="preserve">416</w:t>
            </w:r>
          </w:p>
        </w:tc>
        <w:tc>
          <w:tcPr/>
          <w:p>
            <w:pPr>
              <w:pStyle w:val="Compact"/>
              <w:jc w:val="left"/>
            </w:pPr>
            <w:r>
              <w:t xml:space="preserve">418</w:t>
            </w:r>
          </w:p>
        </w:tc>
        <w:tc>
          <w:tcPr/>
          <w:p>
            <w:pPr>
              <w:pStyle w:val="Compact"/>
              <w:jc w:val="left"/>
            </w:pPr>
            <w:r>
              <w:t xml:space="preserve">-12.5</w:t>
            </w:r>
          </w:p>
        </w:tc>
        <w:tc>
          <w:tcPr/>
          <w:p>
            <w:pPr>
              <w:pStyle w:val="Compact"/>
              <w:jc w:val="left"/>
            </w:pPr>
            <w:r>
              <w:t xml:space="preserve">1.5</w:t>
            </w:r>
          </w:p>
        </w:tc>
      </w:tr>
      <w:tr>
        <w:tc>
          <w:tcPr/>
          <w:p>
            <w:pPr>
              <w:pStyle w:val="Compact"/>
              <w:jc w:val="left"/>
            </w:pPr>
            <w:r>
              <w:t xml:space="preserve">Student</w:t>
            </w:r>
          </w:p>
        </w:tc>
        <w:tc>
          <w:tcPr/>
          <w:p>
            <w:pPr>
              <w:pStyle w:val="Compact"/>
              <w:jc w:val="left"/>
            </w:pPr>
            <w:r>
              <w:t xml:space="preserve">10.0</w:t>
            </w:r>
          </w:p>
        </w:tc>
        <w:tc>
          <w:tcPr/>
          <w:p>
            <w:pPr>
              <w:pStyle w:val="Compact"/>
              <w:jc w:val="left"/>
            </w:pPr>
            <w:r>
              <w:t xml:space="preserve">9.5</w:t>
            </w:r>
          </w:p>
        </w:tc>
        <w:tc>
          <w:tcPr/>
          <w:p>
            <w:pPr>
              <w:pStyle w:val="Compact"/>
              <w:jc w:val="left"/>
            </w:pPr>
            <w:r>
              <w:t xml:space="preserve">9</w:t>
            </w:r>
          </w:p>
        </w:tc>
        <w:tc>
          <w:tcPr/>
          <w:p>
            <w:pPr>
              <w:pStyle w:val="Compact"/>
              <w:jc w:val="left"/>
            </w:pPr>
            <w:r>
              <w:t xml:space="preserve">6</w:t>
            </w:r>
          </w:p>
        </w:tc>
        <w:tc>
          <w:tcPr/>
          <w:p>
            <w:pPr>
              <w:pStyle w:val="Compact"/>
              <w:jc w:val="left"/>
            </w:pPr>
            <w:r>
              <w:t xml:space="preserve">0.0</w:t>
            </w:r>
          </w:p>
        </w:tc>
        <w:tc>
          <w:tcPr/>
          <w:p>
            <w:pPr>
              <w:pStyle w:val="Compact"/>
              <w:jc w:val="left"/>
            </w:pPr>
            <w:r>
              <w:t xml:space="preserve">-0.3</w:t>
            </w:r>
          </w:p>
        </w:tc>
        <w:tc>
          <w:tcPr/>
          <w:p>
            <w:pPr>
              <w:pStyle w:val="Compact"/>
              <w:jc w:val="left"/>
            </w:pPr>
            <w:r>
              <w:t xml:space="preserve">101</w:t>
            </w:r>
          </w:p>
        </w:tc>
        <w:tc>
          <w:tcPr/>
          <w:p>
            <w:pPr>
              <w:pStyle w:val="Compact"/>
              <w:jc w:val="left"/>
            </w:pPr>
            <w:r>
              <w:t xml:space="preserve">90</w:t>
            </w:r>
          </w:p>
        </w:tc>
        <w:tc>
          <w:tcPr/>
          <w:p>
            <w:pPr>
              <w:pStyle w:val="Compact"/>
              <w:jc w:val="left"/>
            </w:pPr>
            <w:r>
              <w:t xml:space="preserve">-0.5</w:t>
            </w:r>
          </w:p>
        </w:tc>
        <w:tc>
          <w:tcPr/>
          <w:p>
            <w:pPr>
              <w:pStyle w:val="Compact"/>
              <w:jc w:val="left"/>
            </w:pPr>
            <w:r>
              <w:t xml:space="preserve">-1.1</w:t>
            </w:r>
          </w:p>
        </w:tc>
      </w:tr>
      <w:tr>
        <w:tc>
          <w:tcPr/>
          <w:p>
            <w:pPr>
              <w:pStyle w:val="Compact"/>
              <w:jc w:val="left"/>
            </w:pPr>
            <w:r>
              <w:t xml:space="preserve">Other not working</w:t>
            </w:r>
          </w:p>
        </w:tc>
        <w:tc>
          <w:tcPr/>
          <w:p>
            <w:pPr>
              <w:pStyle w:val="Compact"/>
              <w:jc w:val="left"/>
            </w:pPr>
            <w:r>
              <w:t xml:space="preserve">6.7</w:t>
            </w:r>
          </w:p>
        </w:tc>
        <w:tc>
          <w:tcPr/>
          <w:p>
            <w:pPr>
              <w:pStyle w:val="Compact"/>
              <w:jc w:val="left"/>
            </w:pPr>
            <w:r>
              <w:t xml:space="preserve">6.9</w:t>
            </w:r>
          </w:p>
        </w:tc>
        <w:tc>
          <w:tcPr/>
          <w:p>
            <w:pPr>
              <w:pStyle w:val="Compact"/>
              <w:jc w:val="left"/>
            </w:pPr>
            <w:r>
              <w:t xml:space="preserve">11</w:t>
            </w:r>
          </w:p>
        </w:tc>
        <w:tc>
          <w:tcPr/>
          <w:p>
            <w:pPr>
              <w:pStyle w:val="Compact"/>
              <w:jc w:val="left"/>
            </w:pPr>
            <w:r>
              <w:t xml:space="preserve">6</w:t>
            </w:r>
          </w:p>
        </w:tc>
        <w:tc>
          <w:tcPr/>
          <w:p>
            <w:pPr>
              <w:pStyle w:val="Compact"/>
              <w:jc w:val="left"/>
            </w:pPr>
            <w:r>
              <w:t xml:space="preserve">0.0</w:t>
            </w:r>
          </w:p>
        </w:tc>
        <w:tc>
          <w:tcPr/>
          <w:p>
            <w:pPr>
              <w:pStyle w:val="Compact"/>
              <w:jc w:val="left"/>
            </w:pPr>
            <w:r>
              <w:t xml:space="preserve">-0.3</w:t>
            </w:r>
          </w:p>
        </w:tc>
        <w:tc>
          <w:tcPr/>
          <w:p>
            <w:pPr>
              <w:pStyle w:val="Compact"/>
              <w:jc w:val="left"/>
            </w:pPr>
            <w:r>
              <w:t xml:space="preserve">182</w:t>
            </w:r>
          </w:p>
        </w:tc>
        <w:tc>
          <w:tcPr/>
          <w:p>
            <w:pPr>
              <w:pStyle w:val="Compact"/>
              <w:jc w:val="left"/>
            </w:pPr>
            <w:r>
              <w:t xml:space="preserve">196</w:t>
            </w:r>
          </w:p>
        </w:tc>
        <w:tc>
          <w:tcPr/>
          <w:p>
            <w:pPr>
              <w:pStyle w:val="Compact"/>
              <w:jc w:val="left"/>
            </w:pPr>
            <w:r>
              <w:t xml:space="preserve">0.4</w:t>
            </w:r>
          </w:p>
        </w:tc>
        <w:tc>
          <w:tcPr/>
          <w:p>
            <w:pPr>
              <w:pStyle w:val="Compact"/>
              <w:jc w:val="left"/>
            </w:pPr>
            <w:r>
              <w:t xml:space="preserve">0.9</w:t>
            </w:r>
          </w:p>
        </w:tc>
      </w:tr>
      <w:tr>
        <w:tc>
          <w:tcPr/>
          <w:p>
            <w:pPr>
              <w:pStyle w:val="Compact"/>
              <w:jc w:val="left"/>
            </w:pPr>
            <w:r>
              <w:t xml:space="preserve">Total</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73.5</w:t>
            </w:r>
          </w:p>
        </w:tc>
        <w:tc>
          <w:tcPr/>
          <w:p>
            <w:pPr>
              <w:pStyle w:val="Compact"/>
              <w:jc w:val="left"/>
            </w:pPr>
            <w:r>
              <w:t xml:space="preserve">84.5</w:t>
            </w:r>
          </w:p>
        </w:tc>
        <w:tc>
          <w:tcPr/>
          <w:p>
            <w:pPr>
              <w:pStyle w:val="Compact"/>
              <w:jc w:val="left"/>
            </w:pPr>
            <w:r>
              <w:t xml:space="preserve">9.0</w:t>
            </w:r>
          </w:p>
        </w:tc>
        <w:tc>
          <w:tcPr/>
          <w:p>
            <w:pPr>
              <w:pStyle w:val="Compact"/>
              <w:jc w:val="left"/>
            </w:pPr>
            <w:r>
              <w:t xml:space="preserve">2.1</w:t>
            </w:r>
          </w:p>
        </w:tc>
        <w:tc>
          <w:tcPr/>
          <w:p>
            <w:pPr>
              <w:pStyle w:val="Compact"/>
              <w:jc w:val="left"/>
            </w:pPr>
            <w:r>
              <w:t xml:space="preserve">334.2</w:t>
            </w:r>
          </w:p>
        </w:tc>
        <w:tc>
          <w:tcPr/>
          <w:p>
            <w:pPr>
              <w:pStyle w:val="Compact"/>
              <w:jc w:val="left"/>
            </w:pPr>
            <w:r>
              <w:t xml:space="preserve">331.9</w:t>
            </w:r>
          </w:p>
        </w:tc>
        <w:tc>
          <w:tcPr/>
          <w:p>
            <w:pPr>
              <w:pStyle w:val="Compact"/>
              <w:jc w:val="left"/>
            </w:pPr>
            <w:r>
              <w:t xml:space="preserve">-3.8</w:t>
            </w:r>
          </w:p>
        </w:tc>
        <w:tc>
          <w:tcPr/>
          <w:p>
            <w:pPr>
              <w:pStyle w:val="Compact"/>
              <w:jc w:val="left"/>
            </w:pPr>
            <w:r>
              <w:t xml:space="preserve">1.6</w:t>
            </w:r>
          </w:p>
        </w:tc>
      </w:tr>
    </w:tbl>
    <w:p>
      <w:pPr>
        <w:pStyle w:val="BodyText"/>
      </w:pPr>
      <w:r>
        <w:rPr>
          <w:i/>
          <w:iCs/>
        </w:rPr>
        <w:t xml:space="preserve">Note:</w:t>
      </w:r>
      <w:r>
        <w:t xml:space="preserve"> </w:t>
      </w:r>
      <w:r>
        <w:t xml:space="preserve">Women aged 15 and over. Self-employed: own-account workers and employers. Between = change in status share times the two-year mean minutes in that status; within = change in mean minutes in that status times the two-year mean share. The components sum to the total change. Other not working: the unemployed, rentiers, pensioners, persons unable to work and others.</w:t>
      </w:r>
    </w:p>
    <w:p>
      <w:pPr>
        <w:pStyle w:val="BodyText"/>
      </w:pPr>
      <w:r>
        <w:t xml:space="preserve">The between-status component accounts for 9.0 of the 11.1-minute rise in women’s employment time, and the within-status component for 2.1 minutes. The largest single contribution, 5.2 minutes, comes from the growth of self-employment, followed by regular salaried work (3.4 minutes). Within statuses, unpaid family helpers spent 49.5 minutes (95% CI [37.5, 61.4]) more in employment in 2024 than in 2019, and casual labourers 22.9 minutes (95% CI [14.1, 31.7]) more (Table 10 in the appendix). Self-employed and salaried women spent about as much time in employment in 2024 as in 2019, so the women who joined these statuses brought with them the employment time typical of each status. In the TUS, women’s status and their time use moved together.</w:t>
      </w:r>
    </w:p>
    <w:p>
      <w:pPr>
        <w:pStyle w:val="BodyText"/>
      </w:pPr>
      <w:r>
        <w:t xml:space="preserve">The decomposition of unpaid work shows why women’s unpaid work did not fall. The shift out of domestic duties reduced women’s mean unpaid work by 12.5 minutes, because women whose principal status is domestic duties spend more than 410 minutes a day on unpaid work. But self-employed women, the group that grew most, also do a great deal of unpaid work: 270 minutes in 2019 and 289 minutes in 2024, an increase of 18.3 minutes (95% CI [11.8, 24.9]). Their growing share added 5.9 minutes to women’s mean unpaid work. In total, movement across statuses reduced women’s unpaid work by only 3.8 minutes, and changes within statuses added 1.6 minutes.</w:t>
      </w:r>
    </w:p>
    <w:p>
      <w:pPr>
        <w:pStyle w:val="BodyText"/>
      </w:pPr>
      <w:r>
        <w:t xml:space="preserve">The trade-off between paid and unpaid work is stable. Among women, each additional minute of employment is associated with 0.33 fewer minutes of unpaid work, conditional on age, education, marital status, sector, household composition, state, day of the week and sub-round, and the association is almost identical in the two years (difference -0.007, standard error 0.004). At that rate, the observed rise of 11.1 minutes of employment would be associated with about 3.7 fewer minutes of unpaid work, close to the observed decline of 2.2 minutes.</w:t>
      </w:r>
    </w:p>
    <w:bookmarkEnd w:id="21"/>
    <w:bookmarkStart w:id="25" w:name="the-full-day-where-the-minutes-came-from"/>
    <w:p>
      <w:pPr>
        <w:pStyle w:val="Heading2"/>
      </w:pPr>
      <w:r>
        <w:rPr>
          <w:rStyle w:val="SectionNumber"/>
        </w:rPr>
        <w:t xml:space="preserve">5.4</w:t>
      </w:r>
      <w:r>
        <w:tab/>
      </w:r>
      <w:r>
        <w:t xml:space="preserve">The full day: where the minutes came from</w:t>
      </w:r>
    </w:p>
    <w:p>
      <w:pPr>
        <w:pStyle w:val="FirstParagraph"/>
      </w:pPr>
      <w:r>
        <w:t xml:space="preserve">Figure 1 shows the change in each of the nine divisions for women and men. Because the day is fixed, the changes for each sex sum to zero. Women’s additional 11.1 minutes of employment and 10.4 minutes of caregiving were matched by 12.7 fewer minutes of domestic services, 2.5 fewer minutes of own-use production and 18.9 fewer minutes of self-care, while their free time rose by 13.0 minutes. Men added 22.6 minutes of employment and 20.7 minutes of free time, mainly leisure and mass media, and recorded 13.5 fewer minutes of own-use production, 5.1 fewer of learning and 23.8 fewer of self-care.</w:t>
      </w:r>
    </w:p>
    <w:p>
      <w:pPr>
        <w:pStyle w:val="CaptionedFigure"/>
      </w:pPr>
      <w:r>
        <w:drawing>
          <wp:inline>
            <wp:extent cx="4907280" cy="2748076"/>
            <wp:effectExtent b="0" l="0" r="0" t="0"/>
            <wp:docPr descr="Figure 1. Change in minutes per day between 2019 and 2024 by ICATUS division, persons aged 15 and over. Points are changes in weighted means; bars are 95% confidence intervals clustered by first-stage unit." title="" id="23" name="Picture"/>
            <a:graphic>
              <a:graphicData uri="http://schemas.openxmlformats.org/drawingml/2006/picture">
                <pic:pic>
                  <pic:nvPicPr>
                    <pic:cNvPr descr="/private/tmp/b09docx/manuscript_anonymised_files/figure-docx/fig-div-1.png" id="24" name="Picture"/>
                    <pic:cNvPicPr>
                      <a:picLocks noChangeArrowheads="1" noChangeAspect="1"/>
                    </pic:cNvPicPr>
                  </pic:nvPicPr>
                  <pic:blipFill>
                    <a:blip r:embed="rId22"/>
                    <a:stretch>
                      <a:fillRect/>
                    </a:stretch>
                  </pic:blipFill>
                  <pic:spPr bwMode="auto">
                    <a:xfrm>
                      <a:off x="0" y="0"/>
                      <a:ext cx="4907280" cy="2748076"/>
                    </a:xfrm>
                    <a:prstGeom prst="rect">
                      <a:avLst/>
                    </a:prstGeom>
                    <a:noFill/>
                    <a:ln w="9525">
                      <a:noFill/>
                      <a:headEnd/>
                      <a:tailEnd/>
                    </a:ln>
                  </pic:spPr>
                </pic:pic>
              </a:graphicData>
            </a:graphic>
          </wp:inline>
        </w:drawing>
      </w:r>
    </w:p>
    <w:p>
      <w:pPr>
        <w:pStyle w:val="ImageCaption"/>
      </w:pPr>
      <w:r>
        <w:t xml:space="preserve">Figure 1. Change in minutes per day between 2019 and 2024 by ICATUS division, persons aged 15 and over. Points are changes in weighted means; bars are 95% confidence intervals clustered by first-stage unit.</w:t>
      </w:r>
    </w:p>
    <w:p>
      <w:pPr>
        <w:pStyle w:val="BodyText"/>
      </w:pPr>
      <w:r>
        <w:t xml:space="preserve">The decline in women’s domestic services is concentrated in one activity. Time spent cleaning and maintaining the dwelling and surroundings fell from 53.6 to 41.9 minutes, while time spent preparing food and meals was essentially unchanged at about 193 minutes (Table 3). The rise in caregiving is almost all childcare, and it came from more women doing any childcare on the diary day: the share rose from 28.2 to 34.9 percent, with little change in minutes per participant. Men’s childcare rose by 3.1 minutes (95% CI [2.6, 3.6]), from a much lower base, so the gender gap in caregiving widened by 7.0 minutes.</w:t>
      </w:r>
    </w:p>
    <w:p>
      <w:pPr>
        <w:pStyle w:val="BodyText"/>
      </w:pPr>
      <w:r>
        <w:t xml:space="preserve">The gender gap in unpaid work narrowed by 3.2 minutes (95% CI [0.5, 5.9]), from 291.9 to 288.7 minutes a day. In 2024 women still did 7.7 times as much unpaid work as men. Women’s total work, paid and unpaid, exceeded men’s by 30 minutes a day in 2024, compared with 33 minutes in 2019. Men’s free time rose more than women’s, so the gap in free time in men’s favour widened by 7.6 minutes (95% CI [5.2, 10.0]), to 15 minutes a day.</w:t>
      </w:r>
    </w:p>
    <w:bookmarkEnd w:id="25"/>
    <w:bookmarkStart w:id="29" w:name="for-whom-did-time-use-change"/>
    <w:p>
      <w:pPr>
        <w:pStyle w:val="Heading2"/>
      </w:pPr>
      <w:r>
        <w:rPr>
          <w:rStyle w:val="SectionNumber"/>
        </w:rPr>
        <w:t xml:space="preserve">5.5</w:t>
      </w:r>
      <w:r>
        <w:tab/>
      </w:r>
      <w:r>
        <w:t xml:space="preserve">For whom did time use change?</w:t>
      </w:r>
    </w:p>
    <w:p>
      <w:pPr>
        <w:pStyle w:val="FirstParagraph"/>
      </w:pPr>
      <w:r>
        <w:t xml:space="preserve">Table 6 reports changes in women’s employment, unpaid work and childcare, men’s unpaid work, and the gender gap in unpaid work across population groups. The rise in women’s employment time was broad, but its size varied. It was larger among women aged 45 to 59 (21.4 minutes) than among women aged 15 to 29 (3.5 minutes), and larger among women with less than primary schooling (20.6 minutes) than among women with secondary schooling (5.5 minutes) or a degree (6.4 minutes). It was also larger in the richest consumption quintile (17.9 minutes) than in the poorest (4.1 minutes). Figure 2 shows women’s age profiles: in 2024 women’s employment time was higher at every age from 20 onwards, and the difference between the profiles is largest at ages 45 to 49 (24.0 minutes) and at least 17.1 minutes in every five-year group from 35 to 59.</w:t>
      </w:r>
    </w:p>
    <w:p>
      <w:pPr>
        <w:pStyle w:val="TableCaption"/>
      </w:pPr>
      <w:r>
        <w:t xml:space="preserve">Table 6. Changes by population group, minutes per day, persons aged 15 and over</w:t>
      </w:r>
    </w:p>
    <w:tbl>
      <w:tblPr>
        <w:tblStyle w:val="Table"/>
        <w:tblW w:type="pct" w:w="5000"/>
        <w:tblLayout w:type="fixed"/>
        <w:tblLook w:firstRow="1" w:lastRow="0" w:firstColumn="0" w:lastColumn="0" w:noHBand="0" w:noVBand="0" w:val="0020"/>
        <w:tblCaption w:val="Table 6. Changes by population group, minutes per day, persons aged 15 and over"/>
      </w:tblPr>
      <w:tblGrid>
        <w:gridCol w:w="1342"/>
        <w:gridCol w:w="826"/>
        <w:gridCol w:w="1067"/>
        <w:gridCol w:w="860"/>
        <w:gridCol w:w="1101"/>
        <w:gridCol w:w="1033"/>
        <w:gridCol w:w="860"/>
        <w:gridCol w:w="826"/>
      </w:tblGrid>
      <w:tr>
        <w:trPr>
          <w:tblHeader w:val="on"/>
        </w:trPr>
        <w:tc>
          <w:tcPr/>
          <w:p>
            <w:pPr>
              <w:pStyle w:val="Compact"/>
              <w:jc w:val="left"/>
            </w:pPr>
            <w:r>
              <w:t xml:space="preserve">Group</w:t>
            </w:r>
          </w:p>
        </w:tc>
        <w:tc>
          <w:tcPr/>
          <w:p>
            <w:pPr>
              <w:pStyle w:val="Compact"/>
              <w:jc w:val="left"/>
            </w:pPr>
            <w:r>
              <w:t xml:space="preserve">Women: employment: 2019</w:t>
            </w:r>
          </w:p>
        </w:tc>
        <w:tc>
          <w:tcPr/>
          <w:p>
            <w:pPr>
              <w:pStyle w:val="Compact"/>
              <w:jc w:val="left"/>
            </w:pPr>
            <w:r>
              <w:t xml:space="preserve">Women: employment: Change (SE)</w:t>
            </w:r>
          </w:p>
        </w:tc>
        <w:tc>
          <w:tcPr/>
          <w:p>
            <w:pPr>
              <w:pStyle w:val="Compact"/>
              <w:jc w:val="left"/>
            </w:pPr>
            <w:r>
              <w:t xml:space="preserve">Women: unpaid work: 2019</w:t>
            </w:r>
          </w:p>
        </w:tc>
        <w:tc>
          <w:tcPr/>
          <w:p>
            <w:pPr>
              <w:pStyle w:val="Compact"/>
              <w:jc w:val="left"/>
            </w:pPr>
            <w:r>
              <w:t xml:space="preserve">Women: unpaid work: Change (SE)</w:t>
            </w:r>
          </w:p>
        </w:tc>
        <w:tc>
          <w:tcPr/>
          <w:p>
            <w:pPr>
              <w:pStyle w:val="Compact"/>
              <w:jc w:val="left"/>
            </w:pPr>
            <w:r>
              <w:t xml:space="preserve">Women: childcare: Change (SE)</w:t>
            </w:r>
          </w:p>
        </w:tc>
        <w:tc>
          <w:tcPr/>
          <w:p>
            <w:pPr>
              <w:pStyle w:val="Compact"/>
              <w:jc w:val="left"/>
            </w:pPr>
            <w:r>
              <w:t xml:space="preserve">Men: unpaid: Change (SE)</w:t>
            </w:r>
          </w:p>
        </w:tc>
        <w:tc>
          <w:tcPr/>
          <w:p>
            <w:pPr>
              <w:pStyle w:val="Compact"/>
              <w:jc w:val="left"/>
            </w:pPr>
            <w:r>
              <w:t xml:space="preserve">Unpaid gap: Change (SE)</w:t>
            </w:r>
          </w:p>
        </w:tc>
      </w:tr>
      <w:tr>
        <w:tc>
          <w:tcPr/>
          <w:p>
            <w:pPr>
              <w:pStyle w:val="Compact"/>
              <w:jc w:val="left"/>
            </w:pPr>
            <w:r>
              <w:rPr>
                <w:b/>
                <w:bCs/>
              </w:rPr>
              <w:t xml:space="preserve">Sector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Rural</w:t>
            </w:r>
          </w:p>
        </w:tc>
        <w:tc>
          <w:tcPr/>
          <w:p>
            <w:pPr>
              <w:pStyle w:val="Compact"/>
              <w:jc w:val="left"/>
            </w:pPr>
            <w:r>
              <w:t xml:space="preserve">73.3</w:t>
            </w:r>
          </w:p>
        </w:tc>
        <w:tc>
          <w:tcPr/>
          <w:p>
            <w:pPr>
              <w:pStyle w:val="Compact"/>
              <w:jc w:val="left"/>
            </w:pPr>
            <w:r>
              <w:t xml:space="preserve">11.8 (1.7)</w:t>
            </w:r>
          </w:p>
        </w:tc>
        <w:tc>
          <w:tcPr/>
          <w:p>
            <w:pPr>
              <w:pStyle w:val="Compact"/>
              <w:jc w:val="left"/>
            </w:pPr>
            <w:r>
              <w:t xml:space="preserve">341.5</w:t>
            </w:r>
          </w:p>
        </w:tc>
        <w:tc>
          <w:tcPr/>
          <w:p>
            <w:pPr>
              <w:pStyle w:val="Compact"/>
              <w:jc w:val="left"/>
            </w:pPr>
            <w:r>
              <w:t xml:space="preserve">-4.7 (1.8)</w:t>
            </w:r>
          </w:p>
        </w:tc>
        <w:tc>
          <w:tcPr/>
          <w:p>
            <w:pPr>
              <w:pStyle w:val="Compact"/>
              <w:jc w:val="left"/>
            </w:pPr>
            <w:r>
              <w:t xml:space="preserve">10.4 (0.7)</w:t>
            </w:r>
          </w:p>
        </w:tc>
        <w:tc>
          <w:tcPr/>
          <w:p>
            <w:pPr>
              <w:pStyle w:val="Compact"/>
              <w:jc w:val="left"/>
            </w:pPr>
            <w:r>
              <w:t xml:space="preserve">-1.8 (0.7)</w:t>
            </w:r>
          </w:p>
        </w:tc>
        <w:tc>
          <w:tcPr/>
          <w:p>
            <w:pPr>
              <w:pStyle w:val="Compact"/>
              <w:jc w:val="left"/>
            </w:pPr>
            <w:r>
              <w:t xml:space="preserve">-3.0 (1.7)</w:t>
            </w:r>
          </w:p>
        </w:tc>
      </w:tr>
      <w:tr>
        <w:tc>
          <w:tcPr/>
          <w:p>
            <w:pPr>
              <w:pStyle w:val="Compact"/>
              <w:jc w:val="left"/>
            </w:pPr>
            <w:r>
              <w:t xml:space="preserve">Urban</w:t>
            </w:r>
          </w:p>
        </w:tc>
        <w:tc>
          <w:tcPr/>
          <w:p>
            <w:pPr>
              <w:pStyle w:val="Compact"/>
              <w:jc w:val="left"/>
            </w:pPr>
            <w:r>
              <w:t xml:space="preserve">73.8</w:t>
            </w:r>
          </w:p>
        </w:tc>
        <w:tc>
          <w:tcPr/>
          <w:p>
            <w:pPr>
              <w:pStyle w:val="Compact"/>
              <w:jc w:val="left"/>
            </w:pPr>
            <w:r>
              <w:t xml:space="preserve">9.5 (1.8)</w:t>
            </w:r>
          </w:p>
        </w:tc>
        <w:tc>
          <w:tcPr/>
          <w:p>
            <w:pPr>
              <w:pStyle w:val="Compact"/>
              <w:jc w:val="left"/>
            </w:pPr>
            <w:r>
              <w:t xml:space="preserve">317.4</w:t>
            </w:r>
          </w:p>
        </w:tc>
        <w:tc>
          <w:tcPr/>
          <w:p>
            <w:pPr>
              <w:pStyle w:val="Compact"/>
              <w:jc w:val="left"/>
            </w:pPr>
            <w:r>
              <w:t xml:space="preserve">3.6 (2.2)</w:t>
            </w:r>
          </w:p>
        </w:tc>
        <w:tc>
          <w:tcPr/>
          <w:p>
            <w:pPr>
              <w:pStyle w:val="Compact"/>
              <w:jc w:val="left"/>
            </w:pPr>
            <w:r>
              <w:t xml:space="preserve">8.8 (0.9)</w:t>
            </w:r>
          </w:p>
        </w:tc>
        <w:tc>
          <w:tcPr/>
          <w:p>
            <w:pPr>
              <w:pStyle w:val="Compact"/>
              <w:jc w:val="left"/>
            </w:pPr>
            <w:r>
              <w:t xml:space="preserve">6.8 (0.7)</w:t>
            </w:r>
          </w:p>
        </w:tc>
        <w:tc>
          <w:tcPr/>
          <w:p>
            <w:pPr>
              <w:pStyle w:val="Compact"/>
              <w:jc w:val="left"/>
            </w:pPr>
            <w:r>
              <w:t xml:space="preserve">-3.2 (2.2)</w:t>
            </w:r>
          </w:p>
        </w:tc>
      </w:tr>
      <w:tr>
        <w:tc>
          <w:tcPr/>
          <w:p>
            <w:pPr>
              <w:pStyle w:val="Compact"/>
              <w:jc w:val="left"/>
            </w:pPr>
            <w:r>
              <w:rPr>
                <w:b/>
                <w:bCs/>
              </w:rPr>
              <w:t xml:space="preserve">Age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Age 15–29</w:t>
            </w:r>
          </w:p>
        </w:tc>
        <w:tc>
          <w:tcPr/>
          <w:p>
            <w:pPr>
              <w:pStyle w:val="Compact"/>
              <w:jc w:val="left"/>
            </w:pPr>
            <w:r>
              <w:t xml:space="preserve">49.0</w:t>
            </w:r>
          </w:p>
        </w:tc>
        <w:tc>
          <w:tcPr/>
          <w:p>
            <w:pPr>
              <w:pStyle w:val="Compact"/>
              <w:jc w:val="left"/>
            </w:pPr>
            <w:r>
              <w:t xml:space="preserve">3.5 (1.4)</w:t>
            </w:r>
          </w:p>
        </w:tc>
        <w:tc>
          <w:tcPr/>
          <w:p>
            <w:pPr>
              <w:pStyle w:val="Compact"/>
              <w:jc w:val="left"/>
            </w:pPr>
            <w:r>
              <w:t xml:space="preserve">324.1</w:t>
            </w:r>
          </w:p>
        </w:tc>
        <w:tc>
          <w:tcPr/>
          <w:p>
            <w:pPr>
              <w:pStyle w:val="Compact"/>
              <w:jc w:val="left"/>
            </w:pPr>
            <w:r>
              <w:t xml:space="preserve">0.7 (2.3)</w:t>
            </w:r>
          </w:p>
        </w:tc>
        <w:tc>
          <w:tcPr/>
          <w:p>
            <w:pPr>
              <w:pStyle w:val="Compact"/>
              <w:jc w:val="left"/>
            </w:pPr>
            <w:r>
              <w:t xml:space="preserve">12.4 (0.9)</w:t>
            </w:r>
          </w:p>
        </w:tc>
        <w:tc>
          <w:tcPr/>
          <w:p>
            <w:pPr>
              <w:pStyle w:val="Compact"/>
              <w:jc w:val="left"/>
            </w:pPr>
            <w:r>
              <w:t xml:space="preserve">1.4 (0.6)</w:t>
            </w:r>
          </w:p>
        </w:tc>
        <w:tc>
          <w:tcPr/>
          <w:p>
            <w:pPr>
              <w:pStyle w:val="Compact"/>
              <w:jc w:val="left"/>
            </w:pPr>
            <w:r>
              <w:t xml:space="preserve">-0.7 (2.3)</w:t>
            </w:r>
          </w:p>
        </w:tc>
      </w:tr>
      <w:tr>
        <w:tc>
          <w:tcPr/>
          <w:p>
            <w:pPr>
              <w:pStyle w:val="Compact"/>
              <w:jc w:val="left"/>
            </w:pPr>
            <w:r>
              <w:t xml:space="preserve">Age 30–44</w:t>
            </w:r>
          </w:p>
        </w:tc>
        <w:tc>
          <w:tcPr/>
          <w:p>
            <w:pPr>
              <w:pStyle w:val="Compact"/>
              <w:jc w:val="left"/>
            </w:pPr>
            <w:r>
              <w:t xml:space="preserve">96.8</w:t>
            </w:r>
          </w:p>
        </w:tc>
        <w:tc>
          <w:tcPr/>
          <w:p>
            <w:pPr>
              <w:pStyle w:val="Compact"/>
              <w:jc w:val="left"/>
            </w:pPr>
            <w:r>
              <w:t xml:space="preserve">12.4 (2.0)</w:t>
            </w:r>
          </w:p>
        </w:tc>
        <w:tc>
          <w:tcPr/>
          <w:p>
            <w:pPr>
              <w:pStyle w:val="Compact"/>
              <w:jc w:val="left"/>
            </w:pPr>
            <w:r>
              <w:t xml:space="preserve">404.6</w:t>
            </w:r>
          </w:p>
        </w:tc>
        <w:tc>
          <w:tcPr/>
          <w:p>
            <w:pPr>
              <w:pStyle w:val="Compact"/>
              <w:jc w:val="left"/>
            </w:pPr>
            <w:r>
              <w:t xml:space="preserve">6.2 (1.9)</w:t>
            </w:r>
          </w:p>
        </w:tc>
        <w:tc>
          <w:tcPr/>
          <w:p>
            <w:pPr>
              <w:pStyle w:val="Compact"/>
              <w:jc w:val="left"/>
            </w:pPr>
            <w:r>
              <w:t xml:space="preserve">15.7 (0.8)</w:t>
            </w:r>
          </w:p>
        </w:tc>
        <w:tc>
          <w:tcPr/>
          <w:p>
            <w:pPr>
              <w:pStyle w:val="Compact"/>
              <w:jc w:val="left"/>
            </w:pPr>
            <w:r>
              <w:t xml:space="preserve">5.7 (0.8)</w:t>
            </w:r>
          </w:p>
        </w:tc>
        <w:tc>
          <w:tcPr/>
          <w:p>
            <w:pPr>
              <w:pStyle w:val="Compact"/>
              <w:jc w:val="left"/>
            </w:pPr>
            <w:r>
              <w:t xml:space="preserve">0.5 (1.9)</w:t>
            </w:r>
          </w:p>
        </w:tc>
      </w:tr>
      <w:tr>
        <w:tc>
          <w:tcPr/>
          <w:p>
            <w:pPr>
              <w:pStyle w:val="Compact"/>
              <w:jc w:val="left"/>
            </w:pPr>
            <w:r>
              <w:t xml:space="preserve">Age 45–59</w:t>
            </w:r>
          </w:p>
        </w:tc>
        <w:tc>
          <w:tcPr/>
          <w:p>
            <w:pPr>
              <w:pStyle w:val="Compact"/>
              <w:jc w:val="left"/>
            </w:pPr>
            <w:r>
              <w:t xml:space="preserve">101.3</w:t>
            </w:r>
          </w:p>
        </w:tc>
        <w:tc>
          <w:tcPr/>
          <w:p>
            <w:pPr>
              <w:pStyle w:val="Compact"/>
              <w:jc w:val="left"/>
            </w:pPr>
            <w:r>
              <w:t xml:space="preserve">21.4 (2.3)</w:t>
            </w:r>
          </w:p>
        </w:tc>
        <w:tc>
          <w:tcPr/>
          <w:p>
            <w:pPr>
              <w:pStyle w:val="Compact"/>
              <w:jc w:val="left"/>
            </w:pPr>
            <w:r>
              <w:t xml:space="preserve">323.7</w:t>
            </w:r>
          </w:p>
        </w:tc>
        <w:tc>
          <w:tcPr/>
          <w:p>
            <w:pPr>
              <w:pStyle w:val="Compact"/>
              <w:jc w:val="left"/>
            </w:pPr>
            <w:r>
              <w:t xml:space="preserve">-13.3 (1.9)</w:t>
            </w:r>
          </w:p>
        </w:tc>
        <w:tc>
          <w:tcPr/>
          <w:p>
            <w:pPr>
              <w:pStyle w:val="Compact"/>
              <w:jc w:val="left"/>
            </w:pPr>
            <w:r>
              <w:t xml:space="preserve">3.2 (0.5)</w:t>
            </w:r>
          </w:p>
        </w:tc>
        <w:tc>
          <w:tcPr/>
          <w:p>
            <w:pPr>
              <w:pStyle w:val="Compact"/>
              <w:jc w:val="left"/>
            </w:pPr>
            <w:r>
              <w:t xml:space="preserve">-4.6 (0.8)</w:t>
            </w:r>
          </w:p>
        </w:tc>
        <w:tc>
          <w:tcPr/>
          <w:p>
            <w:pPr>
              <w:pStyle w:val="Compact"/>
              <w:jc w:val="left"/>
            </w:pPr>
            <w:r>
              <w:t xml:space="preserve">-8.7 (1.9)</w:t>
            </w:r>
          </w:p>
        </w:tc>
      </w:tr>
      <w:tr>
        <w:tc>
          <w:tcPr/>
          <w:p>
            <w:pPr>
              <w:pStyle w:val="Compact"/>
              <w:jc w:val="left"/>
            </w:pPr>
            <w:r>
              <w:t xml:space="preserve">Age 60+</w:t>
            </w:r>
          </w:p>
        </w:tc>
        <w:tc>
          <w:tcPr/>
          <w:p>
            <w:pPr>
              <w:pStyle w:val="Compact"/>
              <w:jc w:val="left"/>
            </w:pPr>
            <w:r>
              <w:t xml:space="preserve">44.0</w:t>
            </w:r>
          </w:p>
        </w:tc>
        <w:tc>
          <w:tcPr/>
          <w:p>
            <w:pPr>
              <w:pStyle w:val="Compact"/>
              <w:jc w:val="left"/>
            </w:pPr>
            <w:r>
              <w:t xml:space="preserve">10.4 (1.6)</w:t>
            </w:r>
          </w:p>
        </w:tc>
        <w:tc>
          <w:tcPr/>
          <w:p>
            <w:pPr>
              <w:pStyle w:val="Compact"/>
              <w:jc w:val="left"/>
            </w:pPr>
            <w:r>
              <w:t xml:space="preserve">223.1</w:t>
            </w:r>
          </w:p>
        </w:tc>
        <w:tc>
          <w:tcPr/>
          <w:p>
            <w:pPr>
              <w:pStyle w:val="Compact"/>
              <w:jc w:val="left"/>
            </w:pPr>
            <w:r>
              <w:t xml:space="preserve">-8.1 (2.1)</w:t>
            </w:r>
          </w:p>
        </w:tc>
        <w:tc>
          <w:tcPr/>
          <w:p>
            <w:pPr>
              <w:pStyle w:val="Compact"/>
              <w:jc w:val="left"/>
            </w:pPr>
            <w:r>
              <w:t xml:space="preserve">4.0 (0.7)</w:t>
            </w:r>
          </w:p>
        </w:tc>
        <w:tc>
          <w:tcPr/>
          <w:p>
            <w:pPr>
              <w:pStyle w:val="Compact"/>
              <w:jc w:val="left"/>
            </w:pPr>
            <w:r>
              <w:t xml:space="preserve">-4.3 (1.4)</w:t>
            </w:r>
          </w:p>
        </w:tc>
        <w:tc>
          <w:tcPr/>
          <w:p>
            <w:pPr>
              <w:pStyle w:val="Compact"/>
              <w:jc w:val="left"/>
            </w:pPr>
            <w:r>
              <w:t xml:space="preserve">-3.8 (2.2)</w:t>
            </w:r>
          </w:p>
        </w:tc>
      </w:tr>
      <w:tr>
        <w:tc>
          <w:tcPr/>
          <w:p>
            <w:pPr>
              <w:pStyle w:val="Compact"/>
              <w:jc w:val="left"/>
            </w:pPr>
            <w:r>
              <w:rPr>
                <w:b/>
                <w:bCs/>
              </w:rPr>
              <w:t xml:space="preserve">Education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Below primary</w:t>
            </w:r>
          </w:p>
        </w:tc>
        <w:tc>
          <w:tcPr/>
          <w:p>
            <w:pPr>
              <w:pStyle w:val="Compact"/>
              <w:jc w:val="left"/>
            </w:pPr>
            <w:r>
              <w:t xml:space="preserve">87.2</w:t>
            </w:r>
          </w:p>
        </w:tc>
        <w:tc>
          <w:tcPr/>
          <w:p>
            <w:pPr>
              <w:pStyle w:val="Compact"/>
              <w:jc w:val="left"/>
            </w:pPr>
            <w:r>
              <w:t xml:space="preserve">20.6 (2.1)</w:t>
            </w:r>
          </w:p>
        </w:tc>
        <w:tc>
          <w:tcPr/>
          <w:p>
            <w:pPr>
              <w:pStyle w:val="Compact"/>
              <w:jc w:val="left"/>
            </w:pPr>
            <w:r>
              <w:t xml:space="preserve">325.0</w:t>
            </w:r>
          </w:p>
        </w:tc>
        <w:tc>
          <w:tcPr/>
          <w:p>
            <w:pPr>
              <w:pStyle w:val="Compact"/>
              <w:jc w:val="left"/>
            </w:pPr>
            <w:r>
              <w:t xml:space="preserve">-24.2 (2.0)</w:t>
            </w:r>
          </w:p>
        </w:tc>
        <w:tc>
          <w:tcPr/>
          <w:p>
            <w:pPr>
              <w:pStyle w:val="Compact"/>
              <w:jc w:val="left"/>
            </w:pPr>
            <w:r>
              <w:t xml:space="preserve">4.3 (0.7)</w:t>
            </w:r>
          </w:p>
        </w:tc>
        <w:tc>
          <w:tcPr/>
          <w:p>
            <w:pPr>
              <w:pStyle w:val="Compact"/>
              <w:jc w:val="left"/>
            </w:pPr>
            <w:r>
              <w:t xml:space="preserve">-4.1 (0.9)</w:t>
            </w:r>
          </w:p>
        </w:tc>
        <w:tc>
          <w:tcPr/>
          <w:p>
            <w:pPr>
              <w:pStyle w:val="Compact"/>
              <w:jc w:val="left"/>
            </w:pPr>
            <w:r>
              <w:t xml:space="preserve">-20.2 (2.0)</w:t>
            </w:r>
          </w:p>
        </w:tc>
      </w:tr>
      <w:tr>
        <w:tc>
          <w:tcPr/>
          <w:p>
            <w:pPr>
              <w:pStyle w:val="Compact"/>
              <w:jc w:val="left"/>
            </w:pPr>
            <w:r>
              <w:t xml:space="preserve">Primary or middle</w:t>
            </w:r>
          </w:p>
        </w:tc>
        <w:tc>
          <w:tcPr/>
          <w:p>
            <w:pPr>
              <w:pStyle w:val="Compact"/>
              <w:jc w:val="left"/>
            </w:pPr>
            <w:r>
              <w:t xml:space="preserve">65.1</w:t>
            </w:r>
          </w:p>
        </w:tc>
        <w:tc>
          <w:tcPr/>
          <w:p>
            <w:pPr>
              <w:pStyle w:val="Compact"/>
              <w:jc w:val="left"/>
            </w:pPr>
            <w:r>
              <w:t xml:space="preserve">11.9 (1.7)</w:t>
            </w:r>
          </w:p>
        </w:tc>
        <w:tc>
          <w:tcPr/>
          <w:p>
            <w:pPr>
              <w:pStyle w:val="Compact"/>
              <w:jc w:val="left"/>
            </w:pPr>
            <w:r>
              <w:t xml:space="preserve">363.8</w:t>
            </w:r>
          </w:p>
        </w:tc>
        <w:tc>
          <w:tcPr/>
          <w:p>
            <w:pPr>
              <w:pStyle w:val="Compact"/>
              <w:jc w:val="left"/>
            </w:pPr>
            <w:r>
              <w:t xml:space="preserve">2.1 (2.1)</w:t>
            </w:r>
          </w:p>
        </w:tc>
        <w:tc>
          <w:tcPr/>
          <w:p>
            <w:pPr>
              <w:pStyle w:val="Compact"/>
              <w:jc w:val="left"/>
            </w:pPr>
            <w:r>
              <w:t xml:space="preserve">10.2 (0.8)</w:t>
            </w:r>
          </w:p>
        </w:tc>
        <w:tc>
          <w:tcPr/>
          <w:p>
            <w:pPr>
              <w:pStyle w:val="Compact"/>
              <w:jc w:val="left"/>
            </w:pPr>
            <w:r>
              <w:t xml:space="preserve">1.0 (0.8)</w:t>
            </w:r>
          </w:p>
        </w:tc>
        <w:tc>
          <w:tcPr/>
          <w:p>
            <w:pPr>
              <w:pStyle w:val="Compact"/>
              <w:jc w:val="left"/>
            </w:pPr>
            <w:r>
              <w:t xml:space="preserve">1.2 (2.2)</w:t>
            </w:r>
          </w:p>
        </w:tc>
      </w:tr>
      <w:tr>
        <w:tc>
          <w:tcPr/>
          <w:p>
            <w:pPr>
              <w:pStyle w:val="Compact"/>
              <w:jc w:val="left"/>
            </w:pPr>
            <w:r>
              <w:t xml:space="preserve">Secondary</w:t>
            </w:r>
          </w:p>
        </w:tc>
        <w:tc>
          <w:tcPr/>
          <w:p>
            <w:pPr>
              <w:pStyle w:val="Compact"/>
              <w:jc w:val="left"/>
            </w:pPr>
            <w:r>
              <w:t xml:space="preserve">47.4</w:t>
            </w:r>
          </w:p>
        </w:tc>
        <w:tc>
          <w:tcPr/>
          <w:p>
            <w:pPr>
              <w:pStyle w:val="Compact"/>
              <w:jc w:val="left"/>
            </w:pPr>
            <w:r>
              <w:t xml:space="preserve">5.5 (1.3)</w:t>
            </w:r>
          </w:p>
        </w:tc>
        <w:tc>
          <w:tcPr/>
          <w:p>
            <w:pPr>
              <w:pStyle w:val="Compact"/>
              <w:jc w:val="left"/>
            </w:pPr>
            <w:r>
              <w:t xml:space="preserve">322.5</w:t>
            </w:r>
          </w:p>
        </w:tc>
        <w:tc>
          <w:tcPr/>
          <w:p>
            <w:pPr>
              <w:pStyle w:val="Compact"/>
              <w:jc w:val="left"/>
            </w:pPr>
            <w:r>
              <w:t xml:space="preserve">12.7 (2.3)</w:t>
            </w:r>
          </w:p>
        </w:tc>
        <w:tc>
          <w:tcPr/>
          <w:p>
            <w:pPr>
              <w:pStyle w:val="Compact"/>
              <w:jc w:val="left"/>
            </w:pPr>
            <w:r>
              <w:t xml:space="preserve">12.9 (0.9)</w:t>
            </w:r>
          </w:p>
        </w:tc>
        <w:tc>
          <w:tcPr/>
          <w:p>
            <w:pPr>
              <w:pStyle w:val="Compact"/>
              <w:jc w:val="left"/>
            </w:pPr>
            <w:r>
              <w:t xml:space="preserve">2.8 (0.7)</w:t>
            </w:r>
          </w:p>
        </w:tc>
        <w:tc>
          <w:tcPr/>
          <w:p>
            <w:pPr>
              <w:pStyle w:val="Compact"/>
              <w:jc w:val="left"/>
            </w:pPr>
            <w:r>
              <w:t xml:space="preserve">9.9 (2.2)</w:t>
            </w:r>
          </w:p>
        </w:tc>
      </w:tr>
      <w:tr>
        <w:tc>
          <w:tcPr/>
          <w:p>
            <w:pPr>
              <w:pStyle w:val="Compact"/>
              <w:jc w:val="left"/>
            </w:pPr>
            <w:r>
              <w:t xml:space="preserve">Graduate</w:t>
            </w:r>
          </w:p>
        </w:tc>
        <w:tc>
          <w:tcPr/>
          <w:p>
            <w:pPr>
              <w:pStyle w:val="Compact"/>
              <w:jc w:val="left"/>
            </w:pPr>
            <w:r>
              <w:t xml:space="preserve">102.9</w:t>
            </w:r>
          </w:p>
        </w:tc>
        <w:tc>
          <w:tcPr/>
          <w:p>
            <w:pPr>
              <w:pStyle w:val="Compact"/>
              <w:jc w:val="left"/>
            </w:pPr>
            <w:r>
              <w:t xml:space="preserve">6.4 (3.0)</w:t>
            </w:r>
          </w:p>
        </w:tc>
        <w:tc>
          <w:tcPr/>
          <w:p>
            <w:pPr>
              <w:pStyle w:val="Compact"/>
              <w:jc w:val="left"/>
            </w:pPr>
            <w:r>
              <w:t xml:space="preserve">320.3</w:t>
            </w:r>
          </w:p>
        </w:tc>
        <w:tc>
          <w:tcPr/>
          <w:p>
            <w:pPr>
              <w:pStyle w:val="Compact"/>
              <w:jc w:val="left"/>
            </w:pPr>
            <w:r>
              <w:t xml:space="preserve">13.3 (3.4)</w:t>
            </w:r>
          </w:p>
        </w:tc>
        <w:tc>
          <w:tcPr/>
          <w:p>
            <w:pPr>
              <w:pStyle w:val="Compact"/>
              <w:jc w:val="left"/>
            </w:pPr>
            <w:r>
              <w:t xml:space="preserve">11.7 (1.6)</w:t>
            </w:r>
          </w:p>
        </w:tc>
        <w:tc>
          <w:tcPr/>
          <w:p>
            <w:pPr>
              <w:pStyle w:val="Compact"/>
              <w:jc w:val="left"/>
            </w:pPr>
            <w:r>
              <w:t xml:space="preserve">5.7 (0.9)</w:t>
            </w:r>
          </w:p>
        </w:tc>
        <w:tc>
          <w:tcPr/>
          <w:p>
            <w:pPr>
              <w:pStyle w:val="Compact"/>
              <w:jc w:val="left"/>
            </w:pPr>
            <w:r>
              <w:t xml:space="preserve">7.7 (3.3)</w:t>
            </w:r>
          </w:p>
        </w:tc>
      </w:tr>
      <w:tr>
        <w:tc>
          <w:tcPr/>
          <w:p>
            <w:pPr>
              <w:pStyle w:val="Compact"/>
              <w:jc w:val="left"/>
            </w:pPr>
            <w:r>
              <w:rPr>
                <w:b/>
                <w:bCs/>
              </w:rPr>
              <w:t xml:space="preserve">Marital status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Married</w:t>
            </w:r>
          </w:p>
        </w:tc>
        <w:tc>
          <w:tcPr/>
          <w:p>
            <w:pPr>
              <w:pStyle w:val="Compact"/>
              <w:jc w:val="left"/>
            </w:pPr>
            <w:r>
              <w:t xml:space="preserve">70.8</w:t>
            </w:r>
          </w:p>
        </w:tc>
        <w:tc>
          <w:tcPr/>
          <w:p>
            <w:pPr>
              <w:pStyle w:val="Compact"/>
              <w:jc w:val="left"/>
            </w:pPr>
            <w:r>
              <w:t xml:space="preserve">13.1 (1.5)</w:t>
            </w:r>
          </w:p>
        </w:tc>
        <w:tc>
          <w:tcPr/>
          <w:p>
            <w:pPr>
              <w:pStyle w:val="Compact"/>
              <w:jc w:val="left"/>
            </w:pPr>
            <w:r>
              <w:t xml:space="preserve">399.5</w:t>
            </w:r>
          </w:p>
        </w:tc>
        <w:tc>
          <w:tcPr/>
          <w:p>
            <w:pPr>
              <w:pStyle w:val="Compact"/>
              <w:jc w:val="left"/>
            </w:pPr>
            <w:r>
              <w:t xml:space="preserve">-0.9 (1.6)</w:t>
            </w:r>
          </w:p>
        </w:tc>
        <w:tc>
          <w:tcPr/>
          <w:p>
            <w:pPr>
              <w:pStyle w:val="Compact"/>
              <w:jc w:val="left"/>
            </w:pPr>
            <w:r>
              <w:t xml:space="preserve">13.7 (0.7)</w:t>
            </w:r>
          </w:p>
        </w:tc>
        <w:tc>
          <w:tcPr/>
          <w:p>
            <w:pPr>
              <w:pStyle w:val="Compact"/>
              <w:jc w:val="left"/>
            </w:pPr>
            <w:r>
              <w:t xml:space="preserve">2.0 (0.7)</w:t>
            </w:r>
          </w:p>
        </w:tc>
        <w:tc>
          <w:tcPr/>
          <w:p>
            <w:pPr>
              <w:pStyle w:val="Compact"/>
              <w:jc w:val="left"/>
            </w:pPr>
            <w:r>
              <w:t xml:space="preserve">-2.9 (1.5)</w:t>
            </w:r>
          </w:p>
        </w:tc>
      </w:tr>
      <w:tr>
        <w:tc>
          <w:tcPr/>
          <w:p>
            <w:pPr>
              <w:pStyle w:val="Compact"/>
              <w:jc w:val="left"/>
            </w:pPr>
            <w:r>
              <w:t xml:space="preserve">Not married</w:t>
            </w:r>
          </w:p>
        </w:tc>
        <w:tc>
          <w:tcPr/>
          <w:p>
            <w:pPr>
              <w:pStyle w:val="Compact"/>
              <w:jc w:val="left"/>
            </w:pPr>
            <w:r>
              <w:t xml:space="preserve">80.3</w:t>
            </w:r>
          </w:p>
        </w:tc>
        <w:tc>
          <w:tcPr/>
          <w:p>
            <w:pPr>
              <w:pStyle w:val="Compact"/>
              <w:jc w:val="left"/>
            </w:pPr>
            <w:r>
              <w:t xml:space="preserve">5.9 (1.7)</w:t>
            </w:r>
          </w:p>
        </w:tc>
        <w:tc>
          <w:tcPr/>
          <w:p>
            <w:pPr>
              <w:pStyle w:val="Compact"/>
              <w:jc w:val="left"/>
            </w:pPr>
            <w:r>
              <w:t xml:space="preserve">170.3</w:t>
            </w:r>
          </w:p>
        </w:tc>
        <w:tc>
          <w:tcPr/>
          <w:p>
            <w:pPr>
              <w:pStyle w:val="Compact"/>
              <w:jc w:val="left"/>
            </w:pPr>
            <w:r>
              <w:t xml:space="preserve">-1.2 (1.5)</w:t>
            </w:r>
          </w:p>
        </w:tc>
        <w:tc>
          <w:tcPr/>
          <w:p>
            <w:pPr>
              <w:pStyle w:val="Compact"/>
              <w:jc w:val="left"/>
            </w:pPr>
            <w:r>
              <w:t xml:space="preserve">1.4 (0.4)</w:t>
            </w:r>
          </w:p>
        </w:tc>
        <w:tc>
          <w:tcPr/>
          <w:p>
            <w:pPr>
              <w:pStyle w:val="Compact"/>
              <w:jc w:val="left"/>
            </w:pPr>
            <w:r>
              <w:t xml:space="preserve">-1.4 (0.6)</w:t>
            </w:r>
          </w:p>
        </w:tc>
        <w:tc>
          <w:tcPr/>
          <w:p>
            <w:pPr>
              <w:pStyle w:val="Compact"/>
              <w:jc w:val="left"/>
            </w:pPr>
            <w:r>
              <w:t xml:space="preserve">0.2 (1.6)</w:t>
            </w:r>
          </w:p>
        </w:tc>
      </w:tr>
      <w:tr>
        <w:tc>
          <w:tcPr/>
          <w:p>
            <w:pPr>
              <w:pStyle w:val="Compact"/>
              <w:jc w:val="left"/>
            </w:pPr>
            <w:r>
              <w:rPr>
                <w:b/>
                <w:bCs/>
              </w:rPr>
              <w:t xml:space="preserve">Household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Child under 6 in household</w:t>
            </w:r>
          </w:p>
        </w:tc>
        <w:tc>
          <w:tcPr/>
          <w:p>
            <w:pPr>
              <w:pStyle w:val="Compact"/>
              <w:jc w:val="left"/>
            </w:pPr>
            <w:r>
              <w:t xml:space="preserve">52.4</w:t>
            </w:r>
          </w:p>
        </w:tc>
        <w:tc>
          <w:tcPr/>
          <w:p>
            <w:pPr>
              <w:pStyle w:val="Compact"/>
              <w:jc w:val="left"/>
            </w:pPr>
            <w:r>
              <w:t xml:space="preserve">9.9 (1.4)</w:t>
            </w:r>
          </w:p>
        </w:tc>
        <w:tc>
          <w:tcPr/>
          <w:p>
            <w:pPr>
              <w:pStyle w:val="Compact"/>
              <w:jc w:val="left"/>
            </w:pPr>
            <w:r>
              <w:t xml:space="preserve">408.9</w:t>
            </w:r>
          </w:p>
        </w:tc>
        <w:tc>
          <w:tcPr/>
          <w:p>
            <w:pPr>
              <w:pStyle w:val="Compact"/>
              <w:jc w:val="left"/>
            </w:pPr>
            <w:r>
              <w:t xml:space="preserve">8.1 (2.0)</w:t>
            </w:r>
          </w:p>
        </w:tc>
        <w:tc>
          <w:tcPr/>
          <w:p>
            <w:pPr>
              <w:pStyle w:val="Compact"/>
              <w:jc w:val="left"/>
            </w:pPr>
            <w:r>
              <w:t xml:space="preserve">23.4 (1.1)</w:t>
            </w:r>
          </w:p>
        </w:tc>
        <w:tc>
          <w:tcPr/>
          <w:p>
            <w:pPr>
              <w:pStyle w:val="Compact"/>
              <w:jc w:val="left"/>
            </w:pPr>
            <w:r>
              <w:t xml:space="preserve">6.6 (0.9)</w:t>
            </w:r>
          </w:p>
        </w:tc>
        <w:tc>
          <w:tcPr/>
          <w:p>
            <w:pPr>
              <w:pStyle w:val="Compact"/>
              <w:jc w:val="left"/>
            </w:pPr>
            <w:r>
              <w:t xml:space="preserve">1.5 (1.9)</w:t>
            </w:r>
          </w:p>
        </w:tc>
      </w:tr>
      <w:tr>
        <w:tc>
          <w:tcPr/>
          <w:p>
            <w:pPr>
              <w:pStyle w:val="Compact"/>
              <w:jc w:val="left"/>
            </w:pPr>
            <w:r>
              <w:t xml:space="preserve">No child under 6</w:t>
            </w:r>
          </w:p>
        </w:tc>
        <w:tc>
          <w:tcPr/>
          <w:p>
            <w:pPr>
              <w:pStyle w:val="Compact"/>
              <w:jc w:val="left"/>
            </w:pPr>
            <w:r>
              <w:t xml:space="preserve">84.9</w:t>
            </w:r>
          </w:p>
        </w:tc>
        <w:tc>
          <w:tcPr/>
          <w:p>
            <w:pPr>
              <w:pStyle w:val="Compact"/>
              <w:jc w:val="left"/>
            </w:pPr>
            <w:r>
              <w:t xml:space="preserve">12.9 (1.5)</w:t>
            </w:r>
          </w:p>
        </w:tc>
        <w:tc>
          <w:tcPr/>
          <w:p>
            <w:pPr>
              <w:pStyle w:val="Compact"/>
              <w:jc w:val="left"/>
            </w:pPr>
            <w:r>
              <w:t xml:space="preserve">293.4</w:t>
            </w:r>
          </w:p>
        </w:tc>
        <w:tc>
          <w:tcPr/>
          <w:p>
            <w:pPr>
              <w:pStyle w:val="Compact"/>
              <w:jc w:val="left"/>
            </w:pPr>
            <w:r>
              <w:t xml:space="preserve">-12.5 (1.4)</w:t>
            </w:r>
          </w:p>
        </w:tc>
        <w:tc>
          <w:tcPr/>
          <w:p>
            <w:pPr>
              <w:pStyle w:val="Compact"/>
              <w:jc w:val="left"/>
            </w:pPr>
            <w:r>
              <w:t xml:space="preserve">-1.4 (0.2)</w:t>
            </w:r>
          </w:p>
        </w:tc>
        <w:tc>
          <w:tcPr/>
          <w:p>
            <w:pPr>
              <w:pStyle w:val="Compact"/>
              <w:jc w:val="left"/>
            </w:pPr>
            <w:r>
              <w:t xml:space="preserve">-2.4 (0.5)</w:t>
            </w:r>
          </w:p>
        </w:tc>
        <w:tc>
          <w:tcPr/>
          <w:p>
            <w:pPr>
              <w:pStyle w:val="Compact"/>
              <w:jc w:val="left"/>
            </w:pPr>
            <w:r>
              <w:t xml:space="preserve">-10.0 (1.4)</w:t>
            </w:r>
          </w:p>
        </w:tc>
      </w:tr>
      <w:tr>
        <w:tc>
          <w:tcPr/>
          <w:p>
            <w:pPr>
              <w:pStyle w:val="Compact"/>
              <w:jc w:val="left"/>
            </w:pPr>
            <w:r>
              <w:rPr>
                <w:b/>
                <w:bCs/>
              </w:rPr>
              <w:t xml:space="preserve">Consumption quintile (within year)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Consumption Q1 (poorest)</w:t>
            </w:r>
          </w:p>
        </w:tc>
        <w:tc>
          <w:tcPr/>
          <w:p>
            <w:pPr>
              <w:pStyle w:val="Compact"/>
              <w:jc w:val="left"/>
            </w:pPr>
            <w:r>
              <w:t xml:space="preserve">69.4</w:t>
            </w:r>
          </w:p>
        </w:tc>
        <w:tc>
          <w:tcPr/>
          <w:p>
            <w:pPr>
              <w:pStyle w:val="Compact"/>
              <w:jc w:val="left"/>
            </w:pPr>
            <w:r>
              <w:t xml:space="preserve">4.1 (2.7)</w:t>
            </w:r>
          </w:p>
        </w:tc>
        <w:tc>
          <w:tcPr/>
          <w:p>
            <w:pPr>
              <w:pStyle w:val="Compact"/>
              <w:jc w:val="left"/>
            </w:pPr>
            <w:r>
              <w:t xml:space="preserve">347.6</w:t>
            </w:r>
          </w:p>
        </w:tc>
        <w:tc>
          <w:tcPr/>
          <w:p>
            <w:pPr>
              <w:pStyle w:val="Compact"/>
              <w:jc w:val="left"/>
            </w:pPr>
            <w:r>
              <w:t xml:space="preserve">4.8 (3.0)</w:t>
            </w:r>
          </w:p>
        </w:tc>
        <w:tc>
          <w:tcPr/>
          <w:p>
            <w:pPr>
              <w:pStyle w:val="Compact"/>
              <w:jc w:val="left"/>
            </w:pPr>
            <w:r>
              <w:t xml:space="preserve">18.1 (1.4)</w:t>
            </w:r>
          </w:p>
        </w:tc>
        <w:tc>
          <w:tcPr/>
          <w:p>
            <w:pPr>
              <w:pStyle w:val="Compact"/>
              <w:jc w:val="left"/>
            </w:pPr>
            <w:r>
              <w:t xml:space="preserve">1.8 (1.3)</w:t>
            </w:r>
          </w:p>
        </w:tc>
        <w:tc>
          <w:tcPr/>
          <w:p>
            <w:pPr>
              <w:pStyle w:val="Compact"/>
              <w:jc w:val="left"/>
            </w:pPr>
            <w:r>
              <w:t xml:space="preserve">3.0 (3.0)</w:t>
            </w:r>
          </w:p>
        </w:tc>
      </w:tr>
      <w:tr>
        <w:tc>
          <w:tcPr/>
          <w:p>
            <w:pPr>
              <w:pStyle w:val="Compact"/>
              <w:jc w:val="left"/>
            </w:pPr>
            <w:r>
              <w:t xml:space="preserve">Consumption Q5 (richest)</w:t>
            </w:r>
          </w:p>
        </w:tc>
        <w:tc>
          <w:tcPr/>
          <w:p>
            <w:pPr>
              <w:pStyle w:val="Compact"/>
              <w:jc w:val="left"/>
            </w:pPr>
            <w:r>
              <w:t xml:space="preserve">79.9</w:t>
            </w:r>
          </w:p>
        </w:tc>
        <w:tc>
          <w:tcPr/>
          <w:p>
            <w:pPr>
              <w:pStyle w:val="Compact"/>
              <w:jc w:val="left"/>
            </w:pPr>
            <w:r>
              <w:t xml:space="preserve">17.9 (2.1)</w:t>
            </w:r>
          </w:p>
        </w:tc>
        <w:tc>
          <w:tcPr/>
          <w:p>
            <w:pPr>
              <w:pStyle w:val="Compact"/>
              <w:jc w:val="left"/>
            </w:pPr>
            <w:r>
              <w:t xml:space="preserve">313.5</w:t>
            </w:r>
          </w:p>
        </w:tc>
        <w:tc>
          <w:tcPr/>
          <w:p>
            <w:pPr>
              <w:pStyle w:val="Compact"/>
              <w:jc w:val="left"/>
            </w:pPr>
            <w:r>
              <w:t xml:space="preserve">-5.8 (2.3)</w:t>
            </w:r>
          </w:p>
        </w:tc>
        <w:tc>
          <w:tcPr/>
          <w:p>
            <w:pPr>
              <w:pStyle w:val="Compact"/>
              <w:jc w:val="left"/>
            </w:pPr>
            <w:r>
              <w:t xml:space="preserve">1.6 (0.8)</w:t>
            </w:r>
          </w:p>
        </w:tc>
        <w:tc>
          <w:tcPr/>
          <w:p>
            <w:pPr>
              <w:pStyle w:val="Compact"/>
              <w:jc w:val="left"/>
            </w:pPr>
            <w:r>
              <w:t xml:space="preserve">3.0 (0.9)</w:t>
            </w:r>
          </w:p>
        </w:tc>
        <w:tc>
          <w:tcPr/>
          <w:p>
            <w:pPr>
              <w:pStyle w:val="Compact"/>
              <w:jc w:val="left"/>
            </w:pPr>
            <w:r>
              <w:t xml:space="preserve">-8.8 (2.3)</w:t>
            </w:r>
          </w:p>
        </w:tc>
      </w:tr>
    </w:tbl>
    <w:p>
      <w:pPr>
        <w:pStyle w:val="BodyText"/>
      </w:pPr>
      <w:r>
        <w:rPr>
          <w:i/>
          <w:iCs/>
        </w:rPr>
        <w:t xml:space="preserve">Note:</w:t>
      </w:r>
      <w:r>
        <w:t xml:space="preserve"> </w:t>
      </w:r>
      <w:r>
        <w:t xml:space="preserve">Unpaid gap: change in the women-minus-men gap in unpaid work (divisions 3 and 4). Groups are defined separately in each year, so changes within a group combine changes in behaviour and in the group’s composition. Standard errors clustered by first-stage unit within year.</w:t>
      </w:r>
    </w:p>
    <w:p>
      <w:pPr>
        <w:pStyle w:val="CaptionedFigure"/>
      </w:pPr>
      <w:r>
        <w:drawing>
          <wp:inline>
            <wp:extent cx="4907280" cy="2355494"/>
            <wp:effectExtent b="0" l="0" r="0" t="0"/>
            <wp:docPr descr="Figure 2. Women’s mean minutes per day in employment and in unpaid work by age group, 2019 and 2024." title="" id="27" name="Picture"/>
            <a:graphic>
              <a:graphicData uri="http://schemas.openxmlformats.org/drawingml/2006/picture">
                <pic:pic>
                  <pic:nvPicPr>
                    <pic:cNvPr descr="/private/tmp/b09docx/manuscript_anonymised_files/figure-docx/fig-age-1.png" id="28" name="Picture"/>
                    <pic:cNvPicPr>
                      <a:picLocks noChangeArrowheads="1" noChangeAspect="1"/>
                    </pic:cNvPicPr>
                  </pic:nvPicPr>
                  <pic:blipFill>
                    <a:blip r:embed="rId26"/>
                    <a:stretch>
                      <a:fillRect/>
                    </a:stretch>
                  </pic:blipFill>
                  <pic:spPr bwMode="auto">
                    <a:xfrm>
                      <a:off x="0" y="0"/>
                      <a:ext cx="4907280" cy="2355494"/>
                    </a:xfrm>
                    <a:prstGeom prst="rect">
                      <a:avLst/>
                    </a:prstGeom>
                    <a:noFill/>
                    <a:ln w="9525">
                      <a:noFill/>
                      <a:headEnd/>
                      <a:tailEnd/>
                    </a:ln>
                  </pic:spPr>
                </pic:pic>
              </a:graphicData>
            </a:graphic>
          </wp:inline>
        </w:drawing>
      </w:r>
    </w:p>
    <w:p>
      <w:pPr>
        <w:pStyle w:val="ImageCaption"/>
      </w:pPr>
      <w:r>
        <w:t xml:space="preserve">Figure 2. Women’s mean minutes per day in employment and in unpaid work by age group, 2019 and 2024.</w:t>
      </w:r>
    </w:p>
    <w:p>
      <w:pPr>
        <w:pStyle w:val="BodyText"/>
      </w:pPr>
      <w:r>
        <w:t xml:space="preserve">Changes in unpaid work differed more sharply across groups. Among women with less than primary schooling, unpaid work fell by 24.2 minutes (95% CI [20.3, 28.2]) and the gender gap in unpaid work narrowed by 20.2 minutes. Among women with secondary schooling, unpaid work rose by 12.7 minutes (95% CI [8.3, 17.1]), and among graduates by 13.3 minutes (95% CI [6.7, 19.9]), so the gap widened in both groups. The difference is closely tied to young children. In households with a child under 6, women’s childcare rose by 23.4 minutes (95% CI [21.2, 25.6]) and their total unpaid work by 8.1 minutes, while men in these households added 10.2 minutes of childcare (not shown in Table 6). In households without a young child, women’s unpaid work fell by 12.5 minutes (95% CI [9.7, 15.2]). Older women and women with little schooling, who less often live with young children, thus combined more paid work with less unpaid work, whereas younger and more educated women, who more often live with young children, recorded more childcare and little additional paid work. Using the direct count of children under 6 for 2019 instead of the residual measure gives the same pattern (21.7 additional minutes of childcare for women in households with a young child).</w:t>
      </w:r>
    </w:p>
    <w:p>
      <w:pPr>
        <w:pStyle w:val="BodyText"/>
      </w:pPr>
      <w:r>
        <w:t xml:space="preserve">The groups are defined in each year, and their composition changed as younger, more educated cohorts replaced older ones, so changes within education groups combine changes in behaviour with changes in who is in each group. The reweighting in the next section addresses composition for the population as a whole.</w:t>
      </w:r>
    </w:p>
    <w:bookmarkEnd w:id="29"/>
    <w:bookmarkStart w:id="30" w:name="composition-does-not-explain-the-changes"/>
    <w:p>
      <w:pPr>
        <w:pStyle w:val="Heading2"/>
      </w:pPr>
      <w:r>
        <w:rPr>
          <w:rStyle w:val="SectionNumber"/>
        </w:rPr>
        <w:t xml:space="preserve">5.6</w:t>
      </w:r>
      <w:r>
        <w:tab/>
      </w:r>
      <w:r>
        <w:t xml:space="preserve">Composition does not explain the changes</w:t>
      </w:r>
    </w:p>
    <w:p>
      <w:pPr>
        <w:pStyle w:val="FirstParagraph"/>
      </w:pPr>
      <w:r>
        <w:t xml:space="preserve">Table 7 compares the raw changes with the changes after the 2019 sample is reweighted to the 2024 distribution of characteristics. For women, the composition-adjusted rise in employment time is 14.1 minutes (95% CI [11.6, 16.6]), larger than the raw rise of 11.1 minutes. Had the 2019 population of women had the 2024 composition (more educated, slightly older and with more young children in the household), their employment time in 2019 would have been lower, at 70.5 minutes rather than 73.5. The adjusted change in women’s unpaid work is a decline of 1.5 minutes (95% CI [-1.3, 4.4]), again indistinguishable from zero, and the adjusted rise in their total work is 11.2 minutes (95% CI [8.2, 14.2]). For men, the adjusted and raw changes are close for every activity group. The rise in women’s paid work and the stability of their unpaid work are not produced by a changing population.</w:t>
      </w:r>
    </w:p>
    <w:p>
      <w:pPr>
        <w:pStyle w:val="TableCaption"/>
      </w:pPr>
      <w:r>
        <w:t xml:space="preserve">Table 7. Change in minutes per day, 2019 to 2024, raw and adjusted for composition</w:t>
      </w:r>
    </w:p>
    <w:tbl>
      <w:tblPr>
        <w:tblStyle w:val="Table"/>
        <w:tblW w:type="pct" w:w="5000"/>
        <w:tblLayout w:type="fixed"/>
        <w:tblLook w:firstRow="1" w:lastRow="0" w:firstColumn="0" w:lastColumn="0" w:noHBand="0" w:noVBand="0" w:val="0020"/>
        <w:tblCaption w:val="Table 7. Change in minutes per day, 2019 to 2024, raw and adjusted for composition"/>
      </w:tblPr>
      <w:tblGrid>
        <w:gridCol w:w="2146"/>
        <w:gridCol w:w="888"/>
        <w:gridCol w:w="2072"/>
        <w:gridCol w:w="888"/>
        <w:gridCol w:w="1924"/>
      </w:tblGrid>
      <w:tr>
        <w:trPr>
          <w:tblHeader w:val="on"/>
        </w:trPr>
        <w:tc>
          <w:tcPr/>
          <w:p>
            <w:pPr>
              <w:pStyle w:val="Compact"/>
              <w:jc w:val="left"/>
            </w:pPr>
            <w:r>
              <w:t xml:space="preserve">Activity</w:t>
            </w:r>
          </w:p>
        </w:tc>
        <w:tc>
          <w:tcPr/>
          <w:p>
            <w:pPr>
              <w:pStyle w:val="Compact"/>
              <w:jc w:val="left"/>
            </w:pPr>
            <w:r>
              <w:t xml:space="preserve">Women: Raw</w:t>
            </w:r>
          </w:p>
        </w:tc>
        <w:tc>
          <w:tcPr/>
          <w:p>
            <w:pPr>
              <w:pStyle w:val="Compact"/>
              <w:jc w:val="left"/>
            </w:pPr>
            <w:r>
              <w:t xml:space="preserve">Women: Composition-adjusted</w:t>
            </w:r>
          </w:p>
        </w:tc>
        <w:tc>
          <w:tcPr/>
          <w:p>
            <w:pPr>
              <w:pStyle w:val="Compact"/>
              <w:jc w:val="left"/>
            </w:pPr>
            <w:r>
              <w:t xml:space="preserve">Men: Raw</w:t>
            </w:r>
          </w:p>
        </w:tc>
        <w:tc>
          <w:tcPr/>
          <w:p>
            <w:pPr>
              <w:pStyle w:val="Compact"/>
              <w:jc w:val="left"/>
            </w:pPr>
            <w:r>
              <w:t xml:space="preserve">Men: Composition-adjusted</w:t>
            </w:r>
          </w:p>
        </w:tc>
      </w:tr>
      <w:tr>
        <w:tc>
          <w:tcPr/>
          <w:p>
            <w:pPr>
              <w:pStyle w:val="Compact"/>
              <w:jc w:val="left"/>
            </w:pPr>
            <w:r>
              <w:t xml:space="preserve">Employment (1)</w:t>
            </w:r>
          </w:p>
        </w:tc>
        <w:tc>
          <w:tcPr/>
          <w:p>
            <w:pPr>
              <w:pStyle w:val="Compact"/>
              <w:jc w:val="left"/>
            </w:pPr>
            <w:r>
              <w:t xml:space="preserve">11.1 (1.3)</w:t>
            </w:r>
          </w:p>
        </w:tc>
        <w:tc>
          <w:tcPr/>
          <w:p>
            <w:pPr>
              <w:pStyle w:val="Compact"/>
              <w:jc w:val="left"/>
            </w:pPr>
            <w:r>
              <w:t xml:space="preserve">14.1 (1.3)</w:t>
            </w:r>
          </w:p>
        </w:tc>
        <w:tc>
          <w:tcPr/>
          <w:p>
            <w:pPr>
              <w:pStyle w:val="Compact"/>
              <w:jc w:val="left"/>
            </w:pPr>
            <w:r>
              <w:t xml:space="preserve">22.6 (1.9)</w:t>
            </w:r>
          </w:p>
        </w:tc>
        <w:tc>
          <w:tcPr/>
          <w:p>
            <w:pPr>
              <w:pStyle w:val="Compact"/>
              <w:jc w:val="left"/>
            </w:pPr>
            <w:r>
              <w:t xml:space="preserve">22.4 (1.9)</w:t>
            </w:r>
          </w:p>
        </w:tc>
      </w:tr>
      <w:tr>
        <w:tc>
          <w:tcPr/>
          <w:p>
            <w:pPr>
              <w:pStyle w:val="Compact"/>
              <w:jc w:val="left"/>
            </w:pPr>
            <w:r>
              <w:t xml:space="preserve">Own-use production (2)</w:t>
            </w:r>
          </w:p>
        </w:tc>
        <w:tc>
          <w:tcPr/>
          <w:p>
            <w:pPr>
              <w:pStyle w:val="Compact"/>
              <w:jc w:val="left"/>
            </w:pPr>
            <w:r>
              <w:t xml:space="preserve">-2.5 (0.8)</w:t>
            </w:r>
          </w:p>
        </w:tc>
        <w:tc>
          <w:tcPr/>
          <w:p>
            <w:pPr>
              <w:pStyle w:val="Compact"/>
              <w:jc w:val="left"/>
            </w:pPr>
            <w:r>
              <w:t xml:space="preserve">-0.5 (0.7)</w:t>
            </w:r>
          </w:p>
        </w:tc>
        <w:tc>
          <w:tcPr/>
          <w:p>
            <w:pPr>
              <w:pStyle w:val="Compact"/>
              <w:jc w:val="left"/>
            </w:pPr>
            <w:r>
              <w:t xml:space="preserve">-13.5 (1.0)</w:t>
            </w:r>
          </w:p>
        </w:tc>
        <w:tc>
          <w:tcPr/>
          <w:p>
            <w:pPr>
              <w:pStyle w:val="Compact"/>
              <w:jc w:val="left"/>
            </w:pPr>
            <w:r>
              <w:t xml:space="preserve">-12.2 (1.0)</w:t>
            </w:r>
          </w:p>
        </w:tc>
      </w:tr>
      <w:tr>
        <w:tc>
          <w:tcPr/>
          <w:p>
            <w:pPr>
              <w:pStyle w:val="Compact"/>
              <w:jc w:val="left"/>
            </w:pPr>
            <w:r>
              <w:t xml:space="preserve">Production work (1+2)</w:t>
            </w:r>
          </w:p>
        </w:tc>
        <w:tc>
          <w:tcPr/>
          <w:p>
            <w:pPr>
              <w:pStyle w:val="Compact"/>
              <w:jc w:val="left"/>
            </w:pPr>
            <w:r>
              <w:t xml:space="preserve">8.6 (1.4)</w:t>
            </w:r>
          </w:p>
        </w:tc>
        <w:tc>
          <w:tcPr/>
          <w:p>
            <w:pPr>
              <w:pStyle w:val="Compact"/>
              <w:jc w:val="left"/>
            </w:pPr>
            <w:r>
              <w:t xml:space="preserve">13.5 (1.4)</w:t>
            </w:r>
          </w:p>
        </w:tc>
        <w:tc>
          <w:tcPr/>
          <w:p>
            <w:pPr>
              <w:pStyle w:val="Compact"/>
              <w:jc w:val="left"/>
            </w:pPr>
            <w:r>
              <w:t xml:space="preserve">9.2 (1.6)</w:t>
            </w:r>
          </w:p>
        </w:tc>
        <w:tc>
          <w:tcPr/>
          <w:p>
            <w:pPr>
              <w:pStyle w:val="Compact"/>
              <w:jc w:val="left"/>
            </w:pPr>
            <w:r>
              <w:t xml:space="preserve">10.2 (1.6)</w:t>
            </w:r>
          </w:p>
        </w:tc>
      </w:tr>
      <w:tr>
        <w:tc>
          <w:tcPr/>
          <w:p>
            <w:pPr>
              <w:pStyle w:val="Compact"/>
              <w:jc w:val="left"/>
            </w:pPr>
            <w:r>
              <w:t xml:space="preserve">Unpaid domestic services (3)</w:t>
            </w:r>
          </w:p>
        </w:tc>
        <w:tc>
          <w:tcPr/>
          <w:p>
            <w:pPr>
              <w:pStyle w:val="Compact"/>
              <w:jc w:val="left"/>
            </w:pPr>
            <w:r>
              <w:t xml:space="preserve">-12.7 (1.3)</w:t>
            </w:r>
          </w:p>
        </w:tc>
        <w:tc>
          <w:tcPr/>
          <w:p>
            <w:pPr>
              <w:pStyle w:val="Compact"/>
              <w:jc w:val="left"/>
            </w:pPr>
            <w:r>
              <w:t xml:space="preserve">-10.2 (1.3)</w:t>
            </w:r>
          </w:p>
        </w:tc>
        <w:tc>
          <w:tcPr/>
          <w:p>
            <w:pPr>
              <w:pStyle w:val="Compact"/>
              <w:jc w:val="left"/>
            </w:pPr>
            <w:r>
              <w:t xml:space="preserve">-2.4 (0.5)</w:t>
            </w:r>
          </w:p>
        </w:tc>
        <w:tc>
          <w:tcPr/>
          <w:p>
            <w:pPr>
              <w:pStyle w:val="Compact"/>
              <w:jc w:val="left"/>
            </w:pPr>
            <w:r>
              <w:t xml:space="preserve">-3.1 (0.5)</w:t>
            </w:r>
          </w:p>
        </w:tc>
      </w:tr>
      <w:tr>
        <w:tc>
          <w:tcPr/>
          <w:p>
            <w:pPr>
              <w:pStyle w:val="Compact"/>
              <w:jc w:val="left"/>
            </w:pPr>
            <w:r>
              <w:t xml:space="preserve">Unpaid caregiving (4)</w:t>
            </w:r>
          </w:p>
        </w:tc>
        <w:tc>
          <w:tcPr/>
          <w:p>
            <w:pPr>
              <w:pStyle w:val="Compact"/>
              <w:jc w:val="left"/>
            </w:pPr>
            <w:r>
              <w:t xml:space="preserve">10.4 (0.6)</w:t>
            </w:r>
          </w:p>
        </w:tc>
        <w:tc>
          <w:tcPr/>
          <w:p>
            <w:pPr>
              <w:pStyle w:val="Compact"/>
              <w:jc w:val="left"/>
            </w:pPr>
            <w:r>
              <w:t xml:space="preserve">8.7 (0.6)</w:t>
            </w:r>
          </w:p>
        </w:tc>
        <w:tc>
          <w:tcPr/>
          <w:p>
            <w:pPr>
              <w:pStyle w:val="Compact"/>
              <w:jc w:val="left"/>
            </w:pPr>
            <w:r>
              <w:t xml:space="preserve">3.4 (0.3)</w:t>
            </w:r>
          </w:p>
        </w:tc>
        <w:tc>
          <w:tcPr/>
          <w:p>
            <w:pPr>
              <w:pStyle w:val="Compact"/>
              <w:jc w:val="left"/>
            </w:pPr>
            <w:r>
              <w:t xml:space="preserve">2.8 (0.3)</w:t>
            </w:r>
          </w:p>
        </w:tc>
      </w:tr>
      <w:tr>
        <w:tc>
          <w:tcPr/>
          <w:p>
            <w:pPr>
              <w:pStyle w:val="Compact"/>
              <w:jc w:val="left"/>
            </w:pPr>
            <w:r>
              <w:t xml:space="preserve">Unpaid work (3+4)</w:t>
            </w:r>
          </w:p>
        </w:tc>
        <w:tc>
          <w:tcPr/>
          <w:p>
            <w:pPr>
              <w:pStyle w:val="Compact"/>
              <w:jc w:val="left"/>
            </w:pPr>
            <w:r>
              <w:t xml:space="preserve">-2.2 (1.5)</w:t>
            </w:r>
          </w:p>
        </w:tc>
        <w:tc>
          <w:tcPr/>
          <w:p>
            <w:pPr>
              <w:pStyle w:val="Compact"/>
              <w:jc w:val="left"/>
            </w:pPr>
            <w:r>
              <w:t xml:space="preserve">-1.5 (1.5)</w:t>
            </w:r>
          </w:p>
        </w:tc>
        <w:tc>
          <w:tcPr/>
          <w:p>
            <w:pPr>
              <w:pStyle w:val="Compact"/>
              <w:jc w:val="left"/>
            </w:pPr>
            <w:r>
              <w:t xml:space="preserve">1.0 (0.6)</w:t>
            </w:r>
          </w:p>
        </w:tc>
        <w:tc>
          <w:tcPr/>
          <w:p>
            <w:pPr>
              <w:pStyle w:val="Compact"/>
              <w:jc w:val="left"/>
            </w:pPr>
            <w:r>
              <w:t xml:space="preserve">-0.3 (0.6)</w:t>
            </w:r>
          </w:p>
        </w:tc>
      </w:tr>
      <w:tr>
        <w:tc>
          <w:tcPr/>
          <w:p>
            <w:pPr>
              <w:pStyle w:val="Compact"/>
              <w:jc w:val="left"/>
            </w:pPr>
            <w:r>
              <w:t xml:space="preserve">Total work (1–5)</w:t>
            </w:r>
          </w:p>
        </w:tc>
        <w:tc>
          <w:tcPr/>
          <w:p>
            <w:pPr>
              <w:pStyle w:val="Compact"/>
              <w:jc w:val="left"/>
            </w:pPr>
            <w:r>
              <w:t xml:space="preserve">5.5 (1.5)</w:t>
            </w:r>
          </w:p>
        </w:tc>
        <w:tc>
          <w:tcPr/>
          <w:p>
            <w:pPr>
              <w:pStyle w:val="Compact"/>
              <w:jc w:val="left"/>
            </w:pPr>
            <w:r>
              <w:t xml:space="preserve">11.2 (1.5)</w:t>
            </w:r>
          </w:p>
        </w:tc>
        <w:tc>
          <w:tcPr/>
          <w:p>
            <w:pPr>
              <w:pStyle w:val="Compact"/>
              <w:jc w:val="left"/>
            </w:pPr>
            <w:r>
              <w:t xml:space="preserve">8.3 (1.6)</w:t>
            </w:r>
          </w:p>
        </w:tc>
        <w:tc>
          <w:tcPr/>
          <w:p>
            <w:pPr>
              <w:pStyle w:val="Compact"/>
              <w:jc w:val="left"/>
            </w:pPr>
            <w:r>
              <w:t xml:space="preserve">8.0 (1.6)</w:t>
            </w:r>
          </w:p>
        </w:tc>
      </w:tr>
      <w:tr>
        <w:tc>
          <w:tcPr/>
          <w:p>
            <w:pPr>
              <w:pStyle w:val="Compact"/>
              <w:jc w:val="left"/>
            </w:pPr>
            <w:r>
              <w:t xml:space="preserve">Free time (7+8)</w:t>
            </w:r>
          </w:p>
        </w:tc>
        <w:tc>
          <w:tcPr/>
          <w:p>
            <w:pPr>
              <w:pStyle w:val="Compact"/>
              <w:jc w:val="left"/>
            </w:pPr>
            <w:r>
              <w:t xml:space="preserve">13.0 (1.4)</w:t>
            </w:r>
          </w:p>
        </w:tc>
        <w:tc>
          <w:tcPr/>
          <w:p>
            <w:pPr>
              <w:pStyle w:val="Compact"/>
              <w:jc w:val="left"/>
            </w:pPr>
            <w:r>
              <w:t xml:space="preserve">9.8 (1.4)</w:t>
            </w:r>
          </w:p>
        </w:tc>
        <w:tc>
          <w:tcPr/>
          <w:p>
            <w:pPr>
              <w:pStyle w:val="Compact"/>
              <w:jc w:val="left"/>
            </w:pPr>
            <w:r>
              <w:t xml:space="preserve">20.7 (1.4)</w:t>
            </w:r>
          </w:p>
        </w:tc>
        <w:tc>
          <w:tcPr/>
          <w:p>
            <w:pPr>
              <w:pStyle w:val="Compact"/>
              <w:jc w:val="left"/>
            </w:pPr>
            <w:r>
              <w:t xml:space="preserve">20.2 (1.4)</w:t>
            </w:r>
          </w:p>
        </w:tc>
      </w:tr>
      <w:tr>
        <w:tc>
          <w:tcPr/>
          <w:p>
            <w:pPr>
              <w:pStyle w:val="Compact"/>
              <w:jc w:val="left"/>
            </w:pPr>
            <w:r>
              <w:t xml:space="preserve">Self-care (9)</w:t>
            </w:r>
          </w:p>
        </w:tc>
        <w:tc>
          <w:tcPr/>
          <w:p>
            <w:pPr>
              <w:pStyle w:val="Compact"/>
              <w:jc w:val="left"/>
            </w:pPr>
            <w:r>
              <w:t xml:space="preserve">-18.9 (1.2)</w:t>
            </w:r>
          </w:p>
        </w:tc>
        <w:tc>
          <w:tcPr/>
          <w:p>
            <w:pPr>
              <w:pStyle w:val="Compact"/>
              <w:jc w:val="left"/>
            </w:pPr>
            <w:r>
              <w:t xml:space="preserve">-20.0 (1.2)</w:t>
            </w:r>
          </w:p>
        </w:tc>
        <w:tc>
          <w:tcPr/>
          <w:p>
            <w:pPr>
              <w:pStyle w:val="Compact"/>
              <w:jc w:val="left"/>
            </w:pPr>
            <w:r>
              <w:t xml:space="preserve">-23.8 (1.1)</w:t>
            </w:r>
          </w:p>
        </w:tc>
        <w:tc>
          <w:tcPr/>
          <w:p>
            <w:pPr>
              <w:pStyle w:val="Compact"/>
              <w:jc w:val="left"/>
            </w:pPr>
            <w:r>
              <w:t xml:space="preserve">-23.1 (1.1)</w:t>
            </w:r>
          </w:p>
        </w:tc>
      </w:tr>
    </w:tbl>
    <w:p>
      <w:pPr>
        <w:pStyle w:val="BodyText"/>
      </w:pPr>
      <w:r>
        <w:rPr>
          <w:i/>
          <w:iCs/>
        </w:rPr>
        <w:t xml:space="preserve">Note:</w:t>
      </w:r>
      <w:r>
        <w:t xml:space="preserve"> </w:t>
      </w:r>
      <w:r>
        <w:t xml:space="preserve">Composition-adjusted: 2019 reweighted to the 2024 distribution of age group by sector, education by sector, marital status, household size, child under 6, state, within-year consumption quintile, sub-round and day of the week. Standard errors in parentheses, clustered by first-stage unit within year; they do not account for estimation of the weights. Diaries with missing education, consumption or household size are excluded, so raw changes can differ slightly from Table 3.</w:t>
      </w:r>
    </w:p>
    <w:bookmarkEnd w:id="30"/>
    <w:bookmarkStart w:id="31" w:name="robustness"/>
    <w:p>
      <w:pPr>
        <w:pStyle w:val="Heading2"/>
      </w:pPr>
      <w:r>
        <w:rPr>
          <w:rStyle w:val="SectionNumber"/>
        </w:rPr>
        <w:t xml:space="preserve">5.7</w:t>
      </w:r>
      <w:r>
        <w:tab/>
      </w:r>
      <w:r>
        <w:t xml:space="preserve">Robustness</w:t>
      </w:r>
    </w:p>
    <w:p>
      <w:pPr>
        <w:pStyle w:val="FirstParagraph"/>
      </w:pPr>
      <w:r>
        <w:t xml:space="preserve">Table 8 in the appendix repeats the main comparisons in four subsamples: persons aged 15 to 59; diaries for a normal day; self-reported diaries; and diaries for Monday to Friday. In every subsample women’s employment time rose by between 11.5 and 13.2 minutes, women’s childcare rose by about 10 minutes, and the change in women’s unpaid work lay between -3.3 and 0.5 minutes. The gender gap in unpaid work changed by between -3.7 and 0.5 minutes. Restricting to normal days, which excludes holidays, days of illness and other unusual days, gives a larger rise in men’s employment time and so a larger widening of the gender gap in employment, but does not change the conclusions about unpaid work. Self-reported diaries, which are not affected by differences in proxy reporting, give the same pattern as the full sample.</w:t>
      </w:r>
    </w:p>
    <w:bookmarkEnd w:id="31"/>
    <w:bookmarkEnd w:id="32"/>
    <w:bookmarkStart w:id="33" w:name="discussion"/>
    <w:p>
      <w:pPr>
        <w:pStyle w:val="Heading1"/>
      </w:pPr>
      <w:r>
        <w:rPr>
          <w:rStyle w:val="SectionNumber"/>
        </w:rPr>
        <w:t xml:space="preserve">6</w:t>
      </w:r>
      <w:r>
        <w:tab/>
      </w:r>
      <w:r>
        <w:t xml:space="preserve">Discussion</w:t>
      </w:r>
    </w:p>
    <w:p>
      <w:pPr>
        <w:pStyle w:val="FirstParagraph"/>
      </w:pPr>
      <w:r>
        <w:t xml:space="preserve">The time diaries confirm that more Indian women did paid work in 2024 than in 2019, and they show that the additional work was substantial in duration: women who worked on the diary day spent close to six hours on it in both years. The size of the change is modest, however, relative to the change in the PLFS usual-status rate. In the diaries, the share of women aged 15 and over doing any paid work on a given day rose by about 3 percentage points, and in the TUS rosters the share of women whose principal status was employment rose by a similar amount. The two kinds of survey measure different things. A usual-status measure counts anyone who worked for a minimum period over a year, including in a subsidiary capacity, whereas a diary measures what happened on one day. Part of the difference may therefore reflect irregular and seasonal work that a usual-status measure counts and a single-day diary often misses. The two sources are best read together. The PLFS shows that more women are attached to work over the year, and the diaries show that by 2024 this had translated into about 11 additional minutes of paid work per woman per day, or about 77 minutes a week.</w:t>
      </w:r>
    </w:p>
    <w:p>
      <w:pPr>
        <w:pStyle w:val="BodyText"/>
      </w:pPr>
      <w:r>
        <w:t xml:space="preserve">The central finding is that women’s unpaid work did not decline. Three features of the change account for this. First, much of the movement into work was into self-employment, and self-employed women in India carry unpaid workloads not far below those of women whose principal activity is domestic duties, which is consistent with the home-based and family-enterprise character of much of women’s work</w:t>
      </w:r>
      <w:r>
        <w:t xml:space="preserve"> </w:t>
      </w:r>
      <w:r>
        <w:t xml:space="preserve">(</w:t>
      </w:r>
      <w:hyperlink w:anchor="ref-deshpande2024">
        <w:r>
          <w:rPr>
            <w:rStyle w:val="Hyperlink"/>
          </w:rPr>
          <w:t xml:space="preserve">Deshpande and Kabeer, 2024</w:t>
        </w:r>
      </w:hyperlink>
      <w:r>
        <w:t xml:space="preserve">)</w:t>
      </w:r>
      <w:r>
        <w:t xml:space="preserve">. Second, more women recorded childcare. The rise was concentrated among women living with young children, the life-course stage in which gender gaps in time use are widest in other countries as well</w:t>
      </w:r>
      <w:r>
        <w:t xml:space="preserve"> </w:t>
      </w:r>
      <w:r>
        <w:t xml:space="preserve">(</w:t>
      </w:r>
      <w:hyperlink w:anchor="ref-anxo2011">
        <w:r>
          <w:rPr>
            <w:rStyle w:val="Hyperlink"/>
          </w:rPr>
          <w:t xml:space="preserve">Anxo et al., 2011</w:t>
        </w:r>
      </w:hyperlink>
      <w:r>
        <w:t xml:space="preserve">)</w:t>
      </w:r>
      <w:r>
        <w:t xml:space="preserve">. It could reflect a real increase in time spent with children, or a change in how childcare was reported or recorded between the two rounds, and the data cannot separate the two. Third, men’s unpaid work changed little, so there was no reallocation within households of the kind that has gradually narrowed gaps elsewhere</w:t>
      </w:r>
      <w:r>
        <w:t xml:space="preserve"> </w:t>
      </w:r>
      <w:r>
        <w:t xml:space="preserve">(</w:t>
      </w:r>
      <w:hyperlink w:anchor="ref-altintas2016">
        <w:r>
          <w:rPr>
            <w:rStyle w:val="Hyperlink"/>
          </w:rPr>
          <w:t xml:space="preserve">Altintas and Sullivan, 2016</w:t>
        </w:r>
      </w:hyperlink>
      <w:r>
        <w:t xml:space="preserve">;</w:t>
      </w:r>
      <w:r>
        <w:t xml:space="preserve"> </w:t>
      </w:r>
      <w:hyperlink w:anchor="ref-bianchi2000">
        <w:r>
          <w:rPr>
            <w:rStyle w:val="Hyperlink"/>
          </w:rPr>
          <w:t xml:space="preserve">Bianchi et al., 2000</w:t>
        </w:r>
      </w:hyperlink>
      <w:r>
        <w:t xml:space="preserve">)</w:t>
      </w:r>
      <w:r>
        <w:t xml:space="preserve">. At the 2019–2024 pace, a narrowing of about 0.6 minutes a year, the unpaid-work gap would take centuries to close. This is a mechanical extrapolation, not a forecast, but it conveys how little the division of unpaid work moved.</w:t>
      </w:r>
    </w:p>
    <w:p>
      <w:pPr>
        <w:pStyle w:val="BodyText"/>
      </w:pPr>
      <w:r>
        <w:t xml:space="preserve">The heterogeneity suggests two different processes. For older women with little schooling, paid work rose and unpaid work fell. This is consistent with women who are past the stage of caring for young children taking up paid work, and with the rise in rural women’s agricultural work documented by</w:t>
      </w:r>
      <w:r>
        <w:t xml:space="preserve"> </w:t>
      </w:r>
      <w:r>
        <w:t xml:space="preserve">Kumar, Bathla, and Singh (</w:t>
      </w:r>
      <w:hyperlink w:anchor="ref-kumar2026">
        <w:r>
          <w:rPr>
            <w:rStyle w:val="Hyperlink"/>
          </w:rPr>
          <w:t xml:space="preserve">2026</w:t>
        </w:r>
      </w:hyperlink>
      <w:r>
        <w:t xml:space="preserve">)</w:t>
      </w:r>
      <w:r>
        <w:t xml:space="preserve">. For younger and more educated women, paid work rose little and childcare rose. This is the group in which education was expected to raise women’s employment, and in which the earlier decline was most puzzling</w:t>
      </w:r>
      <w:r>
        <w:t xml:space="preserve"> </w:t>
      </w:r>
      <w:r>
        <w:t xml:space="preserve">(</w:t>
      </w:r>
      <w:hyperlink w:anchor="ref-chatterjee2018">
        <w:r>
          <w:rPr>
            <w:rStyle w:val="Hyperlink"/>
          </w:rPr>
          <w:t xml:space="preserve">Chatterjee, Desai, and Vanneman, 2018</w:t>
        </w:r>
      </w:hyperlink>
      <w:r>
        <w:t xml:space="preserve">;</w:t>
      </w:r>
      <w:r>
        <w:t xml:space="preserve"> </w:t>
      </w:r>
      <w:hyperlink w:anchor="ref-chatterjee2022">
        <w:r>
          <w:rPr>
            <w:rStyle w:val="Hyperlink"/>
          </w:rPr>
          <w:t xml:space="preserve">Chatterjee and Vanneman, 2022</w:t>
        </w:r>
      </w:hyperlink>
      <w:r>
        <w:t xml:space="preserve">;</w:t>
      </w:r>
      <w:r>
        <w:t xml:space="preserve"> </w:t>
      </w:r>
      <w:hyperlink w:anchor="ref-klasen2015">
        <w:r>
          <w:rPr>
            <w:rStyle w:val="Hyperlink"/>
          </w:rPr>
          <w:t xml:space="preserve">Klasen and Pieters, 2015</w:t>
        </w:r>
      </w:hyperlink>
      <w:r>
        <w:t xml:space="preserve">)</w:t>
      </w:r>
      <w:r>
        <w:t xml:space="preserve">. The diaries suggest that for this group the time demands of caring for young children remained a binding constraint over the period.</w:t>
      </w:r>
    </w:p>
    <w:p>
      <w:pPr>
        <w:pStyle w:val="BodyText"/>
      </w:pPr>
      <w:r>
        <w:t xml:space="preserve">Women’s free time rose, but less than men’s, and both sexes recorded less self-care. Part of this common change may reflect differences in recording between the two surveys, which is why the paper focuses on paid and unpaid work and on changes in gaps. If the decline in self-care is partly a recording change common to women and men, it affects each sex’s estimated changes in other activities but largely cancels out of the changes in gender gaps.</w:t>
      </w:r>
    </w:p>
    <w:p>
      <w:pPr>
        <w:pStyle w:val="BodyText"/>
      </w:pPr>
      <w:r>
        <w:t xml:space="preserve">The results have several limitations. The surveys are repeated cross-sections, so they describe changes in population averages and cannot follow individual women into and out of work. The period includes the COVID-19 pandemic and its aftermath, as well as changes in rural incomes, prices and public programmes, and the data cannot separate their roles. The diaries record one day per person; they estimate population averages well but cannot describe the regularity of an individual’s work. Using only the major activity in each slot understates activities that are often done alongside others, such as childcare, but the rule is applied in the same way in both years. Finally, the change in interview mode cannot be harmonised, and changes in activities common to both sexes should be read with that in mind.</w:t>
      </w:r>
    </w:p>
    <w:bookmarkEnd w:id="33"/>
    <w:bookmarkStart w:id="34" w:name="conclusion"/>
    <w:p>
      <w:pPr>
        <w:pStyle w:val="Heading1"/>
      </w:pPr>
      <w:r>
        <w:rPr>
          <w:rStyle w:val="SectionNumber"/>
        </w:rPr>
        <w:t xml:space="preserve">7</w:t>
      </w:r>
      <w:r>
        <w:tab/>
      </w:r>
      <w:r>
        <w:t xml:space="preserve">Conclusion</w:t>
      </w:r>
    </w:p>
    <w:p>
      <w:pPr>
        <w:pStyle w:val="FirstParagraph"/>
      </w:pPr>
      <w:r>
        <w:t xml:space="preserve">Between 2019 and 2024, India’s time-use surveys record a rise in women’s paid work that is real, substantial in duration, concentrated on the extensive margin and not explained by changes in the population’s composition. They also record that women’s unpaid domestic and care work did not fall: less time spent cleaning was offset by more childcare, and men’s unpaid work barely changed. So far, the rise in women’s employment has been added to women’s days rather than redistributing their unpaid work. Efforts to sustain the rise in women’s employment, and to extend it to younger and more educated women, may therefore need to address the time women spend on unpaid work, including the care of young children, as well as the supply of jobs. The two surveys provide a baseline against which future rounds can measure both.</w:t>
      </w:r>
    </w:p>
    <w:bookmarkEnd w:id="34"/>
    <w:bookmarkStart w:id="35" w:name="acknowledgments"/>
    <w:p>
      <w:pPr>
        <w:pStyle w:val="Heading1"/>
      </w:pPr>
      <w:r>
        <w:t xml:space="preserve">Acknowledgments</w:t>
      </w:r>
    </w:p>
    <w:p>
      <w:pPr>
        <w:pStyle w:val="FirstParagraph"/>
      </w:pPr>
      <w:r>
        <w:t xml:space="preserve">I thank the National Statistics Office for access to the microdata. Claude (Anthropic) was used to polish the language of the manuscript. Claude and other AI coding assistants helped write and check the analysis code and check the references under the author’s direction. The author reviewed and verified all output and takes full responsibility for the content.</w:t>
      </w:r>
    </w:p>
    <w:bookmarkEnd w:id="35"/>
    <w:bookmarkStart w:id="36" w:name="statements"/>
    <w:p>
      <w:pPr>
        <w:pStyle w:val="Heading1"/>
      </w:pPr>
      <w:r>
        <w:t xml:space="preserve">Statements</w:t>
      </w:r>
    </w:p>
    <w:p>
      <w:pPr>
        <w:pStyle w:val="FirstParagraph"/>
      </w:pPr>
      <w:r>
        <w:rPr>
          <w:b/>
          <w:bCs/>
        </w:rPr>
        <w:t xml:space="preserve">Data availability.</w:t>
      </w:r>
      <w:r>
        <w:t xml:space="preserve"> </w:t>
      </w:r>
      <w:r>
        <w:t xml:space="preserve">The unit-level data of the Time Use Survey 2019 and the Time Use Survey 2024 are produced by the National Statistics Office, Ministry of Statistics and Programme Implementation, Government of India, and are available to registered users from the Ministry’s microdata portal (catalogs 223 and 236) under its terms of use, which do not permit redistribution, so the data cannot be deposited in a public repository. The R code that builds the harmonised person-day files and produces every estimate, table and figure is available to the editors and reviewers on request and will be deposited in a public repository on acceptance.</w:t>
      </w:r>
    </w:p>
    <w:p>
      <w:pPr>
        <w:pStyle w:val="BodyText"/>
      </w:pPr>
      <w:r>
        <w:rPr>
          <w:b/>
          <w:bCs/>
        </w:rPr>
        <w:t xml:space="preserve">Funding.</w:t>
      </w:r>
      <w:r>
        <w:t xml:space="preserve"> </w:t>
      </w:r>
      <w:r>
        <w:t xml:space="preserve">No funding was received for this research.</w:t>
      </w:r>
    </w:p>
    <w:p>
      <w:pPr>
        <w:pStyle w:val="BodyText"/>
      </w:pPr>
      <w:r>
        <w:rPr>
          <w:b/>
          <w:bCs/>
        </w:rPr>
        <w:t xml:space="preserve">Conflict of interest.</w:t>
      </w:r>
      <w:r>
        <w:t xml:space="preserve"> </w:t>
      </w:r>
      <w:r>
        <w:t xml:space="preserve">The author has no conflicts of interest to disclose.</w:t>
      </w:r>
    </w:p>
    <w:p>
      <w:pPr>
        <w:pStyle w:val="BodyText"/>
      </w:pPr>
      <w:r>
        <w:rPr>
          <w:b/>
          <w:bCs/>
        </w:rPr>
        <w:t xml:space="preserve">Ethics approval.</w:t>
      </w:r>
      <w:r>
        <w:t xml:space="preserve"> </w:t>
      </w:r>
      <w:r>
        <w:t xml:space="preserve">The study is a secondary analysis of anonymised official survey microdata released for research use and involved no contact with human subjects; no ethics approval was required.</w:t>
      </w:r>
    </w:p>
    <w:p>
      <w:pPr>
        <w:pStyle w:val="BodyText"/>
      </w:pPr>
      <w:r>
        <w:rPr>
          <w:b/>
          <w:bCs/>
        </w:rPr>
        <w:t xml:space="preserve">Participant consent.</w:t>
      </w:r>
      <w:r>
        <w:t xml:space="preserve"> </w:t>
      </w:r>
      <w:r>
        <w:t xml:space="preserve">Not applicable (no primary data collection).</w:t>
      </w:r>
    </w:p>
    <w:p>
      <w:pPr>
        <w:pStyle w:val="BodyText"/>
      </w:pPr>
      <w:r>
        <w:rPr>
          <w:b/>
          <w:bCs/>
        </w:rPr>
        <w:t xml:space="preserve">Permission to reproduce material from other sources.</w:t>
      </w:r>
      <w:r>
        <w:t xml:space="preserve"> </w:t>
      </w:r>
      <w:r>
        <w:t xml:space="preserve">Not applicable; no previously published tables or figures are reproduced.</w:t>
      </w:r>
    </w:p>
    <w:bookmarkEnd w:id="36"/>
    <w:bookmarkStart w:id="100" w:name="references"/>
    <w:p>
      <w:pPr>
        <w:pStyle w:val="Heading1"/>
      </w:pPr>
      <w:r>
        <w:t xml:space="preserve">References</w:t>
      </w:r>
    </w:p>
    <w:bookmarkStart w:id="99" w:name="refs"/>
    <w:bookmarkStart w:id="38" w:name="ref-afridi2018"/>
    <w:p>
      <w:pPr>
        <w:pStyle w:val="Bibliography"/>
      </w:pPr>
      <w:r>
        <w:t xml:space="preserve">Afridi, F., Dinkelman, T., and Mahajan, K. (2018). Why are fewer married women joining the work force in rural</w:t>
      </w:r>
      <w:r>
        <w:t xml:space="preserve"> </w:t>
      </w:r>
      <w:r>
        <w:t xml:space="preserve">India</w:t>
      </w:r>
      <w:r>
        <w:t xml:space="preserve">?</w:t>
      </w:r>
      <w:r>
        <w:t xml:space="preserve"> </w:t>
      </w:r>
      <w:r>
        <w:t xml:space="preserve">A</w:t>
      </w:r>
      <w:r>
        <w:t xml:space="preserve"> </w:t>
      </w:r>
      <w:r>
        <w:t xml:space="preserve">decomposition analysis over two decades.</w:t>
      </w:r>
      <w:r>
        <w:t xml:space="preserve"> </w:t>
      </w:r>
      <w:r>
        <w:rPr>
          <w:i/>
          <w:iCs/>
        </w:rPr>
        <w:t xml:space="preserve">Journal of Population Economics</w:t>
      </w:r>
      <w:r>
        <w:t xml:space="preserve">,</w:t>
      </w:r>
      <w:r>
        <w:t xml:space="preserve"> </w:t>
      </w:r>
      <w:r>
        <w:rPr>
          <w:i/>
          <w:iCs/>
        </w:rPr>
        <w:t xml:space="preserve">31</w:t>
      </w:r>
      <w:r>
        <w:t xml:space="preserve">(3), 783–818.</w:t>
      </w:r>
      <w:r>
        <w:t xml:space="preserve"> </w:t>
      </w:r>
      <w:hyperlink r:id="rId37">
        <w:r>
          <w:rPr>
            <w:rStyle w:val="Hyperlink"/>
          </w:rPr>
          <w:t xml:space="preserve">https://doi.org/10.1007/s00148-017-0671-y</w:t>
        </w:r>
      </w:hyperlink>
    </w:p>
    <w:bookmarkEnd w:id="38"/>
    <w:bookmarkStart w:id="40" w:name="ref-altintas2016"/>
    <w:p>
      <w:pPr>
        <w:pStyle w:val="Bibliography"/>
      </w:pPr>
      <w:r>
        <w:t xml:space="preserve">Altintas, E., and Sullivan, O. (2016). Fifty years of change updated:</w:t>
      </w:r>
      <w:r>
        <w:t xml:space="preserve"> </w:t>
      </w:r>
      <w:r>
        <w:t xml:space="preserve">C</w:t>
      </w:r>
      <w:r>
        <w:t xml:space="preserve">ross-national gender convergence in housework.</w:t>
      </w:r>
      <w:r>
        <w:t xml:space="preserve"> </w:t>
      </w:r>
      <w:r>
        <w:rPr>
          <w:i/>
          <w:iCs/>
        </w:rPr>
        <w:t xml:space="preserve">Demographic Research</w:t>
      </w:r>
      <w:r>
        <w:t xml:space="preserve">,</w:t>
      </w:r>
      <w:r>
        <w:t xml:space="preserve"> </w:t>
      </w:r>
      <w:r>
        <w:rPr>
          <w:i/>
          <w:iCs/>
        </w:rPr>
        <w:t xml:space="preserve">35</w:t>
      </w:r>
      <w:r>
        <w:t xml:space="preserve">, 455–470.</w:t>
      </w:r>
      <w:r>
        <w:t xml:space="preserve"> </w:t>
      </w:r>
      <w:hyperlink r:id="rId39">
        <w:r>
          <w:rPr>
            <w:rStyle w:val="Hyperlink"/>
          </w:rPr>
          <w:t xml:space="preserve">https://doi.org/10.4054/DemRes.2016.35.16</w:t>
        </w:r>
      </w:hyperlink>
    </w:p>
    <w:bookmarkEnd w:id="40"/>
    <w:bookmarkStart w:id="42" w:name="ref-anxo2011"/>
    <w:p>
      <w:pPr>
        <w:pStyle w:val="Bibliography"/>
      </w:pPr>
      <w:r>
        <w:t xml:space="preserve">Anxo, D., Mencarini, L., Pailhé, A., Solaz, A., Tanturri, M. L., and Flood, L. (2011). Gender differences in time use over the life course in</w:t>
      </w:r>
      <w:r>
        <w:t xml:space="preserve"> </w:t>
      </w:r>
      <w:r>
        <w:t xml:space="preserve">France</w:t>
      </w:r>
      <w:r>
        <w:t xml:space="preserve">,</w:t>
      </w:r>
      <w:r>
        <w:t xml:space="preserve"> </w:t>
      </w:r>
      <w:r>
        <w:t xml:space="preserve">Italy</w:t>
      </w:r>
      <w:r>
        <w:t xml:space="preserve">,</w:t>
      </w:r>
      <w:r>
        <w:t xml:space="preserve"> </w:t>
      </w:r>
      <w:r>
        <w:t xml:space="preserve">Sweden</w:t>
      </w:r>
      <w:r>
        <w:t xml:space="preserve">, and the</w:t>
      </w:r>
      <w:r>
        <w:t xml:space="preserve"> </w:t>
      </w:r>
      <w:r>
        <w:t xml:space="preserve">US</w:t>
      </w:r>
      <w:r>
        <w:t xml:space="preserve">.</w:t>
      </w:r>
      <w:r>
        <w:t xml:space="preserve"> </w:t>
      </w:r>
      <w:r>
        <w:rPr>
          <w:i/>
          <w:iCs/>
        </w:rPr>
        <w:t xml:space="preserve">Feminist Economics</w:t>
      </w:r>
      <w:r>
        <w:t xml:space="preserve">,</w:t>
      </w:r>
      <w:r>
        <w:t xml:space="preserve"> </w:t>
      </w:r>
      <w:r>
        <w:rPr>
          <w:i/>
          <w:iCs/>
        </w:rPr>
        <w:t xml:space="preserve">17</w:t>
      </w:r>
      <w:r>
        <w:t xml:space="preserve">(3), 159–195.</w:t>
      </w:r>
      <w:r>
        <w:t xml:space="preserve"> </w:t>
      </w:r>
      <w:hyperlink r:id="rId41">
        <w:r>
          <w:rPr>
            <w:rStyle w:val="Hyperlink"/>
          </w:rPr>
          <w:t xml:space="preserve">https://doi.org/10.1080/13545701.2011.582822</w:t>
        </w:r>
      </w:hyperlink>
    </w:p>
    <w:bookmarkEnd w:id="42"/>
    <w:bookmarkStart w:id="44" w:name="ref-bianchi2000"/>
    <w:p>
      <w:pPr>
        <w:pStyle w:val="Bibliography"/>
      </w:pPr>
      <w:r>
        <w:t xml:space="preserve">Bianchi, S. M., Milkie, M. A., Sayer, L. C., and Robinson, J. P. (2000). Is anyone doing the housework?</w:t>
      </w:r>
      <w:r>
        <w:t xml:space="preserve"> </w:t>
      </w:r>
      <w:r>
        <w:t xml:space="preserve">T</w:t>
      </w:r>
      <w:r>
        <w:t xml:space="preserve">rends in the gender division of household labor.</w:t>
      </w:r>
      <w:r>
        <w:t xml:space="preserve"> </w:t>
      </w:r>
      <w:r>
        <w:rPr>
          <w:i/>
          <w:iCs/>
        </w:rPr>
        <w:t xml:space="preserve">Social Forces</w:t>
      </w:r>
      <w:r>
        <w:t xml:space="preserve">,</w:t>
      </w:r>
      <w:r>
        <w:t xml:space="preserve"> </w:t>
      </w:r>
      <w:r>
        <w:rPr>
          <w:i/>
          <w:iCs/>
        </w:rPr>
        <w:t xml:space="preserve">79</w:t>
      </w:r>
      <w:r>
        <w:t xml:space="preserve">(1), 191–228.</w:t>
      </w:r>
      <w:r>
        <w:t xml:space="preserve"> </w:t>
      </w:r>
      <w:hyperlink r:id="rId43">
        <w:r>
          <w:rPr>
            <w:rStyle w:val="Hyperlink"/>
          </w:rPr>
          <w:t xml:space="preserve">https://doi.org/10.2307/2675569</w:t>
        </w:r>
      </w:hyperlink>
    </w:p>
    <w:bookmarkEnd w:id="44"/>
    <w:bookmarkStart w:id="46" w:name="ref-chatterjee2018"/>
    <w:p>
      <w:pPr>
        <w:pStyle w:val="Bibliography"/>
      </w:pPr>
      <w:r>
        <w:t xml:space="preserve">Chatterjee, E., Desai, S., and Vanneman, R. (2018). Indian paradox:</w:t>
      </w:r>
      <w:r>
        <w:t xml:space="preserve"> </w:t>
      </w:r>
      <w:r>
        <w:t xml:space="preserve">R</w:t>
      </w:r>
      <w:r>
        <w:t xml:space="preserve">ising education, declining women’s employment.</w:t>
      </w:r>
      <w:r>
        <w:t xml:space="preserve"> </w:t>
      </w:r>
      <w:r>
        <w:rPr>
          <w:i/>
          <w:iCs/>
        </w:rPr>
        <w:t xml:space="preserve">Demographic Research</w:t>
      </w:r>
      <w:r>
        <w:t xml:space="preserve">,</w:t>
      </w:r>
      <w:r>
        <w:t xml:space="preserve"> </w:t>
      </w:r>
      <w:r>
        <w:rPr>
          <w:i/>
          <w:iCs/>
        </w:rPr>
        <w:t xml:space="preserve">38</w:t>
      </w:r>
      <w:r>
        <w:t xml:space="preserve">, 855–878.</w:t>
      </w:r>
      <w:r>
        <w:t xml:space="preserve"> </w:t>
      </w:r>
      <w:hyperlink r:id="rId45">
        <w:r>
          <w:rPr>
            <w:rStyle w:val="Hyperlink"/>
          </w:rPr>
          <w:t xml:space="preserve">https://doi.org/10.4054/DemRes.2018.38.31</w:t>
        </w:r>
      </w:hyperlink>
    </w:p>
    <w:bookmarkEnd w:id="46"/>
    <w:bookmarkStart w:id="48" w:name="ref-chatterjee2022"/>
    <w:p>
      <w:pPr>
        <w:pStyle w:val="Bibliography"/>
      </w:pPr>
      <w:r>
        <w:t xml:space="preserve">Chatterjee, E., and Vanneman, R. D. (2022). Women’s low employment rates in</w:t>
      </w:r>
      <w:r>
        <w:t xml:space="preserve"> </w:t>
      </w:r>
      <w:r>
        <w:t xml:space="preserve">India</w:t>
      </w:r>
      <w:r>
        <w:t xml:space="preserve">: Cultural and structural explanations.</w:t>
      </w:r>
      <w:r>
        <w:t xml:space="preserve"> </w:t>
      </w:r>
      <w:r>
        <w:rPr>
          <w:i/>
          <w:iCs/>
        </w:rPr>
        <w:t xml:space="preserve">Population and Development Review</w:t>
      </w:r>
      <w:r>
        <w:t xml:space="preserve">,</w:t>
      </w:r>
      <w:r>
        <w:t xml:space="preserve"> </w:t>
      </w:r>
      <w:r>
        <w:rPr>
          <w:i/>
          <w:iCs/>
        </w:rPr>
        <w:t xml:space="preserve">48</w:t>
      </w:r>
      <w:r>
        <w:t xml:space="preserve">(2), 445–474.</w:t>
      </w:r>
      <w:r>
        <w:t xml:space="preserve"> </w:t>
      </w:r>
      <w:hyperlink r:id="rId47">
        <w:r>
          <w:rPr>
            <w:rStyle w:val="Hyperlink"/>
          </w:rPr>
          <w:t xml:space="preserve">https://doi.org/10.1111/padr.12474</w:t>
        </w:r>
      </w:hyperlink>
    </w:p>
    <w:bookmarkEnd w:id="48"/>
    <w:bookmarkStart w:id="50" w:name="ref-deshpande2022"/>
    <w:p>
      <w:pPr>
        <w:pStyle w:val="Bibliography"/>
      </w:pPr>
      <w:r>
        <w:t xml:space="preserve">Deshpande, A. (2022). The</w:t>
      </w:r>
      <w:r>
        <w:t xml:space="preserve"> </w:t>
      </w:r>
      <w:r>
        <w:t xml:space="preserve">Covid</w:t>
      </w:r>
      <w:r>
        <w:t xml:space="preserve">-19 pandemic and gendered division of paid work, domestic chores and leisure: Evidence from</w:t>
      </w:r>
      <w:r>
        <w:t xml:space="preserve"> </w:t>
      </w:r>
      <w:r>
        <w:t xml:space="preserve">India</w:t>
      </w:r>
      <w:r>
        <w:t xml:space="preserve">’s first wave.</w:t>
      </w:r>
      <w:r>
        <w:t xml:space="preserve"> </w:t>
      </w:r>
      <w:r>
        <w:rPr>
          <w:i/>
          <w:iCs/>
        </w:rPr>
        <w:t xml:space="preserve">Economia Politica</w:t>
      </w:r>
      <w:r>
        <w:t xml:space="preserve">,</w:t>
      </w:r>
      <w:r>
        <w:t xml:space="preserve"> </w:t>
      </w:r>
      <w:r>
        <w:rPr>
          <w:i/>
          <w:iCs/>
        </w:rPr>
        <w:t xml:space="preserve">39</w:t>
      </w:r>
      <w:r>
        <w:t xml:space="preserve">(1), 75–100.</w:t>
      </w:r>
      <w:r>
        <w:t xml:space="preserve"> </w:t>
      </w:r>
      <w:hyperlink r:id="rId49">
        <w:r>
          <w:rPr>
            <w:rStyle w:val="Hyperlink"/>
          </w:rPr>
          <w:t xml:space="preserve">https://doi.org/10.1007/s40888-021-00235-7</w:t>
        </w:r>
      </w:hyperlink>
    </w:p>
    <w:bookmarkEnd w:id="50"/>
    <w:bookmarkStart w:id="52" w:name="ref-deshpande2024"/>
    <w:p>
      <w:pPr>
        <w:pStyle w:val="Bibliography"/>
      </w:pPr>
      <w:r>
        <w:t xml:space="preserve">Deshpande, A., and Kabeer, N. (2024). Norms that matter:</w:t>
      </w:r>
      <w:r>
        <w:t xml:space="preserve"> </w:t>
      </w:r>
      <w:r>
        <w:t xml:space="preserve">E</w:t>
      </w:r>
      <w:r>
        <w:t xml:space="preserve">xploring the distribution of women’s work between income generation, expenditure-saving and unpaid domestic responsibilities in</w:t>
      </w:r>
      <w:r>
        <w:t xml:space="preserve"> </w:t>
      </w:r>
      <w:r>
        <w:t xml:space="preserve">India</w:t>
      </w:r>
      <w:r>
        <w:t xml:space="preserve">.</w:t>
      </w:r>
      <w:r>
        <w:t xml:space="preserve"> </w:t>
      </w:r>
      <w:r>
        <w:rPr>
          <w:i/>
          <w:iCs/>
        </w:rPr>
        <w:t xml:space="preserve">World Development</w:t>
      </w:r>
      <w:r>
        <w:t xml:space="preserve">,</w:t>
      </w:r>
      <w:r>
        <w:t xml:space="preserve"> </w:t>
      </w:r>
      <w:r>
        <w:rPr>
          <w:i/>
          <w:iCs/>
        </w:rPr>
        <w:t xml:space="preserve">174</w:t>
      </w:r>
      <w:r>
        <w:t xml:space="preserve">, 106435.</w:t>
      </w:r>
      <w:r>
        <w:t xml:space="preserve"> </w:t>
      </w:r>
      <w:hyperlink r:id="rId51">
        <w:r>
          <w:rPr>
            <w:rStyle w:val="Hyperlink"/>
          </w:rPr>
          <w:t xml:space="preserve">https://doi.org/10.1016/j.worlddev.2023.106435</w:t>
        </w:r>
      </w:hyperlink>
    </w:p>
    <w:bookmarkEnd w:id="52"/>
    <w:bookmarkStart w:id="54" w:name="ref-dinardo1996"/>
    <w:p>
      <w:pPr>
        <w:pStyle w:val="Bibliography"/>
      </w:pPr>
      <w:r>
        <w:t xml:space="preserve">DiNardo, J., Fortin, N. M., and Lemieux, T. (1996). Labor market institutions and the distribution of wages, 1973–1992:</w:t>
      </w:r>
      <w:r>
        <w:t xml:space="preserve"> </w:t>
      </w:r>
      <w:r>
        <w:t xml:space="preserve">A</w:t>
      </w:r>
      <w:r>
        <w:t xml:space="preserve"> </w:t>
      </w:r>
      <w:r>
        <w:t xml:space="preserve">semiparametric approach.</w:t>
      </w:r>
      <w:r>
        <w:t xml:space="preserve"> </w:t>
      </w:r>
      <w:r>
        <w:rPr>
          <w:i/>
          <w:iCs/>
        </w:rPr>
        <w:t xml:space="preserve">Econometrica</w:t>
      </w:r>
      <w:r>
        <w:t xml:space="preserve">,</w:t>
      </w:r>
      <w:r>
        <w:t xml:space="preserve"> </w:t>
      </w:r>
      <w:r>
        <w:rPr>
          <w:i/>
          <w:iCs/>
        </w:rPr>
        <w:t xml:space="preserve">64</w:t>
      </w:r>
      <w:r>
        <w:t xml:space="preserve">(5), 1001–1044.</w:t>
      </w:r>
      <w:r>
        <w:t xml:space="preserve"> </w:t>
      </w:r>
      <w:hyperlink r:id="rId53">
        <w:r>
          <w:rPr>
            <w:rStyle w:val="Hyperlink"/>
          </w:rPr>
          <w:t xml:space="preserve">https://doi.org/10.2307/2171954</w:t>
        </w:r>
      </w:hyperlink>
    </w:p>
    <w:bookmarkEnd w:id="54"/>
    <w:bookmarkStart w:id="56" w:name="ref-england2010"/>
    <w:p>
      <w:pPr>
        <w:pStyle w:val="Bibliography"/>
      </w:pPr>
      <w:r>
        <w:t xml:space="preserve">England, P. (2010). The gender revolution:</w:t>
      </w:r>
      <w:r>
        <w:t xml:space="preserve"> </w:t>
      </w:r>
      <w:r>
        <w:t xml:space="preserve">U</w:t>
      </w:r>
      <w:r>
        <w:t xml:space="preserve">neven and stalled.</w:t>
      </w:r>
      <w:r>
        <w:t xml:space="preserve"> </w:t>
      </w:r>
      <w:r>
        <w:rPr>
          <w:i/>
          <w:iCs/>
        </w:rPr>
        <w:t xml:space="preserve">Gender &amp; Society</w:t>
      </w:r>
      <w:r>
        <w:t xml:space="preserve">,</w:t>
      </w:r>
      <w:r>
        <w:t xml:space="preserve"> </w:t>
      </w:r>
      <w:r>
        <w:rPr>
          <w:i/>
          <w:iCs/>
        </w:rPr>
        <w:t xml:space="preserve">24</w:t>
      </w:r>
      <w:r>
        <w:t xml:space="preserve">(2), 149–166.</w:t>
      </w:r>
      <w:r>
        <w:t xml:space="preserve"> </w:t>
      </w:r>
      <w:hyperlink r:id="rId55">
        <w:r>
          <w:rPr>
            <w:rStyle w:val="Hyperlink"/>
          </w:rPr>
          <w:t xml:space="preserve">https://doi.org/10.1177/0891243210361475</w:t>
        </w:r>
      </w:hyperlink>
    </w:p>
    <w:bookmarkEnd w:id="56"/>
    <w:bookmarkStart w:id="58" w:name="ref-fortin2011"/>
    <w:p>
      <w:pPr>
        <w:pStyle w:val="Bibliography"/>
      </w:pPr>
      <w:r>
        <w:t xml:space="preserve">Fortin, N., Lemieux, T., and Firpo, S. (2011). Decomposition methods in economics. In O. Ashenfelter and D. Card (Eds.),</w:t>
      </w:r>
      <w:r>
        <w:t xml:space="preserve"> </w:t>
      </w:r>
      <w:r>
        <w:rPr>
          <w:i/>
          <w:iCs/>
        </w:rPr>
        <w:t xml:space="preserve">Handbook of labor economics</w:t>
      </w:r>
      <w:r>
        <w:t xml:space="preserve"> </w:t>
      </w:r>
      <w:r>
        <w:t xml:space="preserve">(Vol. 4A, pp. 1–102). Elsevier.</w:t>
      </w:r>
      <w:r>
        <w:t xml:space="preserve"> </w:t>
      </w:r>
      <w:hyperlink r:id="rId57">
        <w:r>
          <w:rPr>
            <w:rStyle w:val="Hyperlink"/>
          </w:rPr>
          <w:t xml:space="preserve">https://doi.org/10.1016/S0169-7218(11)00407-2</w:t>
        </w:r>
      </w:hyperlink>
    </w:p>
    <w:bookmarkEnd w:id="58"/>
    <w:bookmarkStart w:id="60" w:name="ref-gershuny2000"/>
    <w:p>
      <w:pPr>
        <w:pStyle w:val="Bibliography"/>
      </w:pPr>
      <w:r>
        <w:t xml:space="preserve">Gershuny, J. (2000).</w:t>
      </w:r>
      <w:r>
        <w:t xml:space="preserve"> </w:t>
      </w:r>
      <w:r>
        <w:rPr>
          <w:i/>
          <w:iCs/>
        </w:rPr>
        <w:t xml:space="preserve">Changing times:</w:t>
      </w:r>
      <w:r>
        <w:rPr>
          <w:i/>
          <w:iCs/>
        </w:rPr>
        <w:t xml:space="preserve"> </w:t>
      </w:r>
      <w:r>
        <w:rPr>
          <w:i/>
          <w:iCs/>
        </w:rPr>
        <w:t xml:space="preserve">W</w:t>
      </w:r>
      <w:r>
        <w:rPr>
          <w:i/>
          <w:iCs/>
        </w:rPr>
        <w:t xml:space="preserve">ork and leisure in postindustrial society</w:t>
      </w:r>
      <w:r>
        <w:t xml:space="preserve">. Oxford University Press.</w:t>
      </w:r>
      <w:r>
        <w:t xml:space="preserve"> </w:t>
      </w:r>
      <w:hyperlink r:id="rId59">
        <w:r>
          <w:rPr>
            <w:rStyle w:val="Hyperlink"/>
          </w:rPr>
          <w:t xml:space="preserve">https://doi.org/10.1093/oso/9780198287872.001.0001</w:t>
        </w:r>
      </w:hyperlink>
    </w:p>
    <w:bookmarkEnd w:id="60"/>
    <w:bookmarkStart w:id="62" w:name="ref-goldin2006"/>
    <w:p>
      <w:pPr>
        <w:pStyle w:val="Bibliography"/>
      </w:pPr>
      <w:r>
        <w:t xml:space="preserve">Goldin, C. (2006). The quiet revolution that transformed women’s employment, education, and family.</w:t>
      </w:r>
      <w:r>
        <w:t xml:space="preserve"> </w:t>
      </w:r>
      <w:r>
        <w:rPr>
          <w:i/>
          <w:iCs/>
        </w:rPr>
        <w:t xml:space="preserve">American Economic Review</w:t>
      </w:r>
      <w:r>
        <w:t xml:space="preserve">,</w:t>
      </w:r>
      <w:r>
        <w:t xml:space="preserve"> </w:t>
      </w:r>
      <w:r>
        <w:rPr>
          <w:i/>
          <w:iCs/>
        </w:rPr>
        <w:t xml:space="preserve">96</w:t>
      </w:r>
      <w:r>
        <w:t xml:space="preserve">(2), 1–21.</w:t>
      </w:r>
      <w:r>
        <w:t xml:space="preserve"> </w:t>
      </w:r>
      <w:hyperlink r:id="rId61">
        <w:r>
          <w:rPr>
            <w:rStyle w:val="Hyperlink"/>
          </w:rPr>
          <w:t xml:space="preserve">https://doi.org/10.1257/000282806777212350</w:t>
        </w:r>
      </w:hyperlink>
    </w:p>
    <w:bookmarkEnd w:id="62"/>
    <w:bookmarkStart w:id="64" w:name="ref-hirway2015"/>
    <w:p>
      <w:pPr>
        <w:pStyle w:val="Bibliography"/>
      </w:pPr>
      <w:r>
        <w:t xml:space="preserve">Hirway, I. (2015). Unpaid work and the economy:</w:t>
      </w:r>
      <w:r>
        <w:t xml:space="preserve"> </w:t>
      </w:r>
      <w:r>
        <w:t xml:space="preserve">L</w:t>
      </w:r>
      <w:r>
        <w:t xml:space="preserve">inkages and their implications.</w:t>
      </w:r>
      <w:r>
        <w:t xml:space="preserve"> </w:t>
      </w:r>
      <w:r>
        <w:rPr>
          <w:i/>
          <w:iCs/>
        </w:rPr>
        <w:t xml:space="preserve">The Indian Journal of Labour Economics</w:t>
      </w:r>
      <w:r>
        <w:t xml:space="preserve">,</w:t>
      </w:r>
      <w:r>
        <w:t xml:space="preserve"> </w:t>
      </w:r>
      <w:r>
        <w:rPr>
          <w:i/>
          <w:iCs/>
        </w:rPr>
        <w:t xml:space="preserve">58</w:t>
      </w:r>
      <w:r>
        <w:t xml:space="preserve">(1), 1–21.</w:t>
      </w:r>
      <w:r>
        <w:t xml:space="preserve"> </w:t>
      </w:r>
      <w:hyperlink r:id="rId63">
        <w:r>
          <w:rPr>
            <w:rStyle w:val="Hyperlink"/>
          </w:rPr>
          <w:t xml:space="preserve">https://doi.org/10.1007/s41027-015-0010-3</w:t>
        </w:r>
      </w:hyperlink>
    </w:p>
    <w:bookmarkEnd w:id="64"/>
    <w:bookmarkStart w:id="66" w:name="ref-hirway2011"/>
    <w:p>
      <w:pPr>
        <w:pStyle w:val="Bibliography"/>
      </w:pPr>
      <w:r>
        <w:t xml:space="preserve">Hirway, I., and Jose, S. (2011). Understanding women’s work using time-use statistics:</w:t>
      </w:r>
      <w:r>
        <w:t xml:space="preserve"> </w:t>
      </w:r>
      <w:r>
        <w:t xml:space="preserve">T</w:t>
      </w:r>
      <w:r>
        <w:t xml:space="preserve">he case of</w:t>
      </w:r>
      <w:r>
        <w:t xml:space="preserve"> </w:t>
      </w:r>
      <w:r>
        <w:t xml:space="preserve">India</w:t>
      </w:r>
      <w:r>
        <w:t xml:space="preserve">.</w:t>
      </w:r>
      <w:r>
        <w:t xml:space="preserve"> </w:t>
      </w:r>
      <w:r>
        <w:rPr>
          <w:i/>
          <w:iCs/>
        </w:rPr>
        <w:t xml:space="preserve">Feminist Economics</w:t>
      </w:r>
      <w:r>
        <w:t xml:space="preserve">,</w:t>
      </w:r>
      <w:r>
        <w:t xml:space="preserve"> </w:t>
      </w:r>
      <w:r>
        <w:rPr>
          <w:i/>
          <w:iCs/>
        </w:rPr>
        <w:t xml:space="preserve">17</w:t>
      </w:r>
      <w:r>
        <w:t xml:space="preserve">(4), 67–92.</w:t>
      </w:r>
      <w:r>
        <w:t xml:space="preserve"> </w:t>
      </w:r>
      <w:hyperlink r:id="rId65">
        <w:r>
          <w:rPr>
            <w:rStyle w:val="Hyperlink"/>
          </w:rPr>
          <w:t xml:space="preserve">https://doi.org/10.1080/13545701.2011.622289</w:t>
        </w:r>
      </w:hyperlink>
    </w:p>
    <w:bookmarkEnd w:id="66"/>
    <w:bookmarkStart w:id="68" w:name="ref-jayachandran2021"/>
    <w:p>
      <w:pPr>
        <w:pStyle w:val="Bibliography"/>
      </w:pPr>
      <w:r>
        <w:t xml:space="preserve">Jayachandran, S. (2021). Social norms as a barrier to women’s employment in developing countries.</w:t>
      </w:r>
      <w:r>
        <w:t xml:space="preserve"> </w:t>
      </w:r>
      <w:r>
        <w:rPr>
          <w:i/>
          <w:iCs/>
        </w:rPr>
        <w:t xml:space="preserve">IMF Economic Review</w:t>
      </w:r>
      <w:r>
        <w:t xml:space="preserve">,</w:t>
      </w:r>
      <w:r>
        <w:t xml:space="preserve"> </w:t>
      </w:r>
      <w:r>
        <w:rPr>
          <w:i/>
          <w:iCs/>
        </w:rPr>
        <w:t xml:space="preserve">69</w:t>
      </w:r>
      <w:r>
        <w:t xml:space="preserve">(3), 576–595.</w:t>
      </w:r>
      <w:r>
        <w:t xml:space="preserve"> </w:t>
      </w:r>
      <w:hyperlink r:id="rId67">
        <w:r>
          <w:rPr>
            <w:rStyle w:val="Hyperlink"/>
          </w:rPr>
          <w:t xml:space="preserve">https://doi.org/10.1057/s41308-021-00140-w</w:t>
        </w:r>
      </w:hyperlink>
    </w:p>
    <w:bookmarkEnd w:id="68"/>
    <w:bookmarkStart w:id="70" w:name="ref-kan2011"/>
    <w:p>
      <w:pPr>
        <w:pStyle w:val="Bibliography"/>
      </w:pPr>
      <w:r>
        <w:t xml:space="preserve">Kan, M. Y., Sullivan, O., and Gershuny, J. (2011). Gender convergence in domestic work:</w:t>
      </w:r>
      <w:r>
        <w:t xml:space="preserve"> </w:t>
      </w:r>
      <w:r>
        <w:t xml:space="preserve">D</w:t>
      </w:r>
      <w:r>
        <w:t xml:space="preserve">iscerning the effects of interactional and institutional barriers from large-scale data.</w:t>
      </w:r>
      <w:r>
        <w:t xml:space="preserve"> </w:t>
      </w:r>
      <w:r>
        <w:rPr>
          <w:i/>
          <w:iCs/>
        </w:rPr>
        <w:t xml:space="preserve">Sociology</w:t>
      </w:r>
      <w:r>
        <w:t xml:space="preserve">,</w:t>
      </w:r>
      <w:r>
        <w:t xml:space="preserve"> </w:t>
      </w:r>
      <w:r>
        <w:rPr>
          <w:i/>
          <w:iCs/>
        </w:rPr>
        <w:t xml:space="preserve">45</w:t>
      </w:r>
      <w:r>
        <w:t xml:space="preserve">(2), 234–251.</w:t>
      </w:r>
      <w:r>
        <w:t xml:space="preserve"> </w:t>
      </w:r>
      <w:hyperlink r:id="rId69">
        <w:r>
          <w:rPr>
            <w:rStyle w:val="Hyperlink"/>
          </w:rPr>
          <w:t xml:space="preserve">https://doi.org/10.1177/0038038510394014</w:t>
        </w:r>
      </w:hyperlink>
    </w:p>
    <w:bookmarkEnd w:id="70"/>
    <w:bookmarkStart w:id="72" w:name="ref-klasen2015"/>
    <w:p>
      <w:pPr>
        <w:pStyle w:val="Bibliography"/>
      </w:pPr>
      <w:r>
        <w:t xml:space="preserve">Klasen, S., and Pieters, J. (2015). What explains the stagnation of female labor force participation in urban</w:t>
      </w:r>
      <w:r>
        <w:t xml:space="preserve"> </w:t>
      </w:r>
      <w:r>
        <w:t xml:space="preserve">India</w:t>
      </w:r>
      <w:r>
        <w:t xml:space="preserve">?</w:t>
      </w:r>
      <w:r>
        <w:t xml:space="preserve"> </w:t>
      </w:r>
      <w:r>
        <w:rPr>
          <w:i/>
          <w:iCs/>
        </w:rPr>
        <w:t xml:space="preserve">The World Bank Economic Review</w:t>
      </w:r>
      <w:r>
        <w:t xml:space="preserve">,</w:t>
      </w:r>
      <w:r>
        <w:t xml:space="preserve"> </w:t>
      </w:r>
      <w:r>
        <w:rPr>
          <w:i/>
          <w:iCs/>
        </w:rPr>
        <w:t xml:space="preserve">29</w:t>
      </w:r>
      <w:r>
        <w:t xml:space="preserve">(3), 449–478.</w:t>
      </w:r>
      <w:r>
        <w:t xml:space="preserve"> </w:t>
      </w:r>
      <w:hyperlink r:id="rId71">
        <w:r>
          <w:rPr>
            <w:rStyle w:val="Hyperlink"/>
          </w:rPr>
          <w:t xml:space="preserve">https://doi.org/10.1093/wber/lhv003</w:t>
        </w:r>
      </w:hyperlink>
    </w:p>
    <w:bookmarkEnd w:id="72"/>
    <w:bookmarkStart w:id="74" w:name="ref-krishnamurthy2025"/>
    <w:p>
      <w:pPr>
        <w:pStyle w:val="Bibliography"/>
      </w:pPr>
      <w:r>
        <w:t xml:space="preserve">Krishnamurthy, P. (2025).</w:t>
      </w:r>
      <w:r>
        <w:t xml:space="preserve"> </w:t>
      </w:r>
      <w:r>
        <w:rPr>
          <w:i/>
          <w:iCs/>
        </w:rPr>
        <w:t xml:space="preserve">Gender dynamics in time use:</w:t>
      </w:r>
      <w:r>
        <w:rPr>
          <w:i/>
          <w:iCs/>
        </w:rPr>
        <w:t xml:space="preserve"> </w:t>
      </w:r>
      <w:r>
        <w:rPr>
          <w:i/>
          <w:iCs/>
        </w:rPr>
        <w:t xml:space="preserve">A</w:t>
      </w:r>
      <w:r>
        <w:rPr>
          <w:i/>
          <w:iCs/>
        </w:rPr>
        <w:t xml:space="preserve"> </w:t>
      </w:r>
      <w:r>
        <w:rPr>
          <w:i/>
          <w:iCs/>
        </w:rPr>
        <w:t xml:space="preserve">comparative analysis of</w:t>
      </w:r>
      <w:r>
        <w:rPr>
          <w:i/>
          <w:iCs/>
        </w:rPr>
        <w:t xml:space="preserve"> </w:t>
      </w:r>
      <w:r>
        <w:rPr>
          <w:i/>
          <w:iCs/>
        </w:rPr>
        <w:t xml:space="preserve">India</w:t>
      </w:r>
      <w:r>
        <w:rPr>
          <w:i/>
          <w:iCs/>
        </w:rPr>
        <w:t xml:space="preserve">’s 2019 and 2024 surveys (national-level trends)</w:t>
      </w:r>
      <w:r>
        <w:t xml:space="preserve">. Zenodo.</w:t>
      </w:r>
      <w:r>
        <w:t xml:space="preserve"> </w:t>
      </w:r>
      <w:hyperlink r:id="rId73">
        <w:r>
          <w:rPr>
            <w:rStyle w:val="Hyperlink"/>
          </w:rPr>
          <w:t xml:space="preserve">https://doi.org/10.5281/zenodo.15826134</w:t>
        </w:r>
      </w:hyperlink>
    </w:p>
    <w:bookmarkEnd w:id="74"/>
    <w:bookmarkStart w:id="76" w:name="ref-kumar2026"/>
    <w:p>
      <w:pPr>
        <w:pStyle w:val="Bibliography"/>
      </w:pPr>
      <w:r>
        <w:t xml:space="preserve">Kumar, A., Bathla, S., and Singh, D. K. (2026).</w:t>
      </w:r>
      <w:r>
        <w:t xml:space="preserve"> </w:t>
      </w:r>
      <w:r>
        <w:rPr>
          <w:i/>
          <w:iCs/>
        </w:rPr>
        <w:t xml:space="preserve">Changes in work participation across genders in rural</w:t>
      </w:r>
      <w:r>
        <w:rPr>
          <w:i/>
          <w:iCs/>
        </w:rPr>
        <w:t xml:space="preserve"> </w:t>
      </w:r>
      <w:r>
        <w:rPr>
          <w:i/>
          <w:iCs/>
        </w:rPr>
        <w:t xml:space="preserve">India</w:t>
      </w:r>
      <w:r>
        <w:rPr>
          <w:i/>
          <w:iCs/>
        </w:rPr>
        <w:t xml:space="preserve">:</w:t>
      </w:r>
      <w:r>
        <w:rPr>
          <w:i/>
          <w:iCs/>
        </w:rPr>
        <w:t xml:space="preserve"> </w:t>
      </w:r>
      <w:r>
        <w:rPr>
          <w:i/>
          <w:iCs/>
        </w:rPr>
        <w:t xml:space="preserve">E</w:t>
      </w:r>
      <w:r>
        <w:rPr>
          <w:i/>
          <w:iCs/>
        </w:rPr>
        <w:t xml:space="preserve">vidence from 2019 and 2024 time use surveys</w:t>
      </w:r>
      <w:r>
        <w:t xml:space="preserve"> </w:t>
      </w:r>
      <w:r>
        <w:t xml:space="preserve">(IFPRI Discussion Paper No. 2404). International Food Policy Research Institute.</w:t>
      </w:r>
      <w:r>
        <w:t xml:space="preserve"> </w:t>
      </w:r>
      <w:hyperlink r:id="rId75">
        <w:r>
          <w:rPr>
            <w:rStyle w:val="Hyperlink"/>
          </w:rPr>
          <w:t xml:space="preserve">https://hdl.handle.net/10568/181545</w:t>
        </w:r>
      </w:hyperlink>
    </w:p>
    <w:bookmarkEnd w:id="76"/>
    <w:bookmarkStart w:id="78" w:name="ref-mehrotra2017"/>
    <w:p>
      <w:pPr>
        <w:pStyle w:val="Bibliography"/>
      </w:pPr>
      <w:r>
        <w:t xml:space="preserve">Mehrotra, S., and Parida, J. K. (2017). Why is the labour force participation of women declining in</w:t>
      </w:r>
      <w:r>
        <w:t xml:space="preserve"> </w:t>
      </w:r>
      <w:r>
        <w:t xml:space="preserve">India</w:t>
      </w:r>
      <w:r>
        <w:t xml:space="preserve">?</w:t>
      </w:r>
      <w:r>
        <w:t xml:space="preserve"> </w:t>
      </w:r>
      <w:r>
        <w:rPr>
          <w:i/>
          <w:iCs/>
        </w:rPr>
        <w:t xml:space="preserve">World Development</w:t>
      </w:r>
      <w:r>
        <w:t xml:space="preserve">,</w:t>
      </w:r>
      <w:r>
        <w:t xml:space="preserve"> </w:t>
      </w:r>
      <w:r>
        <w:rPr>
          <w:i/>
          <w:iCs/>
        </w:rPr>
        <w:t xml:space="preserve">98</w:t>
      </w:r>
      <w:r>
        <w:t xml:space="preserve">, 360–380.</w:t>
      </w:r>
      <w:r>
        <w:t xml:space="preserve"> </w:t>
      </w:r>
      <w:hyperlink r:id="rId77">
        <w:r>
          <w:rPr>
            <w:rStyle w:val="Hyperlink"/>
          </w:rPr>
          <w:t xml:space="preserve">https://doi.org/10.1016/j.worlddev.2017.05.003</w:t>
        </w:r>
      </w:hyperlink>
    </w:p>
    <w:bookmarkEnd w:id="78"/>
    <w:bookmarkStart w:id="80" w:name="ref-nso2024plfs"/>
    <w:p>
      <w:pPr>
        <w:pStyle w:val="Bibliography"/>
      </w:pPr>
      <w:r>
        <w:t xml:space="preserve">National Sample Survey Office. (2024).</w:t>
      </w:r>
      <w:r>
        <w:t xml:space="preserve"> </w:t>
      </w:r>
      <w:r>
        <w:rPr>
          <w:i/>
          <w:iCs/>
        </w:rPr>
        <w:t xml:space="preserve">Annual report, periodic labour force survey (</w:t>
      </w:r>
      <w:r>
        <w:rPr>
          <w:i/>
          <w:iCs/>
        </w:rPr>
        <w:t xml:space="preserve">PLFS</w:t>
      </w:r>
      <w:r>
        <w:rPr>
          <w:i/>
          <w:iCs/>
        </w:rPr>
        <w:t xml:space="preserve">),</w:t>
      </w:r>
      <w:r>
        <w:rPr>
          <w:i/>
          <w:iCs/>
        </w:rPr>
        <w:t xml:space="preserve"> </w:t>
      </w:r>
      <w:r>
        <w:rPr>
          <w:i/>
          <w:iCs/>
        </w:rPr>
        <w:t xml:space="preserve">July</w:t>
      </w:r>
      <w:r>
        <w:rPr>
          <w:i/>
          <w:iCs/>
        </w:rPr>
        <w:t xml:space="preserve"> </w:t>
      </w:r>
      <w:r>
        <w:rPr>
          <w:i/>
          <w:iCs/>
        </w:rPr>
        <w:t xml:space="preserve">2023–</w:t>
      </w:r>
      <w:r>
        <w:rPr>
          <w:i/>
          <w:iCs/>
        </w:rPr>
        <w:t xml:space="preserve">June</w:t>
      </w:r>
      <w:r>
        <w:rPr>
          <w:i/>
          <w:iCs/>
        </w:rPr>
        <w:t xml:space="preserve"> </w:t>
      </w:r>
      <w:r>
        <w:rPr>
          <w:i/>
          <w:iCs/>
        </w:rPr>
        <w:t xml:space="preserve">2024:</w:t>
      </w:r>
      <w:r>
        <w:rPr>
          <w:i/>
          <w:iCs/>
        </w:rPr>
        <w:t xml:space="preserve"> </w:t>
      </w:r>
      <w:r>
        <w:rPr>
          <w:i/>
          <w:iCs/>
        </w:rPr>
        <w:t xml:space="preserve">P</w:t>
      </w:r>
      <w:r>
        <w:rPr>
          <w:i/>
          <w:iCs/>
        </w:rPr>
        <w:t xml:space="preserve">ress note</w:t>
      </w:r>
      <w:r>
        <w:t xml:space="preserve">. Ministry of Statistics and Programme Implementation, Government of India, 23 September 2024.</w:t>
      </w:r>
      <w:r>
        <w:t xml:space="preserve"> </w:t>
      </w:r>
      <w:hyperlink r:id="rId79">
        <w:r>
          <w:rPr>
            <w:rStyle w:val="Hyperlink"/>
          </w:rPr>
          <w:t xml:space="preserve">https://mospi.gov.in/sites/default/files/press_release/Press_note_AR_PLFS_2023_24_22092024.pdf</w:t>
        </w:r>
      </w:hyperlink>
    </w:p>
    <w:bookmarkEnd w:id="80"/>
    <w:bookmarkStart w:id="82" w:name="ref-tus2019data"/>
    <w:p>
      <w:pPr>
        <w:pStyle w:val="Bibliography"/>
      </w:pPr>
      <w:r>
        <w:t xml:space="preserve">National Statistical Office. (2020a).</w:t>
      </w:r>
      <w:r>
        <w:t xml:space="preserve"> </w:t>
      </w:r>
      <w:r>
        <w:rPr>
          <w:i/>
          <w:iCs/>
        </w:rPr>
        <w:t xml:space="preserve">India</w:t>
      </w:r>
      <w:r>
        <w:rPr>
          <w:i/>
          <w:iCs/>
        </w:rPr>
        <w:t xml:space="preserve"> </w:t>
      </w:r>
      <w:r>
        <w:rPr>
          <w:i/>
          <w:iCs/>
        </w:rPr>
        <w:t xml:space="preserve">–</w:t>
      </w:r>
      <w:r>
        <w:rPr>
          <w:i/>
          <w:iCs/>
        </w:rPr>
        <w:t xml:space="preserve"> </w:t>
      </w:r>
      <w:r>
        <w:rPr>
          <w:i/>
          <w:iCs/>
        </w:rPr>
        <w:t xml:space="preserve">Time Use Survey (TUS)</w:t>
      </w:r>
      <w:r>
        <w:rPr>
          <w:i/>
          <w:iCs/>
        </w:rPr>
        <w:t xml:space="preserve">,</w:t>
      </w:r>
      <w:r>
        <w:rPr>
          <w:i/>
          <w:iCs/>
        </w:rPr>
        <w:t xml:space="preserve"> </w:t>
      </w:r>
      <w:r>
        <w:rPr>
          <w:i/>
          <w:iCs/>
        </w:rPr>
        <w:t xml:space="preserve">January</w:t>
      </w:r>
      <w:r>
        <w:rPr>
          <w:i/>
          <w:iCs/>
        </w:rPr>
        <w:t xml:space="preserve"> </w:t>
      </w:r>
      <w:r>
        <w:rPr>
          <w:i/>
          <w:iCs/>
        </w:rPr>
        <w:t xml:space="preserve">2019–</w:t>
      </w:r>
      <w:r>
        <w:rPr>
          <w:i/>
          <w:iCs/>
        </w:rPr>
        <w:t xml:space="preserve">December</w:t>
      </w:r>
      <w:r>
        <w:rPr>
          <w:i/>
          <w:iCs/>
        </w:rPr>
        <w:t xml:space="preserve"> </w:t>
      </w:r>
      <w:r>
        <w:rPr>
          <w:i/>
          <w:iCs/>
        </w:rPr>
        <w:t xml:space="preserve">2019 [unit-level data]</w:t>
      </w:r>
      <w:r>
        <w:t xml:space="preserve">. Microdata catalog 223, Ministry of Statistics and Programme Implementation.</w:t>
      </w:r>
      <w:r>
        <w:t xml:space="preserve"> </w:t>
      </w:r>
      <w:hyperlink r:id="rId81">
        <w:r>
          <w:rPr>
            <w:rStyle w:val="Hyperlink"/>
          </w:rPr>
          <w:t xml:space="preserve">https://microdata.gov.in/NADA/index.php/catalog/223</w:t>
        </w:r>
      </w:hyperlink>
    </w:p>
    <w:bookmarkEnd w:id="82"/>
    <w:bookmarkStart w:id="84" w:name="ref-nso2020tus"/>
    <w:p>
      <w:pPr>
        <w:pStyle w:val="Bibliography"/>
      </w:pPr>
      <w:r>
        <w:t xml:space="preserve">National Statistical Office. (2020b).</w:t>
      </w:r>
      <w:r>
        <w:t xml:space="preserve"> </w:t>
      </w:r>
      <w:r>
        <w:rPr>
          <w:i/>
          <w:iCs/>
        </w:rPr>
        <w:t xml:space="preserve">Time use in</w:t>
      </w:r>
      <w:r>
        <w:rPr>
          <w:i/>
          <w:iCs/>
        </w:rPr>
        <w:t xml:space="preserve"> </w:t>
      </w:r>
      <w:r>
        <w:rPr>
          <w:i/>
          <w:iCs/>
        </w:rPr>
        <w:t xml:space="preserve">India</w:t>
      </w:r>
      <w:r>
        <w:rPr>
          <w:i/>
          <w:iCs/>
        </w:rPr>
        <w:t xml:space="preserve">-2019</w:t>
      </w:r>
      <w:r>
        <w:t xml:space="preserve">.</w:t>
      </w:r>
      <w:r>
        <w:t xml:space="preserve"> </w:t>
      </w:r>
      <w:r>
        <w:t xml:space="preserve">Ministry of Statistics and Programme Implementation, Government of India</w:t>
      </w:r>
      <w:r>
        <w:t xml:space="preserve">.</w:t>
      </w:r>
      <w:r>
        <w:t xml:space="preserve"> </w:t>
      </w:r>
      <w:hyperlink r:id="rId83">
        <w:r>
          <w:rPr>
            <w:rStyle w:val="Hyperlink"/>
          </w:rPr>
          <w:t xml:space="preserve">https://mospi.gov.in/sites/default/files/publication_reports/Report_TUS_2019_0.pdf</w:t>
        </w:r>
      </w:hyperlink>
    </w:p>
    <w:bookmarkEnd w:id="84"/>
    <w:bookmarkStart w:id="86" w:name="ref-tus2024data"/>
    <w:p>
      <w:pPr>
        <w:pStyle w:val="Bibliography"/>
      </w:pPr>
      <w:r>
        <w:t xml:space="preserve">National Statistics Office. (2025a).</w:t>
      </w:r>
      <w:r>
        <w:t xml:space="preserve"> </w:t>
      </w:r>
      <w:r>
        <w:rPr>
          <w:i/>
          <w:iCs/>
        </w:rPr>
        <w:t xml:space="preserve">India</w:t>
      </w:r>
      <w:r>
        <w:rPr>
          <w:i/>
          <w:iCs/>
        </w:rPr>
        <w:t xml:space="preserve"> </w:t>
      </w:r>
      <w:r>
        <w:rPr>
          <w:i/>
          <w:iCs/>
        </w:rPr>
        <w:t xml:space="preserve">–</w:t>
      </w:r>
      <w:r>
        <w:rPr>
          <w:i/>
          <w:iCs/>
        </w:rPr>
        <w:t xml:space="preserve"> </w:t>
      </w:r>
      <w:r>
        <w:rPr>
          <w:i/>
          <w:iCs/>
        </w:rPr>
        <w:t xml:space="preserve">Time Use Survey (TUS)</w:t>
      </w:r>
      <w:r>
        <w:rPr>
          <w:i/>
          <w:iCs/>
        </w:rPr>
        <w:t xml:space="preserve">,</w:t>
      </w:r>
      <w:r>
        <w:rPr>
          <w:i/>
          <w:iCs/>
        </w:rPr>
        <w:t xml:space="preserve"> </w:t>
      </w:r>
      <w:r>
        <w:rPr>
          <w:i/>
          <w:iCs/>
        </w:rPr>
        <w:t xml:space="preserve">January</w:t>
      </w:r>
      <w:r>
        <w:rPr>
          <w:i/>
          <w:iCs/>
        </w:rPr>
        <w:t xml:space="preserve"> </w:t>
      </w:r>
      <w:r>
        <w:rPr>
          <w:i/>
          <w:iCs/>
        </w:rPr>
        <w:t xml:space="preserve">2024–</w:t>
      </w:r>
      <w:r>
        <w:rPr>
          <w:i/>
          <w:iCs/>
        </w:rPr>
        <w:t xml:space="preserve">December</w:t>
      </w:r>
      <w:r>
        <w:rPr>
          <w:i/>
          <w:iCs/>
        </w:rPr>
        <w:t xml:space="preserve"> </w:t>
      </w:r>
      <w:r>
        <w:rPr>
          <w:i/>
          <w:iCs/>
        </w:rPr>
        <w:t xml:space="preserve">2024 [unit-level data]</w:t>
      </w:r>
      <w:r>
        <w:t xml:space="preserve">. Microdata catalog 236, Ministry of Statistics and Programme Implementation.</w:t>
      </w:r>
      <w:r>
        <w:t xml:space="preserve"> </w:t>
      </w:r>
      <w:hyperlink r:id="rId85">
        <w:r>
          <w:rPr>
            <w:rStyle w:val="Hyperlink"/>
          </w:rPr>
          <w:t xml:space="preserve">https://microdata.gov.in/NADA/index.php/catalog/236</w:t>
        </w:r>
      </w:hyperlink>
    </w:p>
    <w:bookmarkEnd w:id="86"/>
    <w:bookmarkStart w:id="88" w:name="ref-nso2025tus"/>
    <w:p>
      <w:pPr>
        <w:pStyle w:val="Bibliography"/>
      </w:pPr>
      <w:r>
        <w:t xml:space="preserve">National Statistics Office. (2025b).</w:t>
      </w:r>
      <w:r>
        <w:t xml:space="preserve"> </w:t>
      </w:r>
      <w:r>
        <w:rPr>
          <w:i/>
          <w:iCs/>
        </w:rPr>
        <w:t xml:space="preserve">Time use survey 2024:</w:t>
      </w:r>
      <w:r>
        <w:rPr>
          <w:i/>
          <w:iCs/>
        </w:rPr>
        <w:t xml:space="preserve"> </w:t>
      </w:r>
      <w:r>
        <w:rPr>
          <w:i/>
          <w:iCs/>
        </w:rPr>
        <w:t xml:space="preserve">P</w:t>
      </w:r>
      <w:r>
        <w:rPr>
          <w:i/>
          <w:iCs/>
        </w:rPr>
        <w:t xml:space="preserve">ress note</w:t>
      </w:r>
      <w:r>
        <w:t xml:space="preserve">. Ministry of Statistics and Programme Implementation, Government of India, 25 February 2025.</w:t>
      </w:r>
      <w:r>
        <w:t xml:space="preserve"> </w:t>
      </w:r>
      <w:hyperlink r:id="rId87">
        <w:r>
          <w:rPr>
            <w:rStyle w:val="Hyperlink"/>
          </w:rPr>
          <w:t xml:space="preserve">https://www.mospi.gov.in/sites/default/files/press_release/PR_TUS_25022025.pdf</w:t>
        </w:r>
      </w:hyperlink>
    </w:p>
    <w:bookmarkEnd w:id="88"/>
    <w:bookmarkStart w:id="90" w:name="ref-pib2024"/>
    <w:p>
      <w:pPr>
        <w:pStyle w:val="Bibliography"/>
      </w:pPr>
      <w:r>
        <w:t xml:space="preserve">Press Information Bureau. (2024).</w:t>
      </w:r>
      <w:r>
        <w:t xml:space="preserve"> </w:t>
      </w:r>
      <w:r>
        <w:rPr>
          <w:i/>
          <w:iCs/>
        </w:rPr>
        <w:t xml:space="preserve">Significant increase in women participation in workforce</w:t>
      </w:r>
      <w:r>
        <w:t xml:space="preserve">. Ministry of Labour and Employment, Government of India, 28 November 2024.</w:t>
      </w:r>
      <w:r>
        <w:t xml:space="preserve"> </w:t>
      </w:r>
      <w:hyperlink r:id="rId89">
        <w:r>
          <w:rPr>
            <w:rStyle w:val="Hyperlink"/>
          </w:rPr>
          <w:t xml:space="preserve">https://www.pib.gov.in/PressReleasePage.aspx?PRID=2078530</w:t>
        </w:r>
      </w:hyperlink>
    </w:p>
    <w:bookmarkEnd w:id="90"/>
    <w:bookmarkStart w:id="92" w:name="ref-sarkar2019"/>
    <w:p>
      <w:pPr>
        <w:pStyle w:val="Bibliography"/>
      </w:pPr>
      <w:r>
        <w:t xml:space="preserve">Sarkar, S., Sahoo, S., and Klasen, S. (2019). Employment transitions of women in</w:t>
      </w:r>
      <w:r>
        <w:t xml:space="preserve"> </w:t>
      </w:r>
      <w:r>
        <w:t xml:space="preserve">India</w:t>
      </w:r>
      <w:r>
        <w:t xml:space="preserve">:</w:t>
      </w:r>
      <w:r>
        <w:t xml:space="preserve"> </w:t>
      </w:r>
      <w:r>
        <w:t xml:space="preserve">A</w:t>
      </w:r>
      <w:r>
        <w:t xml:space="preserve"> </w:t>
      </w:r>
      <w:r>
        <w:t xml:space="preserve">panel analysis.</w:t>
      </w:r>
      <w:r>
        <w:t xml:space="preserve"> </w:t>
      </w:r>
      <w:r>
        <w:rPr>
          <w:i/>
          <w:iCs/>
        </w:rPr>
        <w:t xml:space="preserve">World Development</w:t>
      </w:r>
      <w:r>
        <w:t xml:space="preserve">,</w:t>
      </w:r>
      <w:r>
        <w:t xml:space="preserve"> </w:t>
      </w:r>
      <w:r>
        <w:rPr>
          <w:i/>
          <w:iCs/>
        </w:rPr>
        <w:t xml:space="preserve">115</w:t>
      </w:r>
      <w:r>
        <w:t xml:space="preserve">, 291–309.</w:t>
      </w:r>
      <w:r>
        <w:t xml:space="preserve"> </w:t>
      </w:r>
      <w:hyperlink r:id="rId91">
        <w:r>
          <w:rPr>
            <w:rStyle w:val="Hyperlink"/>
          </w:rPr>
          <w:t xml:space="preserve">https://doi.org/10.1016/j.worlddev.2018.12.003</w:t>
        </w:r>
      </w:hyperlink>
    </w:p>
    <w:bookmarkEnd w:id="92"/>
    <w:bookmarkStart w:id="94" w:name="ref-sayer2005"/>
    <w:p>
      <w:pPr>
        <w:pStyle w:val="Bibliography"/>
      </w:pPr>
      <w:r>
        <w:t xml:space="preserve">Sayer, L. C. (2005). Gender, time and inequality:</w:t>
      </w:r>
      <w:r>
        <w:t xml:space="preserve"> </w:t>
      </w:r>
      <w:r>
        <w:t xml:space="preserve">T</w:t>
      </w:r>
      <w:r>
        <w:t xml:space="preserve">rends in women’s and men’s paid work, unpaid work and free time.</w:t>
      </w:r>
      <w:r>
        <w:t xml:space="preserve"> </w:t>
      </w:r>
      <w:r>
        <w:rPr>
          <w:i/>
          <w:iCs/>
        </w:rPr>
        <w:t xml:space="preserve">Social Forces</w:t>
      </w:r>
      <w:r>
        <w:t xml:space="preserve">,</w:t>
      </w:r>
      <w:r>
        <w:t xml:space="preserve"> </w:t>
      </w:r>
      <w:r>
        <w:rPr>
          <w:i/>
          <w:iCs/>
        </w:rPr>
        <w:t xml:space="preserve">84</w:t>
      </w:r>
      <w:r>
        <w:t xml:space="preserve">(1), 285–303.</w:t>
      </w:r>
      <w:r>
        <w:t xml:space="preserve"> </w:t>
      </w:r>
      <w:hyperlink r:id="rId93">
        <w:r>
          <w:rPr>
            <w:rStyle w:val="Hyperlink"/>
          </w:rPr>
          <w:t xml:space="preserve">https://doi.org/10.1353/sof.2005.0126</w:t>
        </w:r>
      </w:hyperlink>
    </w:p>
    <w:bookmarkEnd w:id="94"/>
    <w:bookmarkStart w:id="96" w:name="ref-srivastava2020"/>
    <w:p>
      <w:pPr>
        <w:pStyle w:val="Bibliography"/>
      </w:pPr>
      <w:r>
        <w:t xml:space="preserve">Srivastava, A. (2020). Time use and household division of labor in</w:t>
      </w:r>
      <w:r>
        <w:t xml:space="preserve"> </w:t>
      </w:r>
      <w:r>
        <w:t xml:space="preserve">India</w:t>
      </w:r>
      <w:r>
        <w:t xml:space="preserve">—within-gender dynamics.</w:t>
      </w:r>
      <w:r>
        <w:t xml:space="preserve"> </w:t>
      </w:r>
      <w:r>
        <w:rPr>
          <w:i/>
          <w:iCs/>
        </w:rPr>
        <w:t xml:space="preserve">Population and Development Review</w:t>
      </w:r>
      <w:r>
        <w:t xml:space="preserve">,</w:t>
      </w:r>
      <w:r>
        <w:t xml:space="preserve"> </w:t>
      </w:r>
      <w:r>
        <w:rPr>
          <w:i/>
          <w:iCs/>
        </w:rPr>
        <w:t xml:space="preserve">46</w:t>
      </w:r>
      <w:r>
        <w:t xml:space="preserve">(2), 249–285.</w:t>
      </w:r>
      <w:r>
        <w:t xml:space="preserve"> </w:t>
      </w:r>
      <w:hyperlink r:id="rId95">
        <w:r>
          <w:rPr>
            <w:rStyle w:val="Hyperlink"/>
          </w:rPr>
          <w:t xml:space="preserve">https://doi.org/10.1111/padr.12309</w:t>
        </w:r>
      </w:hyperlink>
    </w:p>
    <w:bookmarkEnd w:id="96"/>
    <w:bookmarkStart w:id="98" w:name="ref-vijayamba2024"/>
    <w:p>
      <w:pPr>
        <w:pStyle w:val="Bibliography"/>
      </w:pPr>
      <w:r>
        <w:t xml:space="preserve">Vijayamba, R., and Swaminathan, M. (2024). Women’s work in livestock raising:</w:t>
      </w:r>
      <w:r>
        <w:t xml:space="preserve"> </w:t>
      </w:r>
      <w:r>
        <w:t xml:space="preserve">E</w:t>
      </w:r>
      <w:r>
        <w:t xml:space="preserve">vidence from time use surveys in</w:t>
      </w:r>
      <w:r>
        <w:t xml:space="preserve"> </w:t>
      </w:r>
      <w:r>
        <w:t xml:space="preserve">India</w:t>
      </w:r>
      <w:r>
        <w:t xml:space="preserve">.</w:t>
      </w:r>
      <w:r>
        <w:t xml:space="preserve"> </w:t>
      </w:r>
      <w:r>
        <w:rPr>
          <w:i/>
          <w:iCs/>
        </w:rPr>
        <w:t xml:space="preserve">The Indian Journal of Labour Economics</w:t>
      </w:r>
      <w:r>
        <w:t xml:space="preserve">,</w:t>
      </w:r>
      <w:r>
        <w:t xml:space="preserve"> </w:t>
      </w:r>
      <w:r>
        <w:rPr>
          <w:i/>
          <w:iCs/>
        </w:rPr>
        <w:t xml:space="preserve">67</w:t>
      </w:r>
      <w:r>
        <w:t xml:space="preserve">(3), 709–729.</w:t>
      </w:r>
      <w:r>
        <w:t xml:space="preserve"> </w:t>
      </w:r>
      <w:hyperlink r:id="rId97">
        <w:r>
          <w:rPr>
            <w:rStyle w:val="Hyperlink"/>
          </w:rPr>
          <w:t xml:space="preserve">https://doi.org/10.1007/s41027-024-00506-4</w:t>
        </w:r>
      </w:hyperlink>
    </w:p>
    <w:bookmarkEnd w:id="98"/>
    <w:bookmarkEnd w:id="99"/>
    <w:bookmarkEnd w:id="100"/>
    <w:bookmarkStart w:id="101" w:name="appendix"/>
    <w:p>
      <w:pPr>
        <w:pStyle w:val="Heading1"/>
      </w:pPr>
      <w:r>
        <w:t xml:space="preserve">Appendix</w:t>
      </w:r>
    </w:p>
    <w:p>
      <w:pPr>
        <w:pStyle w:val="TableCaption"/>
      </w:pPr>
      <w:r>
        <w:t xml:space="preserve">Table 8. Robustness: change in minutes per day, 2019 to 2024, in subsamples</w:t>
      </w:r>
    </w:p>
    <w:tbl>
      <w:tblPr>
        <w:tblStyle w:val="Table"/>
        <w:tblW w:type="pct" w:w="5000"/>
        <w:tblLayout w:type="fixed"/>
        <w:tblLook w:firstRow="1" w:lastRow="0" w:firstColumn="0" w:lastColumn="0" w:noHBand="0" w:noVBand="0" w:val="0020"/>
        <w:tblCaption w:val="Table 8. Robustness: change in minutes per day, 2019 to 2024, in subsamples"/>
      </w:tblPr>
      <w:tblGrid>
        <w:gridCol w:w="2860"/>
        <w:gridCol w:w="1320"/>
        <w:gridCol w:w="1320"/>
        <w:gridCol w:w="2420"/>
      </w:tblGrid>
      <w:tr>
        <w:trPr>
          <w:tblHeader w:val="on"/>
        </w:trPr>
        <w:tc>
          <w:tcPr/>
          <w:p>
            <w:pPr>
              <w:pStyle w:val="Compact"/>
              <w:jc w:val="left"/>
            </w:pPr>
            <w:r>
              <w:t xml:space="preserve">Activity</w:t>
            </w:r>
          </w:p>
        </w:tc>
        <w:tc>
          <w:tcPr/>
          <w:p>
            <w:pPr>
              <w:pStyle w:val="Compact"/>
              <w:jc w:val="left"/>
            </w:pPr>
            <w:r>
              <w:t xml:space="preserve">Women</w:t>
            </w:r>
          </w:p>
        </w:tc>
        <w:tc>
          <w:tcPr/>
          <w:p>
            <w:pPr>
              <w:pStyle w:val="Compact"/>
              <w:jc w:val="left"/>
            </w:pPr>
            <w:r>
              <w:t xml:space="preserve">Men</w:t>
            </w:r>
          </w:p>
        </w:tc>
        <w:tc>
          <w:tcPr/>
          <w:p>
            <w:pPr>
              <w:pStyle w:val="Compact"/>
              <w:jc w:val="left"/>
            </w:pPr>
            <w:r>
              <w:t xml:space="preserve">Gap (women minus men)</w:t>
            </w:r>
          </w:p>
        </w:tc>
      </w:tr>
      <w:tr>
        <w:tc>
          <w:tcPr/>
          <w:p>
            <w:pPr>
              <w:pStyle w:val="Compact"/>
              <w:jc w:val="left"/>
            </w:pPr>
            <w:r>
              <w:rPr>
                <w:b/>
                <w:bCs/>
              </w:rPr>
              <w:t xml:space="preserve">All, aged 15+</w:t>
            </w:r>
          </w:p>
        </w:tc>
        <w:tc>
          <w:tcPr/>
          <w:p>
            <w:pPr>
              <w:pStyle w:val="Compact"/>
            </w:pPr>
          </w:p>
        </w:tc>
        <w:tc>
          <w:tcPr/>
          <w:p>
            <w:pPr>
              <w:pStyle w:val="Compact"/>
            </w:pPr>
          </w:p>
        </w:tc>
        <w:tc>
          <w:tcPr/>
          <w:p>
            <w:pPr>
              <w:pStyle w:val="Compact"/>
            </w:pPr>
          </w:p>
        </w:tc>
      </w:tr>
      <w:tr>
        <w:tc>
          <w:tcPr/>
          <w:p>
            <w:pPr>
              <w:pStyle w:val="Compact"/>
              <w:jc w:val="left"/>
            </w:pPr>
            <w:r>
              <w:t xml:space="preserve">Employment (1)</w:t>
            </w:r>
          </w:p>
        </w:tc>
        <w:tc>
          <w:tcPr/>
          <w:p>
            <w:pPr>
              <w:pStyle w:val="Compact"/>
              <w:jc w:val="left"/>
            </w:pPr>
            <w:r>
              <w:t xml:space="preserve">11.1 (1.3)</w:t>
            </w:r>
          </w:p>
        </w:tc>
        <w:tc>
          <w:tcPr/>
          <w:p>
            <w:pPr>
              <w:pStyle w:val="Compact"/>
              <w:jc w:val="left"/>
            </w:pPr>
            <w:r>
              <w:t xml:space="preserve">22.6 (1.9)</w:t>
            </w:r>
          </w:p>
        </w:tc>
        <w:tc>
          <w:tcPr/>
          <w:p>
            <w:pPr>
              <w:pStyle w:val="Compact"/>
              <w:jc w:val="left"/>
            </w:pPr>
            <w:r>
              <w:t xml:space="preserve">-11.6 (2.0)</w:t>
            </w:r>
          </w:p>
        </w:tc>
      </w:tr>
      <w:tr>
        <w:tc>
          <w:tcPr/>
          <w:p>
            <w:pPr>
              <w:pStyle w:val="Compact"/>
              <w:jc w:val="left"/>
            </w:pPr>
            <w:r>
              <w:t xml:space="preserve">Production work (1+2)</w:t>
            </w:r>
          </w:p>
        </w:tc>
        <w:tc>
          <w:tcPr/>
          <w:p>
            <w:pPr>
              <w:pStyle w:val="Compact"/>
              <w:jc w:val="left"/>
            </w:pPr>
            <w:r>
              <w:t xml:space="preserve">8.6 (1.4)</w:t>
            </w:r>
          </w:p>
        </w:tc>
        <w:tc>
          <w:tcPr/>
          <w:p>
            <w:pPr>
              <w:pStyle w:val="Compact"/>
              <w:jc w:val="left"/>
            </w:pPr>
            <w:r>
              <w:t xml:space="preserve">9.2 (1.6)</w:t>
            </w:r>
          </w:p>
        </w:tc>
        <w:tc>
          <w:tcPr/>
          <w:p>
            <w:pPr>
              <w:pStyle w:val="Compact"/>
              <w:jc w:val="left"/>
            </w:pPr>
            <w:r>
              <w:t xml:space="preserve">-0.6 (1.9)</w:t>
            </w:r>
          </w:p>
        </w:tc>
      </w:tr>
      <w:tr>
        <w:tc>
          <w:tcPr/>
          <w:p>
            <w:pPr>
              <w:pStyle w:val="Compact"/>
              <w:jc w:val="left"/>
            </w:pPr>
            <w:r>
              <w:t xml:space="preserve">Unpaid work (3+4)</w:t>
            </w:r>
          </w:p>
        </w:tc>
        <w:tc>
          <w:tcPr/>
          <w:p>
            <w:pPr>
              <w:pStyle w:val="Compact"/>
              <w:jc w:val="left"/>
            </w:pPr>
            <w:r>
              <w:t xml:space="preserve">-2.2 (1.5)</w:t>
            </w:r>
          </w:p>
        </w:tc>
        <w:tc>
          <w:tcPr/>
          <w:p>
            <w:pPr>
              <w:pStyle w:val="Compact"/>
              <w:jc w:val="left"/>
            </w:pPr>
            <w:r>
              <w:t xml:space="preserve">1.0 (0.6)</w:t>
            </w:r>
          </w:p>
        </w:tc>
        <w:tc>
          <w:tcPr/>
          <w:p>
            <w:pPr>
              <w:pStyle w:val="Compact"/>
              <w:jc w:val="left"/>
            </w:pPr>
            <w:r>
              <w:t xml:space="preserve">-3.2 (1.4)</w:t>
            </w:r>
          </w:p>
        </w:tc>
      </w:tr>
      <w:tr>
        <w:tc>
          <w:tcPr/>
          <w:p>
            <w:pPr>
              <w:pStyle w:val="Compact"/>
              <w:jc w:val="left"/>
            </w:pPr>
            <w:r>
              <w:t xml:space="preserve">Childcare</w:t>
            </w:r>
          </w:p>
        </w:tc>
        <w:tc>
          <w:tcPr/>
          <w:p>
            <w:pPr>
              <w:pStyle w:val="Compact"/>
              <w:jc w:val="left"/>
            </w:pPr>
            <w:r>
              <w:t xml:space="preserve">9.9 (0.6)</w:t>
            </w:r>
          </w:p>
        </w:tc>
        <w:tc>
          <w:tcPr/>
          <w:p>
            <w:pPr>
              <w:pStyle w:val="Compact"/>
              <w:jc w:val="left"/>
            </w:pPr>
            <w:r>
              <w:t xml:space="preserve">3.1 (0.2)</w:t>
            </w:r>
          </w:p>
        </w:tc>
        <w:tc>
          <w:tcPr/>
          <w:p>
            <w:pPr>
              <w:pStyle w:val="Compact"/>
              <w:jc w:val="left"/>
            </w:pPr>
            <w:r>
              <w:t xml:space="preserve">6.8 (0.5)</w:t>
            </w:r>
          </w:p>
        </w:tc>
      </w:tr>
      <w:tr>
        <w:tc>
          <w:tcPr/>
          <w:p>
            <w:pPr>
              <w:pStyle w:val="Compact"/>
              <w:jc w:val="left"/>
            </w:pPr>
            <w:r>
              <w:t xml:space="preserve">Total work (1–5)</w:t>
            </w:r>
          </w:p>
        </w:tc>
        <w:tc>
          <w:tcPr/>
          <w:p>
            <w:pPr>
              <w:pStyle w:val="Compact"/>
              <w:jc w:val="left"/>
            </w:pPr>
            <w:r>
              <w:t xml:space="preserve">5.5 (1.5)</w:t>
            </w:r>
          </w:p>
        </w:tc>
        <w:tc>
          <w:tcPr/>
          <w:p>
            <w:pPr>
              <w:pStyle w:val="Compact"/>
              <w:jc w:val="left"/>
            </w:pPr>
            <w:r>
              <w:t xml:space="preserve">8.3 (1.6)</w:t>
            </w:r>
          </w:p>
        </w:tc>
        <w:tc>
          <w:tcPr/>
          <w:p>
            <w:pPr>
              <w:pStyle w:val="Compact"/>
              <w:jc w:val="left"/>
            </w:pPr>
            <w:r>
              <w:t xml:space="preserve">-2.8 (1.8)</w:t>
            </w:r>
          </w:p>
        </w:tc>
      </w:tr>
      <w:tr>
        <w:tc>
          <w:tcPr/>
          <w:p>
            <w:pPr>
              <w:pStyle w:val="Compact"/>
              <w:jc w:val="left"/>
            </w:pPr>
            <w:r>
              <w:t xml:space="preserve">Free time (7+8)</w:t>
            </w:r>
          </w:p>
        </w:tc>
        <w:tc>
          <w:tcPr/>
          <w:p>
            <w:pPr>
              <w:pStyle w:val="Compact"/>
              <w:jc w:val="left"/>
            </w:pPr>
            <w:r>
              <w:t xml:space="preserve">13.0 (1.4)</w:t>
            </w:r>
          </w:p>
        </w:tc>
        <w:tc>
          <w:tcPr/>
          <w:p>
            <w:pPr>
              <w:pStyle w:val="Compact"/>
              <w:jc w:val="left"/>
            </w:pPr>
            <w:r>
              <w:t xml:space="preserve">20.7 (1.4)</w:t>
            </w:r>
          </w:p>
        </w:tc>
        <w:tc>
          <w:tcPr/>
          <w:p>
            <w:pPr>
              <w:pStyle w:val="Compact"/>
              <w:jc w:val="left"/>
            </w:pPr>
            <w:r>
              <w:t xml:space="preserve">-7.6 (1.2)</w:t>
            </w:r>
          </w:p>
        </w:tc>
      </w:tr>
      <w:tr>
        <w:tc>
          <w:tcPr/>
          <w:p>
            <w:pPr>
              <w:pStyle w:val="Compact"/>
              <w:jc w:val="left"/>
            </w:pPr>
            <w:r>
              <w:t xml:space="preserve">Self-care (9)</w:t>
            </w:r>
          </w:p>
        </w:tc>
        <w:tc>
          <w:tcPr/>
          <w:p>
            <w:pPr>
              <w:pStyle w:val="Compact"/>
              <w:jc w:val="left"/>
            </w:pPr>
            <w:r>
              <w:t xml:space="preserve">-18.9 (1.2)</w:t>
            </w:r>
          </w:p>
        </w:tc>
        <w:tc>
          <w:tcPr/>
          <w:p>
            <w:pPr>
              <w:pStyle w:val="Compact"/>
              <w:jc w:val="left"/>
            </w:pPr>
            <w:r>
              <w:t xml:space="preserve">-23.8 (1.1)</w:t>
            </w:r>
          </w:p>
        </w:tc>
        <w:tc>
          <w:tcPr/>
          <w:p>
            <w:pPr>
              <w:pStyle w:val="Compact"/>
              <w:jc w:val="left"/>
            </w:pPr>
            <w:r>
              <w:t xml:space="preserve">4.9 (0.9)</w:t>
            </w:r>
          </w:p>
        </w:tc>
      </w:tr>
      <w:tr>
        <w:tc>
          <w:tcPr/>
          <w:p>
            <w:pPr>
              <w:pStyle w:val="Compact"/>
              <w:jc w:val="left"/>
            </w:pPr>
            <w:r>
              <w:rPr>
                <w:b/>
                <w:bCs/>
              </w:rPr>
              <w:t xml:space="preserve">Aged 15–59</w:t>
            </w:r>
          </w:p>
        </w:tc>
        <w:tc>
          <w:tcPr/>
          <w:p>
            <w:pPr>
              <w:pStyle w:val="Compact"/>
            </w:pPr>
          </w:p>
        </w:tc>
        <w:tc>
          <w:tcPr/>
          <w:p>
            <w:pPr>
              <w:pStyle w:val="Compact"/>
            </w:pPr>
          </w:p>
        </w:tc>
        <w:tc>
          <w:tcPr/>
          <w:p>
            <w:pPr>
              <w:pStyle w:val="Compact"/>
            </w:pPr>
          </w:p>
        </w:tc>
      </w:tr>
      <w:tr>
        <w:tc>
          <w:tcPr/>
          <w:p>
            <w:pPr>
              <w:pStyle w:val="Compact"/>
              <w:jc w:val="left"/>
            </w:pPr>
            <w:r>
              <w:t xml:space="preserve">Employment (1)</w:t>
            </w:r>
          </w:p>
        </w:tc>
        <w:tc>
          <w:tcPr/>
          <w:p>
            <w:pPr>
              <w:pStyle w:val="Compact"/>
              <w:jc w:val="left"/>
            </w:pPr>
            <w:r>
              <w:t xml:space="preserve">11.5 (1.4)</w:t>
            </w:r>
          </w:p>
        </w:tc>
        <w:tc>
          <w:tcPr/>
          <w:p>
            <w:pPr>
              <w:pStyle w:val="Compact"/>
              <w:jc w:val="left"/>
            </w:pPr>
            <w:r>
              <w:t xml:space="preserve">23.1 (2.0)</w:t>
            </w:r>
          </w:p>
        </w:tc>
        <w:tc>
          <w:tcPr/>
          <w:p>
            <w:pPr>
              <w:pStyle w:val="Compact"/>
              <w:jc w:val="left"/>
            </w:pPr>
            <w:r>
              <w:t xml:space="preserve">-11.6 (2.1)</w:t>
            </w:r>
          </w:p>
        </w:tc>
      </w:tr>
      <w:tr>
        <w:tc>
          <w:tcPr/>
          <w:p>
            <w:pPr>
              <w:pStyle w:val="Compact"/>
              <w:jc w:val="left"/>
            </w:pPr>
            <w:r>
              <w:t xml:space="preserve">Production work (1+2)</w:t>
            </w:r>
          </w:p>
        </w:tc>
        <w:tc>
          <w:tcPr/>
          <w:p>
            <w:pPr>
              <w:pStyle w:val="Compact"/>
              <w:jc w:val="left"/>
            </w:pPr>
            <w:r>
              <w:t xml:space="preserve">9.0 (1.5)</w:t>
            </w:r>
          </w:p>
        </w:tc>
        <w:tc>
          <w:tcPr/>
          <w:p>
            <w:pPr>
              <w:pStyle w:val="Compact"/>
              <w:jc w:val="left"/>
            </w:pPr>
            <w:r>
              <w:t xml:space="preserve">10.0 (1.7)</w:t>
            </w:r>
          </w:p>
        </w:tc>
        <w:tc>
          <w:tcPr/>
          <w:p>
            <w:pPr>
              <w:pStyle w:val="Compact"/>
              <w:jc w:val="left"/>
            </w:pPr>
            <w:r>
              <w:t xml:space="preserve">-1.0 (2.0)</w:t>
            </w:r>
          </w:p>
        </w:tc>
      </w:tr>
      <w:tr>
        <w:tc>
          <w:tcPr/>
          <w:p>
            <w:pPr>
              <w:pStyle w:val="Compact"/>
              <w:jc w:val="left"/>
            </w:pPr>
            <w:r>
              <w:t xml:space="preserve">Unpaid work (3+4)</w:t>
            </w:r>
          </w:p>
        </w:tc>
        <w:tc>
          <w:tcPr/>
          <w:p>
            <w:pPr>
              <w:pStyle w:val="Compact"/>
              <w:jc w:val="left"/>
            </w:pPr>
            <w:r>
              <w:t xml:space="preserve">-0.2 (1.5)</w:t>
            </w:r>
          </w:p>
        </w:tc>
        <w:tc>
          <w:tcPr/>
          <w:p>
            <w:pPr>
              <w:pStyle w:val="Compact"/>
              <w:jc w:val="left"/>
            </w:pPr>
            <w:r>
              <w:t xml:space="preserve">1.8 (0.5)</w:t>
            </w:r>
          </w:p>
        </w:tc>
        <w:tc>
          <w:tcPr/>
          <w:p>
            <w:pPr>
              <w:pStyle w:val="Compact"/>
              <w:jc w:val="left"/>
            </w:pPr>
            <w:r>
              <w:t xml:space="preserve">-2.0 (1.5)</w:t>
            </w:r>
          </w:p>
        </w:tc>
      </w:tr>
      <w:tr>
        <w:tc>
          <w:tcPr/>
          <w:p>
            <w:pPr>
              <w:pStyle w:val="Compact"/>
              <w:jc w:val="left"/>
            </w:pPr>
            <w:r>
              <w:t xml:space="preserve">Childcare</w:t>
            </w:r>
          </w:p>
        </w:tc>
        <w:tc>
          <w:tcPr/>
          <w:p>
            <w:pPr>
              <w:pStyle w:val="Compact"/>
              <w:jc w:val="left"/>
            </w:pPr>
            <w:r>
              <w:t xml:space="preserve">11.1 (0.6)</w:t>
            </w:r>
          </w:p>
        </w:tc>
        <w:tc>
          <w:tcPr/>
          <w:p>
            <w:pPr>
              <w:pStyle w:val="Compact"/>
              <w:jc w:val="left"/>
            </w:pPr>
            <w:r>
              <w:t xml:space="preserve">3.4 (0.3)</w:t>
            </w:r>
          </w:p>
        </w:tc>
        <w:tc>
          <w:tcPr/>
          <w:p>
            <w:pPr>
              <w:pStyle w:val="Compact"/>
              <w:jc w:val="left"/>
            </w:pPr>
            <w:r>
              <w:t xml:space="preserve">7.7 (0.5)</w:t>
            </w:r>
          </w:p>
        </w:tc>
      </w:tr>
      <w:tr>
        <w:tc>
          <w:tcPr/>
          <w:p>
            <w:pPr>
              <w:pStyle w:val="Compact"/>
              <w:jc w:val="left"/>
            </w:pPr>
            <w:r>
              <w:t xml:space="preserve">Total work (1–5)</w:t>
            </w:r>
          </w:p>
        </w:tc>
        <w:tc>
          <w:tcPr/>
          <w:p>
            <w:pPr>
              <w:pStyle w:val="Compact"/>
              <w:jc w:val="left"/>
            </w:pPr>
            <w:r>
              <w:t xml:space="preserve">7.7 (1.6)</w:t>
            </w:r>
          </w:p>
        </w:tc>
        <w:tc>
          <w:tcPr/>
          <w:p>
            <w:pPr>
              <w:pStyle w:val="Compact"/>
              <w:jc w:val="left"/>
            </w:pPr>
            <w:r>
              <w:t xml:space="preserve">9.8 (1.7)</w:t>
            </w:r>
          </w:p>
        </w:tc>
        <w:tc>
          <w:tcPr/>
          <w:p>
            <w:pPr>
              <w:pStyle w:val="Compact"/>
              <w:jc w:val="left"/>
            </w:pPr>
            <w:r>
              <w:t xml:space="preserve">-2.1 (2.0)</w:t>
            </w:r>
          </w:p>
        </w:tc>
      </w:tr>
      <w:tr>
        <w:tc>
          <w:tcPr/>
          <w:p>
            <w:pPr>
              <w:pStyle w:val="Compact"/>
              <w:jc w:val="left"/>
            </w:pPr>
            <w:r>
              <w:t xml:space="preserve">Free time (7+8)</w:t>
            </w:r>
          </w:p>
        </w:tc>
        <w:tc>
          <w:tcPr/>
          <w:p>
            <w:pPr>
              <w:pStyle w:val="Compact"/>
              <w:jc w:val="left"/>
            </w:pPr>
            <w:r>
              <w:t xml:space="preserve">9.5 (1.4)</w:t>
            </w:r>
          </w:p>
        </w:tc>
        <w:tc>
          <w:tcPr/>
          <w:p>
            <w:pPr>
              <w:pStyle w:val="Compact"/>
              <w:jc w:val="left"/>
            </w:pPr>
            <w:r>
              <w:t xml:space="preserve">19.0 (1.4)</w:t>
            </w:r>
          </w:p>
        </w:tc>
        <w:tc>
          <w:tcPr/>
          <w:p>
            <w:pPr>
              <w:pStyle w:val="Compact"/>
              <w:jc w:val="left"/>
            </w:pPr>
            <w:r>
              <w:t xml:space="preserve">-9.5 (1.3)</w:t>
            </w:r>
          </w:p>
        </w:tc>
      </w:tr>
      <w:tr>
        <w:tc>
          <w:tcPr/>
          <w:p>
            <w:pPr>
              <w:pStyle w:val="Compact"/>
              <w:jc w:val="left"/>
            </w:pPr>
            <w:r>
              <w:t xml:space="preserve">Self-care (9)</w:t>
            </w:r>
          </w:p>
        </w:tc>
        <w:tc>
          <w:tcPr/>
          <w:p>
            <w:pPr>
              <w:pStyle w:val="Compact"/>
              <w:jc w:val="left"/>
            </w:pPr>
            <w:r>
              <w:t xml:space="preserve">-18.2 (1.2)</w:t>
            </w:r>
          </w:p>
        </w:tc>
        <w:tc>
          <w:tcPr/>
          <w:p>
            <w:pPr>
              <w:pStyle w:val="Compact"/>
              <w:jc w:val="left"/>
            </w:pPr>
            <w:r>
              <w:t xml:space="preserve">-23.2 (1.1)</w:t>
            </w:r>
          </w:p>
        </w:tc>
        <w:tc>
          <w:tcPr/>
          <w:p>
            <w:pPr>
              <w:pStyle w:val="Compact"/>
              <w:jc w:val="left"/>
            </w:pPr>
            <w:r>
              <w:t xml:space="preserve">5.0 (1.0)</w:t>
            </w:r>
          </w:p>
        </w:tc>
      </w:tr>
      <w:tr>
        <w:tc>
          <w:tcPr/>
          <w:p>
            <w:pPr>
              <w:pStyle w:val="Compact"/>
              <w:jc w:val="left"/>
            </w:pPr>
            <w:r>
              <w:rPr>
                <w:b/>
                <w:bCs/>
              </w:rPr>
              <w:t xml:space="preserve">Normal days</w:t>
            </w:r>
          </w:p>
        </w:tc>
        <w:tc>
          <w:tcPr/>
          <w:p>
            <w:pPr>
              <w:pStyle w:val="Compact"/>
            </w:pPr>
          </w:p>
        </w:tc>
        <w:tc>
          <w:tcPr/>
          <w:p>
            <w:pPr>
              <w:pStyle w:val="Compact"/>
            </w:pPr>
          </w:p>
        </w:tc>
        <w:tc>
          <w:tcPr/>
          <w:p>
            <w:pPr>
              <w:pStyle w:val="Compact"/>
            </w:pPr>
          </w:p>
        </w:tc>
      </w:tr>
      <w:tr>
        <w:tc>
          <w:tcPr/>
          <w:p>
            <w:pPr>
              <w:pStyle w:val="Compact"/>
              <w:jc w:val="left"/>
            </w:pPr>
            <w:r>
              <w:t xml:space="preserve">Employment (1)</w:t>
            </w:r>
          </w:p>
        </w:tc>
        <w:tc>
          <w:tcPr/>
          <w:p>
            <w:pPr>
              <w:pStyle w:val="Compact"/>
              <w:jc w:val="left"/>
            </w:pPr>
            <w:r>
              <w:t xml:space="preserve">13.2 (1.4)</w:t>
            </w:r>
          </w:p>
        </w:tc>
        <w:tc>
          <w:tcPr/>
          <w:p>
            <w:pPr>
              <w:pStyle w:val="Compact"/>
              <w:jc w:val="left"/>
            </w:pPr>
            <w:r>
              <w:t xml:space="preserve">34.3 (2.0)</w:t>
            </w:r>
          </w:p>
        </w:tc>
        <w:tc>
          <w:tcPr/>
          <w:p>
            <w:pPr>
              <w:pStyle w:val="Compact"/>
              <w:jc w:val="left"/>
            </w:pPr>
            <w:r>
              <w:t xml:space="preserve">-21.1 (2.1)</w:t>
            </w:r>
          </w:p>
        </w:tc>
      </w:tr>
      <w:tr>
        <w:tc>
          <w:tcPr/>
          <w:p>
            <w:pPr>
              <w:pStyle w:val="Compact"/>
              <w:jc w:val="left"/>
            </w:pPr>
            <w:r>
              <w:t xml:space="preserve">Production work (1+2)</w:t>
            </w:r>
          </w:p>
        </w:tc>
        <w:tc>
          <w:tcPr/>
          <w:p>
            <w:pPr>
              <w:pStyle w:val="Compact"/>
              <w:jc w:val="left"/>
            </w:pPr>
            <w:r>
              <w:t xml:space="preserve">10.8 (1.5)</w:t>
            </w:r>
          </w:p>
        </w:tc>
        <w:tc>
          <w:tcPr/>
          <w:p>
            <w:pPr>
              <w:pStyle w:val="Compact"/>
              <w:jc w:val="left"/>
            </w:pPr>
            <w:r>
              <w:t xml:space="preserve">19.7 (1.6)</w:t>
            </w:r>
          </w:p>
        </w:tc>
        <w:tc>
          <w:tcPr/>
          <w:p>
            <w:pPr>
              <w:pStyle w:val="Compact"/>
              <w:jc w:val="left"/>
            </w:pPr>
            <w:r>
              <w:t xml:space="preserve">-8.9 (1.9)</w:t>
            </w:r>
          </w:p>
        </w:tc>
      </w:tr>
      <w:tr>
        <w:tc>
          <w:tcPr/>
          <w:p>
            <w:pPr>
              <w:pStyle w:val="Compact"/>
              <w:jc w:val="left"/>
            </w:pPr>
            <w:r>
              <w:t xml:space="preserve">Unpaid work (3+4)</w:t>
            </w:r>
          </w:p>
        </w:tc>
        <w:tc>
          <w:tcPr/>
          <w:p>
            <w:pPr>
              <w:pStyle w:val="Compact"/>
              <w:jc w:val="left"/>
            </w:pPr>
            <w:r>
              <w:t xml:space="preserve">0.5 (1.5)</w:t>
            </w:r>
          </w:p>
        </w:tc>
        <w:tc>
          <w:tcPr/>
          <w:p>
            <w:pPr>
              <w:pStyle w:val="Compact"/>
              <w:jc w:val="left"/>
            </w:pPr>
            <w:r>
              <w:t xml:space="preserve">0.0 (0.6)</w:t>
            </w:r>
          </w:p>
        </w:tc>
        <w:tc>
          <w:tcPr/>
          <w:p>
            <w:pPr>
              <w:pStyle w:val="Compact"/>
              <w:jc w:val="left"/>
            </w:pPr>
            <w:r>
              <w:t xml:space="preserve">0.5 (1.4)</w:t>
            </w:r>
          </w:p>
        </w:tc>
      </w:tr>
      <w:tr>
        <w:tc>
          <w:tcPr/>
          <w:p>
            <w:pPr>
              <w:pStyle w:val="Compact"/>
              <w:jc w:val="left"/>
            </w:pPr>
            <w:r>
              <w:t xml:space="preserve">Childcare</w:t>
            </w:r>
          </w:p>
        </w:tc>
        <w:tc>
          <w:tcPr/>
          <w:p>
            <w:pPr>
              <w:pStyle w:val="Compact"/>
              <w:jc w:val="left"/>
            </w:pPr>
            <w:r>
              <w:t xml:space="preserve">10.9 (0.6)</w:t>
            </w:r>
          </w:p>
        </w:tc>
        <w:tc>
          <w:tcPr/>
          <w:p>
            <w:pPr>
              <w:pStyle w:val="Compact"/>
              <w:jc w:val="left"/>
            </w:pPr>
            <w:r>
              <w:t xml:space="preserve">3.2 (0.3)</w:t>
            </w:r>
          </w:p>
        </w:tc>
        <w:tc>
          <w:tcPr/>
          <w:p>
            <w:pPr>
              <w:pStyle w:val="Compact"/>
              <w:jc w:val="left"/>
            </w:pPr>
            <w:r>
              <w:t xml:space="preserve">7.7 (0.5)</w:t>
            </w:r>
          </w:p>
        </w:tc>
      </w:tr>
      <w:tr>
        <w:tc>
          <w:tcPr/>
          <w:p>
            <w:pPr>
              <w:pStyle w:val="Compact"/>
              <w:jc w:val="left"/>
            </w:pPr>
            <w:r>
              <w:t xml:space="preserve">Total work (1–5)</w:t>
            </w:r>
          </w:p>
        </w:tc>
        <w:tc>
          <w:tcPr/>
          <w:p>
            <w:pPr>
              <w:pStyle w:val="Compact"/>
              <w:jc w:val="left"/>
            </w:pPr>
            <w:r>
              <w:t xml:space="preserve">10.2 (1.6)</w:t>
            </w:r>
          </w:p>
        </w:tc>
        <w:tc>
          <w:tcPr/>
          <w:p>
            <w:pPr>
              <w:pStyle w:val="Compact"/>
              <w:jc w:val="left"/>
            </w:pPr>
            <w:r>
              <w:t xml:space="preserve">17.7 (1.6)</w:t>
            </w:r>
          </w:p>
        </w:tc>
        <w:tc>
          <w:tcPr/>
          <w:p>
            <w:pPr>
              <w:pStyle w:val="Compact"/>
              <w:jc w:val="left"/>
            </w:pPr>
            <w:r>
              <w:t xml:space="preserve">-7.5 (1.8)</w:t>
            </w:r>
          </w:p>
        </w:tc>
      </w:tr>
      <w:tr>
        <w:tc>
          <w:tcPr/>
          <w:p>
            <w:pPr>
              <w:pStyle w:val="Compact"/>
              <w:jc w:val="left"/>
            </w:pPr>
            <w:r>
              <w:t xml:space="preserve">Free time (7+8)</w:t>
            </w:r>
          </w:p>
        </w:tc>
        <w:tc>
          <w:tcPr/>
          <w:p>
            <w:pPr>
              <w:pStyle w:val="Compact"/>
              <w:jc w:val="left"/>
            </w:pPr>
            <w:r>
              <w:t xml:space="preserve">10.5 (1.4)</w:t>
            </w:r>
          </w:p>
        </w:tc>
        <w:tc>
          <w:tcPr/>
          <w:p>
            <w:pPr>
              <w:pStyle w:val="Compact"/>
              <w:jc w:val="left"/>
            </w:pPr>
            <w:r>
              <w:t xml:space="preserve">13.6 (1.4)</w:t>
            </w:r>
          </w:p>
        </w:tc>
        <w:tc>
          <w:tcPr/>
          <w:p>
            <w:pPr>
              <w:pStyle w:val="Compact"/>
              <w:jc w:val="left"/>
            </w:pPr>
            <w:r>
              <w:t xml:space="preserve">-3.1 (1.2)</w:t>
            </w:r>
          </w:p>
        </w:tc>
      </w:tr>
      <w:tr>
        <w:tc>
          <w:tcPr/>
          <w:p>
            <w:pPr>
              <w:pStyle w:val="Compact"/>
              <w:jc w:val="left"/>
            </w:pPr>
            <w:r>
              <w:t xml:space="preserve">Self-care (9)</w:t>
            </w:r>
          </w:p>
        </w:tc>
        <w:tc>
          <w:tcPr/>
          <w:p>
            <w:pPr>
              <w:pStyle w:val="Compact"/>
              <w:jc w:val="left"/>
            </w:pPr>
            <w:r>
              <w:t xml:space="preserve">-20.0 (1.2)</w:t>
            </w:r>
          </w:p>
        </w:tc>
        <w:tc>
          <w:tcPr/>
          <w:p>
            <w:pPr>
              <w:pStyle w:val="Compact"/>
              <w:jc w:val="left"/>
            </w:pPr>
            <w:r>
              <w:t xml:space="preserve">-25.4 (1.1)</w:t>
            </w:r>
          </w:p>
        </w:tc>
        <w:tc>
          <w:tcPr/>
          <w:p>
            <w:pPr>
              <w:pStyle w:val="Compact"/>
              <w:jc w:val="left"/>
            </w:pPr>
            <w:r>
              <w:t xml:space="preserve">5.5 (1.0)</w:t>
            </w:r>
          </w:p>
        </w:tc>
      </w:tr>
      <w:tr>
        <w:tc>
          <w:tcPr/>
          <w:p>
            <w:pPr>
              <w:pStyle w:val="Compact"/>
              <w:jc w:val="left"/>
            </w:pPr>
            <w:r>
              <w:rPr>
                <w:b/>
                <w:bCs/>
              </w:rPr>
              <w:t xml:space="preserve">Self-reported diaries</w:t>
            </w:r>
          </w:p>
        </w:tc>
        <w:tc>
          <w:tcPr/>
          <w:p>
            <w:pPr>
              <w:pStyle w:val="Compact"/>
            </w:pPr>
          </w:p>
        </w:tc>
        <w:tc>
          <w:tcPr/>
          <w:p>
            <w:pPr>
              <w:pStyle w:val="Compact"/>
            </w:pPr>
          </w:p>
        </w:tc>
        <w:tc>
          <w:tcPr/>
          <w:p>
            <w:pPr>
              <w:pStyle w:val="Compact"/>
            </w:pPr>
          </w:p>
        </w:tc>
      </w:tr>
      <w:tr>
        <w:tc>
          <w:tcPr/>
          <w:p>
            <w:pPr>
              <w:pStyle w:val="Compact"/>
              <w:jc w:val="left"/>
            </w:pPr>
            <w:r>
              <w:t xml:space="preserve">Employment (1)</w:t>
            </w:r>
          </w:p>
        </w:tc>
        <w:tc>
          <w:tcPr/>
          <w:p>
            <w:pPr>
              <w:pStyle w:val="Compact"/>
              <w:jc w:val="left"/>
            </w:pPr>
            <w:r>
              <w:t xml:space="preserve">12.6 (1.4)</w:t>
            </w:r>
          </w:p>
        </w:tc>
        <w:tc>
          <w:tcPr/>
          <w:p>
            <w:pPr>
              <w:pStyle w:val="Compact"/>
              <w:jc w:val="left"/>
            </w:pPr>
            <w:r>
              <w:t xml:space="preserve">27.8 (2.3)</w:t>
            </w:r>
          </w:p>
        </w:tc>
        <w:tc>
          <w:tcPr/>
          <w:p>
            <w:pPr>
              <w:pStyle w:val="Compact"/>
              <w:jc w:val="left"/>
            </w:pPr>
            <w:r>
              <w:t xml:space="preserve">-15.3 (2.3)</w:t>
            </w:r>
          </w:p>
        </w:tc>
      </w:tr>
      <w:tr>
        <w:tc>
          <w:tcPr/>
          <w:p>
            <w:pPr>
              <w:pStyle w:val="Compact"/>
              <w:jc w:val="left"/>
            </w:pPr>
            <w:r>
              <w:t xml:space="preserve">Production work (1+2)</w:t>
            </w:r>
          </w:p>
        </w:tc>
        <w:tc>
          <w:tcPr/>
          <w:p>
            <w:pPr>
              <w:pStyle w:val="Compact"/>
              <w:jc w:val="left"/>
            </w:pPr>
            <w:r>
              <w:t xml:space="preserve">8.5 (1.5)</w:t>
            </w:r>
          </w:p>
        </w:tc>
        <w:tc>
          <w:tcPr/>
          <w:p>
            <w:pPr>
              <w:pStyle w:val="Compact"/>
              <w:jc w:val="left"/>
            </w:pPr>
            <w:r>
              <w:t xml:space="preserve">10.6 (2.0)</w:t>
            </w:r>
          </w:p>
        </w:tc>
        <w:tc>
          <w:tcPr/>
          <w:p>
            <w:pPr>
              <w:pStyle w:val="Compact"/>
              <w:jc w:val="left"/>
            </w:pPr>
            <w:r>
              <w:t xml:space="preserve">-2.0 (2.1)</w:t>
            </w:r>
          </w:p>
        </w:tc>
      </w:tr>
      <w:tr>
        <w:tc>
          <w:tcPr/>
          <w:p>
            <w:pPr>
              <w:pStyle w:val="Compact"/>
              <w:jc w:val="left"/>
            </w:pPr>
            <w:r>
              <w:t xml:space="preserve">Unpaid work (3+4)</w:t>
            </w:r>
          </w:p>
        </w:tc>
        <w:tc>
          <w:tcPr/>
          <w:p>
            <w:pPr>
              <w:pStyle w:val="Compact"/>
              <w:jc w:val="left"/>
            </w:pPr>
            <w:r>
              <w:t xml:space="preserve">-2.6 (1.7)</w:t>
            </w:r>
          </w:p>
        </w:tc>
        <w:tc>
          <w:tcPr/>
          <w:p>
            <w:pPr>
              <w:pStyle w:val="Compact"/>
              <w:jc w:val="left"/>
            </w:pPr>
            <w:r>
              <w:t xml:space="preserve">-0.7 (0.7)</w:t>
            </w:r>
          </w:p>
        </w:tc>
        <w:tc>
          <w:tcPr/>
          <w:p>
            <w:pPr>
              <w:pStyle w:val="Compact"/>
              <w:jc w:val="left"/>
            </w:pPr>
            <w:r>
              <w:t xml:space="preserve">-1.9 (1.6)</w:t>
            </w:r>
          </w:p>
        </w:tc>
      </w:tr>
      <w:tr>
        <w:tc>
          <w:tcPr/>
          <w:p>
            <w:pPr>
              <w:pStyle w:val="Compact"/>
              <w:jc w:val="left"/>
            </w:pPr>
            <w:r>
              <w:t xml:space="preserve">Childcare</w:t>
            </w:r>
          </w:p>
        </w:tc>
        <w:tc>
          <w:tcPr/>
          <w:p>
            <w:pPr>
              <w:pStyle w:val="Compact"/>
              <w:jc w:val="left"/>
            </w:pPr>
            <w:r>
              <w:t xml:space="preserve">9.7 (0.6)</w:t>
            </w:r>
          </w:p>
        </w:tc>
        <w:tc>
          <w:tcPr/>
          <w:p>
            <w:pPr>
              <w:pStyle w:val="Compact"/>
              <w:jc w:val="left"/>
            </w:pPr>
            <w:r>
              <w:t xml:space="preserve">1.9 (0.3)</w:t>
            </w:r>
          </w:p>
        </w:tc>
        <w:tc>
          <w:tcPr/>
          <w:p>
            <w:pPr>
              <w:pStyle w:val="Compact"/>
              <w:jc w:val="left"/>
            </w:pPr>
            <w:r>
              <w:t xml:space="preserve">7.8 (0.6)</w:t>
            </w:r>
          </w:p>
        </w:tc>
      </w:tr>
      <w:tr>
        <w:tc>
          <w:tcPr/>
          <w:p>
            <w:pPr>
              <w:pStyle w:val="Compact"/>
              <w:jc w:val="left"/>
            </w:pPr>
            <w:r>
              <w:t xml:space="preserve">Total work (1–5)</w:t>
            </w:r>
          </w:p>
        </w:tc>
        <w:tc>
          <w:tcPr/>
          <w:p>
            <w:pPr>
              <w:pStyle w:val="Compact"/>
              <w:jc w:val="left"/>
            </w:pPr>
            <w:r>
              <w:t xml:space="preserve">5.2 (1.7)</w:t>
            </w:r>
          </w:p>
        </w:tc>
        <w:tc>
          <w:tcPr/>
          <w:p>
            <w:pPr>
              <w:pStyle w:val="Compact"/>
              <w:jc w:val="left"/>
            </w:pPr>
            <w:r>
              <w:t xml:space="preserve">8.0 (2.0)</w:t>
            </w:r>
          </w:p>
        </w:tc>
        <w:tc>
          <w:tcPr/>
          <w:p>
            <w:pPr>
              <w:pStyle w:val="Compact"/>
              <w:jc w:val="left"/>
            </w:pPr>
            <w:r>
              <w:t xml:space="preserve">-2.8 (2.1)</w:t>
            </w:r>
          </w:p>
        </w:tc>
      </w:tr>
      <w:tr>
        <w:tc>
          <w:tcPr/>
          <w:p>
            <w:pPr>
              <w:pStyle w:val="Compact"/>
              <w:jc w:val="left"/>
            </w:pPr>
            <w:r>
              <w:t xml:space="preserve">Free time (7+8)</w:t>
            </w:r>
          </w:p>
        </w:tc>
        <w:tc>
          <w:tcPr/>
          <w:p>
            <w:pPr>
              <w:pStyle w:val="Compact"/>
              <w:jc w:val="left"/>
            </w:pPr>
            <w:r>
              <w:t xml:space="preserve">11.9 (1.5)</w:t>
            </w:r>
          </w:p>
        </w:tc>
        <w:tc>
          <w:tcPr/>
          <w:p>
            <w:pPr>
              <w:pStyle w:val="Compact"/>
              <w:jc w:val="left"/>
            </w:pPr>
            <w:r>
              <w:t xml:space="preserve">17.5 (1.7)</w:t>
            </w:r>
          </w:p>
        </w:tc>
        <w:tc>
          <w:tcPr/>
          <w:p>
            <w:pPr>
              <w:pStyle w:val="Compact"/>
              <w:jc w:val="left"/>
            </w:pPr>
            <w:r>
              <w:t xml:space="preserve">-5.6 (1.5)</w:t>
            </w:r>
          </w:p>
        </w:tc>
      </w:tr>
      <w:tr>
        <w:tc>
          <w:tcPr/>
          <w:p>
            <w:pPr>
              <w:pStyle w:val="Compact"/>
              <w:jc w:val="left"/>
            </w:pPr>
            <w:r>
              <w:t xml:space="preserve">Self-care (9)</w:t>
            </w:r>
          </w:p>
        </w:tc>
        <w:tc>
          <w:tcPr/>
          <w:p>
            <w:pPr>
              <w:pStyle w:val="Compact"/>
              <w:jc w:val="left"/>
            </w:pPr>
            <w:r>
              <w:t xml:space="preserve">-16.7 (1.3)</w:t>
            </w:r>
          </w:p>
        </w:tc>
        <w:tc>
          <w:tcPr/>
          <w:p>
            <w:pPr>
              <w:pStyle w:val="Compact"/>
              <w:jc w:val="left"/>
            </w:pPr>
            <w:r>
              <w:t xml:space="preserve">-22.3 (1.3)</w:t>
            </w:r>
          </w:p>
        </w:tc>
        <w:tc>
          <w:tcPr/>
          <w:p>
            <w:pPr>
              <w:pStyle w:val="Compact"/>
              <w:jc w:val="left"/>
            </w:pPr>
            <w:r>
              <w:t xml:space="preserve">5.6 (1.1)</w:t>
            </w:r>
          </w:p>
        </w:tc>
      </w:tr>
      <w:tr>
        <w:tc>
          <w:tcPr/>
          <w:p>
            <w:pPr>
              <w:pStyle w:val="Compact"/>
              <w:jc w:val="left"/>
            </w:pPr>
            <w:r>
              <w:rPr>
                <w:b/>
                <w:bCs/>
              </w:rPr>
              <w:t xml:space="preserve">Monday to Friday</w:t>
            </w:r>
          </w:p>
        </w:tc>
        <w:tc>
          <w:tcPr/>
          <w:p>
            <w:pPr>
              <w:pStyle w:val="Compact"/>
            </w:pPr>
          </w:p>
        </w:tc>
        <w:tc>
          <w:tcPr/>
          <w:p>
            <w:pPr>
              <w:pStyle w:val="Compact"/>
            </w:pPr>
          </w:p>
        </w:tc>
        <w:tc>
          <w:tcPr/>
          <w:p>
            <w:pPr>
              <w:pStyle w:val="Compact"/>
            </w:pPr>
          </w:p>
        </w:tc>
      </w:tr>
      <w:tr>
        <w:tc>
          <w:tcPr/>
          <w:p>
            <w:pPr>
              <w:pStyle w:val="Compact"/>
              <w:jc w:val="left"/>
            </w:pPr>
            <w:r>
              <w:t xml:space="preserve">Employment (1)</w:t>
            </w:r>
          </w:p>
        </w:tc>
        <w:tc>
          <w:tcPr/>
          <w:p>
            <w:pPr>
              <w:pStyle w:val="Compact"/>
              <w:jc w:val="left"/>
            </w:pPr>
            <w:r>
              <w:t xml:space="preserve">12.3 (1.4)</w:t>
            </w:r>
          </w:p>
        </w:tc>
        <w:tc>
          <w:tcPr/>
          <w:p>
            <w:pPr>
              <w:pStyle w:val="Compact"/>
              <w:jc w:val="left"/>
            </w:pPr>
            <w:r>
              <w:t xml:space="preserve">24.9 (2.0)</w:t>
            </w:r>
          </w:p>
        </w:tc>
        <w:tc>
          <w:tcPr/>
          <w:p>
            <w:pPr>
              <w:pStyle w:val="Compact"/>
              <w:jc w:val="left"/>
            </w:pPr>
            <w:r>
              <w:t xml:space="preserve">-12.6 (2.1)</w:t>
            </w:r>
          </w:p>
        </w:tc>
      </w:tr>
      <w:tr>
        <w:tc>
          <w:tcPr/>
          <w:p>
            <w:pPr>
              <w:pStyle w:val="Compact"/>
              <w:jc w:val="left"/>
            </w:pPr>
            <w:r>
              <w:t xml:space="preserve">Production work (1+2)</w:t>
            </w:r>
          </w:p>
        </w:tc>
        <w:tc>
          <w:tcPr/>
          <w:p>
            <w:pPr>
              <w:pStyle w:val="Compact"/>
              <w:jc w:val="left"/>
            </w:pPr>
            <w:r>
              <w:t xml:space="preserve">9.9 (1.5)</w:t>
            </w:r>
          </w:p>
        </w:tc>
        <w:tc>
          <w:tcPr/>
          <w:p>
            <w:pPr>
              <w:pStyle w:val="Compact"/>
              <w:jc w:val="left"/>
            </w:pPr>
            <w:r>
              <w:t xml:space="preserve">11.8 (1.7)</w:t>
            </w:r>
          </w:p>
        </w:tc>
        <w:tc>
          <w:tcPr/>
          <w:p>
            <w:pPr>
              <w:pStyle w:val="Compact"/>
              <w:jc w:val="left"/>
            </w:pPr>
            <w:r>
              <w:t xml:space="preserve">-1.9 (2.0)</w:t>
            </w:r>
          </w:p>
        </w:tc>
      </w:tr>
      <w:tr>
        <w:tc>
          <w:tcPr/>
          <w:p>
            <w:pPr>
              <w:pStyle w:val="Compact"/>
              <w:jc w:val="left"/>
            </w:pPr>
            <w:r>
              <w:t xml:space="preserve">Unpaid work (3+4)</w:t>
            </w:r>
          </w:p>
        </w:tc>
        <w:tc>
          <w:tcPr/>
          <w:p>
            <w:pPr>
              <w:pStyle w:val="Compact"/>
              <w:jc w:val="left"/>
            </w:pPr>
            <w:r>
              <w:t xml:space="preserve">-3.3 (1.5)</w:t>
            </w:r>
          </w:p>
        </w:tc>
        <w:tc>
          <w:tcPr/>
          <w:p>
            <w:pPr>
              <w:pStyle w:val="Compact"/>
              <w:jc w:val="left"/>
            </w:pPr>
            <w:r>
              <w:t xml:space="preserve">0.4 (0.6)</w:t>
            </w:r>
          </w:p>
        </w:tc>
        <w:tc>
          <w:tcPr/>
          <w:p>
            <w:pPr>
              <w:pStyle w:val="Compact"/>
              <w:jc w:val="left"/>
            </w:pPr>
            <w:r>
              <w:t xml:space="preserve">-3.7 (1.5)</w:t>
            </w:r>
          </w:p>
        </w:tc>
      </w:tr>
      <w:tr>
        <w:tc>
          <w:tcPr/>
          <w:p>
            <w:pPr>
              <w:pStyle w:val="Compact"/>
              <w:jc w:val="left"/>
            </w:pPr>
            <w:r>
              <w:t xml:space="preserve">Childcare</w:t>
            </w:r>
          </w:p>
        </w:tc>
        <w:tc>
          <w:tcPr/>
          <w:p>
            <w:pPr>
              <w:pStyle w:val="Compact"/>
              <w:jc w:val="left"/>
            </w:pPr>
            <w:r>
              <w:t xml:space="preserve">9.7 (0.6)</w:t>
            </w:r>
          </w:p>
        </w:tc>
        <w:tc>
          <w:tcPr/>
          <w:p>
            <w:pPr>
              <w:pStyle w:val="Compact"/>
              <w:jc w:val="left"/>
            </w:pPr>
            <w:r>
              <w:t xml:space="preserve">2.9 (0.3)</w:t>
            </w:r>
          </w:p>
        </w:tc>
        <w:tc>
          <w:tcPr/>
          <w:p>
            <w:pPr>
              <w:pStyle w:val="Compact"/>
              <w:jc w:val="left"/>
            </w:pPr>
            <w:r>
              <w:t xml:space="preserve">6.7 (0.5)</w:t>
            </w:r>
          </w:p>
        </w:tc>
      </w:tr>
      <w:tr>
        <w:tc>
          <w:tcPr/>
          <w:p>
            <w:pPr>
              <w:pStyle w:val="Compact"/>
              <w:jc w:val="left"/>
            </w:pPr>
            <w:r>
              <w:t xml:space="preserve">Total work (1–5)</w:t>
            </w:r>
          </w:p>
        </w:tc>
        <w:tc>
          <w:tcPr/>
          <w:p>
            <w:pPr>
              <w:pStyle w:val="Compact"/>
              <w:jc w:val="left"/>
            </w:pPr>
            <w:r>
              <w:t xml:space="preserve">5.7 (1.6)</w:t>
            </w:r>
          </w:p>
        </w:tc>
        <w:tc>
          <w:tcPr/>
          <w:p>
            <w:pPr>
              <w:pStyle w:val="Compact"/>
              <w:jc w:val="left"/>
            </w:pPr>
            <w:r>
              <w:t xml:space="preserve">10.3 (1.7)</w:t>
            </w:r>
          </w:p>
        </w:tc>
        <w:tc>
          <w:tcPr/>
          <w:p>
            <w:pPr>
              <w:pStyle w:val="Compact"/>
              <w:jc w:val="left"/>
            </w:pPr>
            <w:r>
              <w:t xml:space="preserve">-4.6 (1.9)</w:t>
            </w:r>
          </w:p>
        </w:tc>
      </w:tr>
      <w:tr>
        <w:tc>
          <w:tcPr/>
          <w:p>
            <w:pPr>
              <w:pStyle w:val="Compact"/>
              <w:jc w:val="left"/>
            </w:pPr>
            <w:r>
              <w:t xml:space="preserve">Free time (7+8)</w:t>
            </w:r>
          </w:p>
        </w:tc>
        <w:tc>
          <w:tcPr/>
          <w:p>
            <w:pPr>
              <w:pStyle w:val="Compact"/>
              <w:jc w:val="left"/>
            </w:pPr>
            <w:r>
              <w:t xml:space="preserve">12.2 (1.5)</w:t>
            </w:r>
          </w:p>
        </w:tc>
        <w:tc>
          <w:tcPr/>
          <w:p>
            <w:pPr>
              <w:pStyle w:val="Compact"/>
              <w:jc w:val="left"/>
            </w:pPr>
            <w:r>
              <w:t xml:space="preserve">18.8 (1.5)</w:t>
            </w:r>
          </w:p>
        </w:tc>
        <w:tc>
          <w:tcPr/>
          <w:p>
            <w:pPr>
              <w:pStyle w:val="Compact"/>
              <w:jc w:val="left"/>
            </w:pPr>
            <w:r>
              <w:t xml:space="preserve">-6.6 (1.3)</w:t>
            </w:r>
          </w:p>
        </w:tc>
      </w:tr>
      <w:tr>
        <w:tc>
          <w:tcPr/>
          <w:p>
            <w:pPr>
              <w:pStyle w:val="Compact"/>
              <w:jc w:val="left"/>
            </w:pPr>
            <w:r>
              <w:t xml:space="preserve">Self-care (9)</w:t>
            </w:r>
          </w:p>
        </w:tc>
        <w:tc>
          <w:tcPr/>
          <w:p>
            <w:pPr>
              <w:pStyle w:val="Compact"/>
              <w:jc w:val="left"/>
            </w:pPr>
            <w:r>
              <w:t xml:space="preserve">-19.2 (1.2)</w:t>
            </w:r>
          </w:p>
        </w:tc>
        <w:tc>
          <w:tcPr/>
          <w:p>
            <w:pPr>
              <w:pStyle w:val="Compact"/>
              <w:jc w:val="left"/>
            </w:pPr>
            <w:r>
              <w:t xml:space="preserve">-24.1 (1.1)</w:t>
            </w:r>
          </w:p>
        </w:tc>
        <w:tc>
          <w:tcPr/>
          <w:p>
            <w:pPr>
              <w:pStyle w:val="Compact"/>
              <w:jc w:val="left"/>
            </w:pPr>
            <w:r>
              <w:t xml:space="preserve">5.0 (1.0)</w:t>
            </w:r>
          </w:p>
        </w:tc>
      </w:tr>
    </w:tbl>
    <w:p>
      <w:pPr>
        <w:pStyle w:val="BodyText"/>
      </w:pPr>
      <w:r>
        <w:rPr>
          <w:i/>
          <w:iCs/>
        </w:rPr>
        <w:t xml:space="preserve">Note:</w:t>
      </w:r>
      <w:r>
        <w:t xml:space="preserve"> </w:t>
      </w:r>
      <w:r>
        <w:t xml:space="preserve">Changes in weighted means, with standard errors in parentheses clustered by first-stage unit within year. Normal day: type of day reported as normal. Self-reported: the informant was the respondent.</w:t>
      </w:r>
    </w:p>
    <w:p>
      <w:pPr>
        <w:pStyle w:val="TableCaption"/>
      </w:pPr>
      <w:r>
        <w:t xml:space="preserve">Table 9. Mean minutes per day in detailed activity groups, persons aged 15 and over</w:t>
      </w:r>
    </w:p>
    <w:tbl>
      <w:tblPr>
        <w:tblStyle w:val="Table"/>
        <w:tblW w:type="pct" w:w="5000"/>
        <w:tblLayout w:type="fixed"/>
        <w:tblLook w:firstRow="1" w:lastRow="0" w:firstColumn="0" w:lastColumn="0" w:noHBand="0" w:noVBand="0" w:val="0020"/>
        <w:tblCaption w:val="Table 9. Mean minutes per day in detailed activity groups, persons aged 15 and over"/>
      </w:tblPr>
      <w:tblGrid>
        <w:gridCol w:w="2504"/>
        <w:gridCol w:w="812"/>
        <w:gridCol w:w="812"/>
        <w:gridCol w:w="1286"/>
        <w:gridCol w:w="676"/>
        <w:gridCol w:w="676"/>
        <w:gridCol w:w="1150"/>
      </w:tblGrid>
      <w:tr>
        <w:trPr>
          <w:tblHeader w:val="on"/>
        </w:trPr>
        <w:tc>
          <w:tcPr/>
          <w:p>
            <w:pPr>
              <w:pStyle w:val="Compact"/>
              <w:jc w:val="left"/>
            </w:pPr>
            <w:r>
              <w:t xml:space="preserve">Activity</w:t>
            </w:r>
          </w:p>
        </w:tc>
        <w:tc>
          <w:tcPr/>
          <w:p>
            <w:pPr>
              <w:pStyle w:val="Compact"/>
              <w:jc w:val="left"/>
            </w:pPr>
            <w:r>
              <w:t xml:space="preserve">Women: 2019</w:t>
            </w:r>
          </w:p>
        </w:tc>
        <w:tc>
          <w:tcPr/>
          <w:p>
            <w:pPr>
              <w:pStyle w:val="Compact"/>
              <w:jc w:val="left"/>
            </w:pPr>
            <w:r>
              <w:t xml:space="preserve">Women: 2024</w:t>
            </w:r>
          </w:p>
        </w:tc>
        <w:tc>
          <w:tcPr/>
          <w:p>
            <w:pPr>
              <w:pStyle w:val="Compact"/>
              <w:jc w:val="left"/>
            </w:pPr>
            <w:r>
              <w:t xml:space="preserve">Women: Change (SE)</w:t>
            </w:r>
          </w:p>
        </w:tc>
        <w:tc>
          <w:tcPr/>
          <w:p>
            <w:pPr>
              <w:pStyle w:val="Compact"/>
              <w:jc w:val="left"/>
            </w:pPr>
            <w:r>
              <w:t xml:space="preserve">Men: 2019</w:t>
            </w:r>
          </w:p>
        </w:tc>
        <w:tc>
          <w:tcPr/>
          <w:p>
            <w:pPr>
              <w:pStyle w:val="Compact"/>
              <w:jc w:val="left"/>
            </w:pPr>
            <w:r>
              <w:t xml:space="preserve">Men: 2024</w:t>
            </w:r>
          </w:p>
        </w:tc>
        <w:tc>
          <w:tcPr/>
          <w:p>
            <w:pPr>
              <w:pStyle w:val="Compact"/>
              <w:jc w:val="left"/>
            </w:pPr>
            <w:r>
              <w:t xml:space="preserve">Men: Change (SE)</w:t>
            </w:r>
          </w:p>
        </w:tc>
      </w:tr>
      <w:tr>
        <w:tc>
          <w:tcPr/>
          <w:p>
            <w:pPr>
              <w:pStyle w:val="Compact"/>
              <w:jc w:val="left"/>
            </w:pPr>
            <w:r>
              <w:t xml:space="preserve">1 Employment</w:t>
            </w:r>
          </w:p>
        </w:tc>
        <w:tc>
          <w:tcPr/>
          <w:p>
            <w:pPr>
              <w:pStyle w:val="Compact"/>
              <w:jc w:val="left"/>
            </w:pPr>
            <w:r>
              <w:t xml:space="preserve">73.5</w:t>
            </w:r>
          </w:p>
        </w:tc>
        <w:tc>
          <w:tcPr/>
          <w:p>
            <w:pPr>
              <w:pStyle w:val="Compact"/>
              <w:jc w:val="left"/>
            </w:pPr>
            <w:r>
              <w:t xml:space="preserve">84.5</w:t>
            </w:r>
          </w:p>
        </w:tc>
        <w:tc>
          <w:tcPr/>
          <w:p>
            <w:pPr>
              <w:pStyle w:val="Compact"/>
              <w:jc w:val="left"/>
            </w:pPr>
            <w:r>
              <w:t xml:space="preserve">11.1 (1.3)</w:t>
            </w:r>
          </w:p>
        </w:tc>
        <w:tc>
          <w:tcPr/>
          <w:p>
            <w:pPr>
              <w:pStyle w:val="Compact"/>
              <w:jc w:val="left"/>
            </w:pPr>
            <w:r>
              <w:t xml:space="preserve">324.8</w:t>
            </w:r>
          </w:p>
        </w:tc>
        <w:tc>
          <w:tcPr/>
          <w:p>
            <w:pPr>
              <w:pStyle w:val="Compact"/>
              <w:jc w:val="left"/>
            </w:pPr>
            <w:r>
              <w:t xml:space="preserve">347.4</w:t>
            </w:r>
          </w:p>
        </w:tc>
        <w:tc>
          <w:tcPr/>
          <w:p>
            <w:pPr>
              <w:pStyle w:val="Compact"/>
              <w:jc w:val="left"/>
            </w:pPr>
            <w:r>
              <w:t xml:space="preserve">22.6 (1.9)</w:t>
            </w:r>
          </w:p>
        </w:tc>
      </w:tr>
      <w:tr>
        <w:tc>
          <w:tcPr/>
          <w:p>
            <w:pPr>
              <w:pStyle w:val="Compact"/>
              <w:jc w:val="left"/>
            </w:pPr>
            <w:r>
              <w:t xml:space="preserve">2 Own-use production</w:t>
            </w:r>
          </w:p>
        </w:tc>
        <w:tc>
          <w:tcPr/>
          <w:p>
            <w:pPr>
              <w:pStyle w:val="Compact"/>
              <w:jc w:val="left"/>
            </w:pPr>
            <w:r>
              <w:t xml:space="preserve">27.3</w:t>
            </w:r>
          </w:p>
        </w:tc>
        <w:tc>
          <w:tcPr/>
          <w:p>
            <w:pPr>
              <w:pStyle w:val="Compact"/>
              <w:jc w:val="left"/>
            </w:pPr>
            <w:r>
              <w:t xml:space="preserve">24.8</w:t>
            </w:r>
          </w:p>
        </w:tc>
        <w:tc>
          <w:tcPr/>
          <w:p>
            <w:pPr>
              <w:pStyle w:val="Compact"/>
              <w:jc w:val="left"/>
            </w:pPr>
            <w:r>
              <w:t xml:space="preserve">-2.5 (0.8)</w:t>
            </w:r>
          </w:p>
        </w:tc>
        <w:tc>
          <w:tcPr/>
          <w:p>
            <w:pPr>
              <w:pStyle w:val="Compact"/>
              <w:jc w:val="left"/>
            </w:pPr>
            <w:r>
              <w:t xml:space="preserve">34.2</w:t>
            </w:r>
          </w:p>
        </w:tc>
        <w:tc>
          <w:tcPr/>
          <w:p>
            <w:pPr>
              <w:pStyle w:val="Compact"/>
              <w:jc w:val="left"/>
            </w:pPr>
            <w:r>
              <w:t xml:space="preserve">20.7</w:t>
            </w:r>
          </w:p>
        </w:tc>
        <w:tc>
          <w:tcPr/>
          <w:p>
            <w:pPr>
              <w:pStyle w:val="Compact"/>
              <w:jc w:val="left"/>
            </w:pPr>
            <w:r>
              <w:t xml:space="preserve">-13.5 (1.0)</w:t>
            </w:r>
          </w:p>
        </w:tc>
      </w:tr>
      <w:tr>
        <w:tc>
          <w:tcPr/>
          <w:p>
            <w:pPr>
              <w:pStyle w:val="Compact"/>
              <w:jc w:val="left"/>
            </w:pPr>
            <w:r>
              <w:t xml:space="preserve">    Fetching water and fuel</w:t>
            </w:r>
          </w:p>
        </w:tc>
        <w:tc>
          <w:tcPr/>
          <w:p>
            <w:pPr>
              <w:pStyle w:val="Compact"/>
              <w:jc w:val="left"/>
            </w:pPr>
            <w:r>
              <w:t xml:space="preserve">7.5</w:t>
            </w:r>
          </w:p>
        </w:tc>
        <w:tc>
          <w:tcPr/>
          <w:p>
            <w:pPr>
              <w:pStyle w:val="Compact"/>
              <w:jc w:val="left"/>
            </w:pPr>
            <w:r>
              <w:t xml:space="preserve">7.4</w:t>
            </w:r>
          </w:p>
        </w:tc>
        <w:tc>
          <w:tcPr/>
          <w:p>
            <w:pPr>
              <w:pStyle w:val="Compact"/>
              <w:jc w:val="left"/>
            </w:pPr>
            <w:r>
              <w:t xml:space="preserve">-0.1 (0.3)</w:t>
            </w:r>
          </w:p>
        </w:tc>
        <w:tc>
          <w:tcPr/>
          <w:p>
            <w:pPr>
              <w:pStyle w:val="Compact"/>
              <w:jc w:val="left"/>
            </w:pPr>
            <w:r>
              <w:t xml:space="preserve">1.8</w:t>
            </w:r>
          </w:p>
        </w:tc>
        <w:tc>
          <w:tcPr/>
          <w:p>
            <w:pPr>
              <w:pStyle w:val="Compact"/>
              <w:jc w:val="left"/>
            </w:pPr>
            <w:r>
              <w:t xml:space="preserve">2.1</w:t>
            </w:r>
          </w:p>
        </w:tc>
        <w:tc>
          <w:tcPr/>
          <w:p>
            <w:pPr>
              <w:pStyle w:val="Compact"/>
              <w:jc w:val="left"/>
            </w:pPr>
            <w:r>
              <w:t xml:space="preserve">0.3 (0.1)</w:t>
            </w:r>
          </w:p>
        </w:tc>
      </w:tr>
      <w:tr>
        <w:tc>
          <w:tcPr/>
          <w:p>
            <w:pPr>
              <w:pStyle w:val="Compact"/>
              <w:jc w:val="left"/>
            </w:pPr>
            <w:r>
              <w:t xml:space="preserve">3 Unpaid domestic services</w:t>
            </w:r>
          </w:p>
        </w:tc>
        <w:tc>
          <w:tcPr/>
          <w:p>
            <w:pPr>
              <w:pStyle w:val="Compact"/>
              <w:jc w:val="left"/>
            </w:pPr>
            <w:r>
              <w:t xml:space="preserve">293.1</w:t>
            </w:r>
          </w:p>
        </w:tc>
        <w:tc>
          <w:tcPr/>
          <w:p>
            <w:pPr>
              <w:pStyle w:val="Compact"/>
              <w:jc w:val="left"/>
            </w:pPr>
            <w:r>
              <w:t xml:space="preserve">280.4</w:t>
            </w:r>
          </w:p>
        </w:tc>
        <w:tc>
          <w:tcPr/>
          <w:p>
            <w:pPr>
              <w:pStyle w:val="Compact"/>
              <w:jc w:val="left"/>
            </w:pPr>
            <w:r>
              <w:t xml:space="preserve">-12.7 (1.3)</w:t>
            </w:r>
          </w:p>
        </w:tc>
        <w:tc>
          <w:tcPr/>
          <w:p>
            <w:pPr>
              <w:pStyle w:val="Compact"/>
              <w:jc w:val="left"/>
            </w:pPr>
            <w:r>
              <w:t xml:space="preserve">30.5</w:t>
            </w:r>
          </w:p>
        </w:tc>
        <w:tc>
          <w:tcPr/>
          <w:p>
            <w:pPr>
              <w:pStyle w:val="Compact"/>
              <w:jc w:val="left"/>
            </w:pPr>
            <w:r>
              <w:t xml:space="preserve">28.0</w:t>
            </w:r>
          </w:p>
        </w:tc>
        <w:tc>
          <w:tcPr/>
          <w:p>
            <w:pPr>
              <w:pStyle w:val="Compact"/>
              <w:jc w:val="left"/>
            </w:pPr>
            <w:r>
              <w:t xml:space="preserve">-2.4 (0.5)</w:t>
            </w:r>
          </w:p>
        </w:tc>
      </w:tr>
      <w:tr>
        <w:tc>
          <w:tcPr/>
          <w:p>
            <w:pPr>
              <w:pStyle w:val="Compact"/>
              <w:jc w:val="left"/>
            </w:pPr>
            <w:r>
              <w:t xml:space="preserve">    Food and meals</w:t>
            </w:r>
          </w:p>
        </w:tc>
        <w:tc>
          <w:tcPr/>
          <w:p>
            <w:pPr>
              <w:pStyle w:val="Compact"/>
              <w:jc w:val="left"/>
            </w:pPr>
            <w:r>
              <w:t xml:space="preserve">190.5</w:t>
            </w:r>
          </w:p>
        </w:tc>
        <w:tc>
          <w:tcPr/>
          <w:p>
            <w:pPr>
              <w:pStyle w:val="Compact"/>
              <w:jc w:val="left"/>
            </w:pPr>
            <w:r>
              <w:t xml:space="preserve">192.8</w:t>
            </w:r>
          </w:p>
        </w:tc>
        <w:tc>
          <w:tcPr/>
          <w:p>
            <w:pPr>
              <w:pStyle w:val="Compact"/>
              <w:jc w:val="left"/>
            </w:pPr>
            <w:r>
              <w:t xml:space="preserve">2.3 (1.0)</w:t>
            </w:r>
          </w:p>
        </w:tc>
        <w:tc>
          <w:tcPr/>
          <w:p>
            <w:pPr>
              <w:pStyle w:val="Compact"/>
              <w:jc w:val="left"/>
            </w:pPr>
            <w:r>
              <w:t xml:space="preserve">6.5</w:t>
            </w:r>
          </w:p>
        </w:tc>
        <w:tc>
          <w:tcPr/>
          <w:p>
            <w:pPr>
              <w:pStyle w:val="Compact"/>
              <w:jc w:val="left"/>
            </w:pPr>
            <w:r>
              <w:t xml:space="preserve">6.7</w:t>
            </w:r>
          </w:p>
        </w:tc>
        <w:tc>
          <w:tcPr/>
          <w:p>
            <w:pPr>
              <w:pStyle w:val="Compact"/>
              <w:jc w:val="left"/>
            </w:pPr>
            <w:r>
              <w:t xml:space="preserve">0.2 (0.2)</w:t>
            </w:r>
          </w:p>
        </w:tc>
      </w:tr>
      <w:tr>
        <w:tc>
          <w:tcPr/>
          <w:p>
            <w:pPr>
              <w:pStyle w:val="Compact"/>
              <w:jc w:val="left"/>
            </w:pPr>
            <w:r>
              <w:t xml:space="preserve">    Cleaning and upkeep</w:t>
            </w:r>
          </w:p>
        </w:tc>
        <w:tc>
          <w:tcPr/>
          <w:p>
            <w:pPr>
              <w:pStyle w:val="Compact"/>
              <w:jc w:val="left"/>
            </w:pPr>
            <w:r>
              <w:t xml:space="preserve">53.6</w:t>
            </w:r>
          </w:p>
        </w:tc>
        <w:tc>
          <w:tcPr/>
          <w:p>
            <w:pPr>
              <w:pStyle w:val="Compact"/>
              <w:jc w:val="left"/>
            </w:pPr>
            <w:r>
              <w:t xml:space="preserve">41.9</w:t>
            </w:r>
          </w:p>
        </w:tc>
        <w:tc>
          <w:tcPr/>
          <w:p>
            <w:pPr>
              <w:pStyle w:val="Compact"/>
              <w:jc w:val="left"/>
            </w:pPr>
            <w:r>
              <w:t xml:space="preserve">-11.8 (0.4)</w:t>
            </w:r>
          </w:p>
        </w:tc>
        <w:tc>
          <w:tcPr/>
          <w:p>
            <w:pPr>
              <w:pStyle w:val="Compact"/>
              <w:jc w:val="left"/>
            </w:pPr>
            <w:r>
              <w:t xml:space="preserve">4.7</w:t>
            </w:r>
          </w:p>
        </w:tc>
        <w:tc>
          <w:tcPr/>
          <w:p>
            <w:pPr>
              <w:pStyle w:val="Compact"/>
              <w:jc w:val="left"/>
            </w:pPr>
            <w:r>
              <w:t xml:space="preserve">3.5</w:t>
            </w:r>
          </w:p>
        </w:tc>
        <w:tc>
          <w:tcPr/>
          <w:p>
            <w:pPr>
              <w:pStyle w:val="Compact"/>
              <w:jc w:val="left"/>
            </w:pPr>
            <w:r>
              <w:t xml:space="preserve">-1.2 (0.1)</w:t>
            </w:r>
          </w:p>
        </w:tc>
      </w:tr>
      <w:tr>
        <w:tc>
          <w:tcPr/>
          <w:p>
            <w:pPr>
              <w:pStyle w:val="Compact"/>
              <w:jc w:val="left"/>
            </w:pPr>
            <w:r>
              <w:t xml:space="preserve">4 Unpaid caregiving</w:t>
            </w:r>
          </w:p>
        </w:tc>
        <w:tc>
          <w:tcPr/>
          <w:p>
            <w:pPr>
              <w:pStyle w:val="Compact"/>
              <w:jc w:val="left"/>
            </w:pPr>
            <w:r>
              <w:t xml:space="preserve">41.1</w:t>
            </w:r>
          </w:p>
        </w:tc>
        <w:tc>
          <w:tcPr/>
          <w:p>
            <w:pPr>
              <w:pStyle w:val="Compact"/>
              <w:jc w:val="left"/>
            </w:pPr>
            <w:r>
              <w:t xml:space="preserve">51.5</w:t>
            </w:r>
          </w:p>
        </w:tc>
        <w:tc>
          <w:tcPr/>
          <w:p>
            <w:pPr>
              <w:pStyle w:val="Compact"/>
              <w:jc w:val="left"/>
            </w:pPr>
            <w:r>
              <w:t xml:space="preserve">10.4 (0.6)</w:t>
            </w:r>
          </w:p>
        </w:tc>
        <w:tc>
          <w:tcPr/>
          <w:p>
            <w:pPr>
              <w:pStyle w:val="Compact"/>
              <w:jc w:val="left"/>
            </w:pPr>
            <w:r>
              <w:t xml:space="preserve">11.8</w:t>
            </w:r>
          </w:p>
        </w:tc>
        <w:tc>
          <w:tcPr/>
          <w:p>
            <w:pPr>
              <w:pStyle w:val="Compact"/>
              <w:jc w:val="left"/>
            </w:pPr>
            <w:r>
              <w:t xml:space="preserve">15.2</w:t>
            </w:r>
          </w:p>
        </w:tc>
        <w:tc>
          <w:tcPr/>
          <w:p>
            <w:pPr>
              <w:pStyle w:val="Compact"/>
              <w:jc w:val="left"/>
            </w:pPr>
            <w:r>
              <w:t xml:space="preserve">3.4 (0.3)</w:t>
            </w:r>
          </w:p>
        </w:tc>
      </w:tr>
      <w:tr>
        <w:tc>
          <w:tcPr/>
          <w:p>
            <w:pPr>
              <w:pStyle w:val="Compact"/>
              <w:jc w:val="left"/>
            </w:pPr>
            <w:r>
              <w:t xml:space="preserve">    Childcare</w:t>
            </w:r>
          </w:p>
        </w:tc>
        <w:tc>
          <w:tcPr/>
          <w:p>
            <w:pPr>
              <w:pStyle w:val="Compact"/>
              <w:jc w:val="left"/>
            </w:pPr>
            <w:r>
              <w:t xml:space="preserve">39.6</w:t>
            </w:r>
          </w:p>
        </w:tc>
        <w:tc>
          <w:tcPr/>
          <w:p>
            <w:pPr>
              <w:pStyle w:val="Compact"/>
              <w:jc w:val="left"/>
            </w:pPr>
            <w:r>
              <w:t xml:space="preserve">49.5</w:t>
            </w:r>
          </w:p>
        </w:tc>
        <w:tc>
          <w:tcPr/>
          <w:p>
            <w:pPr>
              <w:pStyle w:val="Compact"/>
              <w:jc w:val="left"/>
            </w:pPr>
            <w:r>
              <w:t xml:space="preserve">9.9 (0.6)</w:t>
            </w:r>
          </w:p>
        </w:tc>
        <w:tc>
          <w:tcPr/>
          <w:p>
            <w:pPr>
              <w:pStyle w:val="Compact"/>
              <w:jc w:val="left"/>
            </w:pPr>
            <w:r>
              <w:t xml:space="preserve">10.9</w:t>
            </w:r>
          </w:p>
        </w:tc>
        <w:tc>
          <w:tcPr/>
          <w:p>
            <w:pPr>
              <w:pStyle w:val="Compact"/>
              <w:jc w:val="left"/>
            </w:pPr>
            <w:r>
              <w:t xml:space="preserve">14.0</w:t>
            </w:r>
          </w:p>
        </w:tc>
        <w:tc>
          <w:tcPr/>
          <w:p>
            <w:pPr>
              <w:pStyle w:val="Compact"/>
              <w:jc w:val="left"/>
            </w:pPr>
            <w:r>
              <w:t xml:space="preserve">3.1 (0.2)</w:t>
            </w:r>
          </w:p>
        </w:tc>
      </w:tr>
      <w:tr>
        <w:tc>
          <w:tcPr/>
          <w:p>
            <w:pPr>
              <w:pStyle w:val="Compact"/>
              <w:jc w:val="left"/>
            </w:pPr>
            <w:r>
              <w:t xml:space="preserve">    Care of dependent adults</w:t>
            </w:r>
          </w:p>
        </w:tc>
        <w:tc>
          <w:tcPr/>
          <w:p>
            <w:pPr>
              <w:pStyle w:val="Compact"/>
              <w:jc w:val="left"/>
            </w:pPr>
            <w:r>
              <w:t xml:space="preserve">0.6</w:t>
            </w:r>
          </w:p>
        </w:tc>
        <w:tc>
          <w:tcPr/>
          <w:p>
            <w:pPr>
              <w:pStyle w:val="Compact"/>
              <w:jc w:val="left"/>
            </w:pPr>
            <w:r>
              <w:t xml:space="preserve">0.8</w:t>
            </w:r>
          </w:p>
        </w:tc>
        <w:tc>
          <w:tcPr/>
          <w:p>
            <w:pPr>
              <w:pStyle w:val="Compact"/>
              <w:jc w:val="left"/>
            </w:pPr>
            <w:r>
              <w:t xml:space="preserve">0.2 (0.0)</w:t>
            </w:r>
          </w:p>
        </w:tc>
        <w:tc>
          <w:tcPr/>
          <w:p>
            <w:pPr>
              <w:pStyle w:val="Compact"/>
              <w:jc w:val="left"/>
            </w:pPr>
            <w:r>
              <w:t xml:space="preserve">0.3</w:t>
            </w:r>
          </w:p>
        </w:tc>
        <w:tc>
          <w:tcPr/>
          <w:p>
            <w:pPr>
              <w:pStyle w:val="Compact"/>
              <w:jc w:val="left"/>
            </w:pPr>
            <w:r>
              <w:t xml:space="preserve">0.3</w:t>
            </w:r>
          </w:p>
        </w:tc>
        <w:tc>
          <w:tcPr/>
          <w:p>
            <w:pPr>
              <w:pStyle w:val="Compact"/>
              <w:jc w:val="left"/>
            </w:pPr>
            <w:r>
              <w:t xml:space="preserve">0.0 (0.0)</w:t>
            </w:r>
          </w:p>
        </w:tc>
      </w:tr>
      <w:tr>
        <w:tc>
          <w:tcPr/>
          <w:p>
            <w:pPr>
              <w:pStyle w:val="Compact"/>
              <w:jc w:val="left"/>
            </w:pPr>
            <w:r>
              <w:t xml:space="preserve">5 Volunteer and other unpaid work</w:t>
            </w:r>
          </w:p>
        </w:tc>
        <w:tc>
          <w:tcPr/>
          <w:p>
            <w:pPr>
              <w:pStyle w:val="Compact"/>
              <w:jc w:val="left"/>
            </w:pPr>
            <w:r>
              <w:t xml:space="preserve">2.3</w:t>
            </w:r>
          </w:p>
        </w:tc>
        <w:tc>
          <w:tcPr/>
          <w:p>
            <w:pPr>
              <w:pStyle w:val="Compact"/>
              <w:jc w:val="left"/>
            </w:pPr>
            <w:r>
              <w:t xml:space="preserve">1.4</w:t>
            </w:r>
          </w:p>
        </w:tc>
        <w:tc>
          <w:tcPr/>
          <w:p>
            <w:pPr>
              <w:pStyle w:val="Compact"/>
              <w:jc w:val="left"/>
            </w:pPr>
            <w:r>
              <w:t xml:space="preserve">-0.8 (0.1)</w:t>
            </w:r>
          </w:p>
        </w:tc>
        <w:tc>
          <w:tcPr/>
          <w:p>
            <w:pPr>
              <w:pStyle w:val="Compact"/>
              <w:jc w:val="left"/>
            </w:pPr>
            <w:r>
              <w:t xml:space="preserve">3.2</w:t>
            </w:r>
          </w:p>
        </w:tc>
        <w:tc>
          <w:tcPr/>
          <w:p>
            <w:pPr>
              <w:pStyle w:val="Compact"/>
              <w:jc w:val="left"/>
            </w:pPr>
            <w:r>
              <w:t xml:space="preserve">1.4</w:t>
            </w:r>
          </w:p>
        </w:tc>
        <w:tc>
          <w:tcPr/>
          <w:p>
            <w:pPr>
              <w:pStyle w:val="Compact"/>
              <w:jc w:val="left"/>
            </w:pPr>
            <w:r>
              <w:t xml:space="preserve">-1.8 (0.2)</w:t>
            </w:r>
          </w:p>
        </w:tc>
      </w:tr>
      <w:tr>
        <w:tc>
          <w:tcPr/>
          <w:p>
            <w:pPr>
              <w:pStyle w:val="Compact"/>
              <w:jc w:val="left"/>
            </w:pPr>
            <w:r>
              <w:t xml:space="preserve">6 Learning</w:t>
            </w:r>
          </w:p>
        </w:tc>
        <w:tc>
          <w:tcPr/>
          <w:p>
            <w:pPr>
              <w:pStyle w:val="Compact"/>
              <w:jc w:val="left"/>
            </w:pPr>
            <w:r>
              <w:t xml:space="preserve">40.3</w:t>
            </w:r>
          </w:p>
        </w:tc>
        <w:tc>
          <w:tcPr/>
          <w:p>
            <w:pPr>
              <w:pStyle w:val="Compact"/>
              <w:jc w:val="left"/>
            </w:pPr>
            <w:r>
              <w:t xml:space="preserve">40.7</w:t>
            </w:r>
          </w:p>
        </w:tc>
        <w:tc>
          <w:tcPr/>
          <w:p>
            <w:pPr>
              <w:pStyle w:val="Compact"/>
              <w:jc w:val="left"/>
            </w:pPr>
            <w:r>
              <w:t xml:space="preserve">0.4 (0.7)</w:t>
            </w:r>
          </w:p>
        </w:tc>
        <w:tc>
          <w:tcPr/>
          <w:p>
            <w:pPr>
              <w:pStyle w:val="Compact"/>
              <w:jc w:val="left"/>
            </w:pPr>
            <w:r>
              <w:t xml:space="preserve">53.0</w:t>
            </w:r>
          </w:p>
        </w:tc>
        <w:tc>
          <w:tcPr/>
          <w:p>
            <w:pPr>
              <w:pStyle w:val="Compact"/>
              <w:jc w:val="left"/>
            </w:pPr>
            <w:r>
              <w:t xml:space="preserve">47.9</w:t>
            </w:r>
          </w:p>
        </w:tc>
        <w:tc>
          <w:tcPr/>
          <w:p>
            <w:pPr>
              <w:pStyle w:val="Compact"/>
              <w:jc w:val="left"/>
            </w:pPr>
            <w:r>
              <w:t xml:space="preserve">-5.1 (0.9)</w:t>
            </w:r>
          </w:p>
        </w:tc>
      </w:tr>
      <w:tr>
        <w:tc>
          <w:tcPr/>
          <w:p>
            <w:pPr>
              <w:pStyle w:val="Compact"/>
              <w:jc w:val="left"/>
            </w:pPr>
            <w:r>
              <w:t xml:space="preserve">7 Socialising and religious practice</w:t>
            </w:r>
          </w:p>
        </w:tc>
        <w:tc>
          <w:tcPr/>
          <w:p>
            <w:pPr>
              <w:pStyle w:val="Compact"/>
              <w:jc w:val="left"/>
            </w:pPr>
            <w:r>
              <w:t xml:space="preserve">99.2</w:t>
            </w:r>
          </w:p>
        </w:tc>
        <w:tc>
          <w:tcPr/>
          <w:p>
            <w:pPr>
              <w:pStyle w:val="Compact"/>
              <w:jc w:val="left"/>
            </w:pPr>
            <w:r>
              <w:t xml:space="preserve">108.4</w:t>
            </w:r>
          </w:p>
        </w:tc>
        <w:tc>
          <w:tcPr/>
          <w:p>
            <w:pPr>
              <w:pStyle w:val="Compact"/>
              <w:jc w:val="left"/>
            </w:pPr>
            <w:r>
              <w:t xml:space="preserve">9.2 (1.0)</w:t>
            </w:r>
          </w:p>
        </w:tc>
        <w:tc>
          <w:tcPr/>
          <w:p>
            <w:pPr>
              <w:pStyle w:val="Compact"/>
              <w:jc w:val="left"/>
            </w:pPr>
            <w:r>
              <w:t xml:space="preserve">105.1</w:t>
            </w:r>
          </w:p>
        </w:tc>
        <w:tc>
          <w:tcPr/>
          <w:p>
            <w:pPr>
              <w:pStyle w:val="Compact"/>
              <w:jc w:val="left"/>
            </w:pPr>
            <w:r>
              <w:t xml:space="preserve">104.2</w:t>
            </w:r>
          </w:p>
        </w:tc>
        <w:tc>
          <w:tcPr/>
          <w:p>
            <w:pPr>
              <w:pStyle w:val="Compact"/>
              <w:jc w:val="left"/>
            </w:pPr>
            <w:r>
              <w:t xml:space="preserve">-1.0 (1.0)</w:t>
            </w:r>
          </w:p>
        </w:tc>
      </w:tr>
      <w:tr>
        <w:tc>
          <w:tcPr/>
          <w:p>
            <w:pPr>
              <w:pStyle w:val="Compact"/>
              <w:jc w:val="left"/>
            </w:pPr>
            <w:r>
              <w:t xml:space="preserve">8 Leisure, mass media and sports</w:t>
            </w:r>
          </w:p>
        </w:tc>
        <w:tc>
          <w:tcPr/>
          <w:p>
            <w:pPr>
              <w:pStyle w:val="Compact"/>
              <w:jc w:val="left"/>
            </w:pPr>
            <w:r>
              <w:t xml:space="preserve">133.5</w:t>
            </w:r>
          </w:p>
        </w:tc>
        <w:tc>
          <w:tcPr/>
          <w:p>
            <w:pPr>
              <w:pStyle w:val="Compact"/>
              <w:jc w:val="left"/>
            </w:pPr>
            <w:r>
              <w:t xml:space="preserve">137.4</w:t>
            </w:r>
          </w:p>
        </w:tc>
        <w:tc>
          <w:tcPr/>
          <w:p>
            <w:pPr>
              <w:pStyle w:val="Compact"/>
              <w:jc w:val="left"/>
            </w:pPr>
            <w:r>
              <w:t xml:space="preserve">3.8 (1.1)</w:t>
            </w:r>
          </w:p>
        </w:tc>
        <w:tc>
          <w:tcPr/>
          <w:p>
            <w:pPr>
              <w:pStyle w:val="Compact"/>
              <w:jc w:val="left"/>
            </w:pPr>
            <w:r>
              <w:t xml:space="preserve">135.1</w:t>
            </w:r>
          </w:p>
        </w:tc>
        <w:tc>
          <w:tcPr/>
          <w:p>
            <w:pPr>
              <w:pStyle w:val="Compact"/>
              <w:jc w:val="left"/>
            </w:pPr>
            <w:r>
              <w:t xml:space="preserve">156.7</w:t>
            </w:r>
          </w:p>
        </w:tc>
        <w:tc>
          <w:tcPr/>
          <w:p>
            <w:pPr>
              <w:pStyle w:val="Compact"/>
              <w:jc w:val="left"/>
            </w:pPr>
            <w:r>
              <w:t xml:space="preserve">21.6 (1.0)</w:t>
            </w:r>
          </w:p>
        </w:tc>
      </w:tr>
      <w:tr>
        <w:tc>
          <w:tcPr/>
          <w:p>
            <w:pPr>
              <w:pStyle w:val="Compact"/>
              <w:jc w:val="left"/>
            </w:pPr>
            <w:r>
              <w:t xml:space="preserve">    Mass media</w:t>
            </w:r>
          </w:p>
        </w:tc>
        <w:tc>
          <w:tcPr/>
          <w:p>
            <w:pPr>
              <w:pStyle w:val="Compact"/>
              <w:jc w:val="left"/>
            </w:pPr>
            <w:r>
              <w:t xml:space="preserve">74.1</w:t>
            </w:r>
          </w:p>
        </w:tc>
        <w:tc>
          <w:tcPr/>
          <w:p>
            <w:pPr>
              <w:pStyle w:val="Compact"/>
              <w:jc w:val="left"/>
            </w:pPr>
            <w:r>
              <w:t xml:space="preserve">76.1</w:t>
            </w:r>
          </w:p>
        </w:tc>
        <w:tc>
          <w:tcPr/>
          <w:p>
            <w:pPr>
              <w:pStyle w:val="Compact"/>
              <w:jc w:val="left"/>
            </w:pPr>
            <w:r>
              <w:t xml:space="preserve">2.1 (0.9)</w:t>
            </w:r>
          </w:p>
        </w:tc>
        <w:tc>
          <w:tcPr/>
          <w:p>
            <w:pPr>
              <w:pStyle w:val="Compact"/>
              <w:jc w:val="left"/>
            </w:pPr>
            <w:r>
              <w:t xml:space="preserve">72.5</w:t>
            </w:r>
          </w:p>
        </w:tc>
        <w:tc>
          <w:tcPr/>
          <w:p>
            <w:pPr>
              <w:pStyle w:val="Compact"/>
              <w:jc w:val="left"/>
            </w:pPr>
            <w:r>
              <w:t xml:space="preserve">86.1</w:t>
            </w:r>
          </w:p>
        </w:tc>
        <w:tc>
          <w:tcPr/>
          <w:p>
            <w:pPr>
              <w:pStyle w:val="Compact"/>
              <w:jc w:val="left"/>
            </w:pPr>
            <w:r>
              <w:t xml:space="preserve">13.6 (0.8)</w:t>
            </w:r>
          </w:p>
        </w:tc>
      </w:tr>
      <w:tr>
        <w:tc>
          <w:tcPr/>
          <w:p>
            <w:pPr>
              <w:pStyle w:val="Compact"/>
              <w:jc w:val="left"/>
            </w:pPr>
            <w:r>
              <w:t xml:space="preserve">9 Self-care and maintenance</w:t>
            </w:r>
          </w:p>
        </w:tc>
        <w:tc>
          <w:tcPr/>
          <w:p>
            <w:pPr>
              <w:pStyle w:val="Compact"/>
              <w:jc w:val="left"/>
            </w:pPr>
            <w:r>
              <w:t xml:space="preserve">729.7</w:t>
            </w:r>
          </w:p>
        </w:tc>
        <w:tc>
          <w:tcPr/>
          <w:p>
            <w:pPr>
              <w:pStyle w:val="Compact"/>
              <w:jc w:val="left"/>
            </w:pPr>
            <w:r>
              <w:t xml:space="preserve">710.8</w:t>
            </w:r>
          </w:p>
        </w:tc>
        <w:tc>
          <w:tcPr/>
          <w:p>
            <w:pPr>
              <w:pStyle w:val="Compact"/>
              <w:jc w:val="left"/>
            </w:pPr>
            <w:r>
              <w:t xml:space="preserve">-18.9 (1.2)</w:t>
            </w:r>
          </w:p>
        </w:tc>
        <w:tc>
          <w:tcPr/>
          <w:p>
            <w:pPr>
              <w:pStyle w:val="Compact"/>
              <w:jc w:val="left"/>
            </w:pPr>
            <w:r>
              <w:t xml:space="preserve">742.2</w:t>
            </w:r>
          </w:p>
        </w:tc>
        <w:tc>
          <w:tcPr/>
          <w:p>
            <w:pPr>
              <w:pStyle w:val="Compact"/>
              <w:jc w:val="left"/>
            </w:pPr>
            <w:r>
              <w:t xml:space="preserve">718.4</w:t>
            </w:r>
          </w:p>
        </w:tc>
        <w:tc>
          <w:tcPr/>
          <w:p>
            <w:pPr>
              <w:pStyle w:val="Compact"/>
              <w:jc w:val="left"/>
            </w:pPr>
            <w:r>
              <w:t xml:space="preserve">-23.8 (1.1)</w:t>
            </w:r>
          </w:p>
        </w:tc>
      </w:tr>
      <w:tr>
        <w:tc>
          <w:tcPr/>
          <w:p>
            <w:pPr>
              <w:pStyle w:val="Compact"/>
              <w:jc w:val="left"/>
            </w:pPr>
            <w:r>
              <w:t xml:space="preserve">    Sleep</w:t>
            </w:r>
          </w:p>
        </w:tc>
        <w:tc>
          <w:tcPr/>
          <w:p>
            <w:pPr>
              <w:pStyle w:val="Compact"/>
              <w:jc w:val="left"/>
            </w:pPr>
            <w:r>
              <w:t xml:space="preserve">550.0</w:t>
            </w:r>
          </w:p>
        </w:tc>
        <w:tc>
          <w:tcPr/>
          <w:p>
            <w:pPr>
              <w:pStyle w:val="Compact"/>
              <w:jc w:val="left"/>
            </w:pPr>
            <w:r>
              <w:t xml:space="preserve">543.6</w:t>
            </w:r>
          </w:p>
        </w:tc>
        <w:tc>
          <w:tcPr/>
          <w:p>
            <w:pPr>
              <w:pStyle w:val="Compact"/>
              <w:jc w:val="left"/>
            </w:pPr>
            <w:r>
              <w:t xml:space="preserve">-6.4 (1.0)</w:t>
            </w:r>
          </w:p>
        </w:tc>
        <w:tc>
          <w:tcPr/>
          <w:p>
            <w:pPr>
              <w:pStyle w:val="Compact"/>
              <w:jc w:val="left"/>
            </w:pPr>
            <w:r>
              <w:t xml:space="preserve">539.1</w:t>
            </w:r>
          </w:p>
        </w:tc>
        <w:tc>
          <w:tcPr/>
          <w:p>
            <w:pPr>
              <w:pStyle w:val="Compact"/>
              <w:jc w:val="left"/>
            </w:pPr>
            <w:r>
              <w:t xml:space="preserve">532.5</w:t>
            </w:r>
          </w:p>
        </w:tc>
        <w:tc>
          <w:tcPr/>
          <w:p>
            <w:pPr>
              <w:pStyle w:val="Compact"/>
              <w:jc w:val="left"/>
            </w:pPr>
            <w:r>
              <w:t xml:space="preserve">-6.6 (0.9)</w:t>
            </w:r>
          </w:p>
        </w:tc>
      </w:tr>
      <w:tr>
        <w:tc>
          <w:tcPr/>
          <w:p>
            <w:pPr>
              <w:pStyle w:val="Compact"/>
              <w:jc w:val="left"/>
            </w:pPr>
            <w:r>
              <w:t xml:space="preserve">    Eating and drinking</w:t>
            </w:r>
          </w:p>
        </w:tc>
        <w:tc>
          <w:tcPr/>
          <w:p>
            <w:pPr>
              <w:pStyle w:val="Compact"/>
              <w:jc w:val="left"/>
            </w:pPr>
            <w:r>
              <w:t xml:space="preserve">105.4</w:t>
            </w:r>
          </w:p>
        </w:tc>
        <w:tc>
          <w:tcPr/>
          <w:p>
            <w:pPr>
              <w:pStyle w:val="Compact"/>
              <w:jc w:val="left"/>
            </w:pPr>
            <w:r>
              <w:t xml:space="preserve">98.4</w:t>
            </w:r>
          </w:p>
        </w:tc>
        <w:tc>
          <w:tcPr/>
          <w:p>
            <w:pPr>
              <w:pStyle w:val="Compact"/>
              <w:jc w:val="left"/>
            </w:pPr>
            <w:r>
              <w:t xml:space="preserve">-7.0 (0.6)</w:t>
            </w:r>
          </w:p>
        </w:tc>
        <w:tc>
          <w:tcPr/>
          <w:p>
            <w:pPr>
              <w:pStyle w:val="Compact"/>
              <w:jc w:val="left"/>
            </w:pPr>
            <w:r>
              <w:t xml:space="preserve">119.6</w:t>
            </w:r>
          </w:p>
        </w:tc>
        <w:tc>
          <w:tcPr/>
          <w:p>
            <w:pPr>
              <w:pStyle w:val="Compact"/>
              <w:jc w:val="left"/>
            </w:pPr>
            <w:r>
              <w:t xml:space="preserve">110.9</w:t>
            </w:r>
          </w:p>
        </w:tc>
        <w:tc>
          <w:tcPr/>
          <w:p>
            <w:pPr>
              <w:pStyle w:val="Compact"/>
              <w:jc w:val="left"/>
            </w:pPr>
            <w:r>
              <w:t xml:space="preserve">-8.7 (0.6)</w:t>
            </w:r>
          </w:p>
        </w:tc>
      </w:tr>
      <w:tr>
        <w:tc>
          <w:tcPr/>
          <w:p>
            <w:pPr>
              <w:pStyle w:val="Compact"/>
              <w:jc w:val="left"/>
            </w:pPr>
            <w:r>
              <w:t xml:space="preserve">    Personal hygiene and care</w:t>
            </w:r>
          </w:p>
        </w:tc>
        <w:tc>
          <w:tcPr/>
          <w:p>
            <w:pPr>
              <w:pStyle w:val="Compact"/>
              <w:jc w:val="left"/>
            </w:pPr>
            <w:r>
              <w:t xml:space="preserve">70.9</w:t>
            </w:r>
          </w:p>
        </w:tc>
        <w:tc>
          <w:tcPr/>
          <w:p>
            <w:pPr>
              <w:pStyle w:val="Compact"/>
              <w:jc w:val="left"/>
            </w:pPr>
            <w:r>
              <w:t xml:space="preserve">66.2</w:t>
            </w:r>
          </w:p>
        </w:tc>
        <w:tc>
          <w:tcPr/>
          <w:p>
            <w:pPr>
              <w:pStyle w:val="Compact"/>
              <w:jc w:val="left"/>
            </w:pPr>
            <w:r>
              <w:t xml:space="preserve">-4.7 (0.4)</w:t>
            </w:r>
          </w:p>
        </w:tc>
        <w:tc>
          <w:tcPr/>
          <w:p>
            <w:pPr>
              <w:pStyle w:val="Compact"/>
              <w:jc w:val="left"/>
            </w:pPr>
            <w:r>
              <w:t xml:space="preserve">78.2</w:t>
            </w:r>
          </w:p>
        </w:tc>
        <w:tc>
          <w:tcPr/>
          <w:p>
            <w:pPr>
              <w:pStyle w:val="Compact"/>
              <w:jc w:val="left"/>
            </w:pPr>
            <w:r>
              <w:t xml:space="preserve">71.6</w:t>
            </w:r>
          </w:p>
        </w:tc>
        <w:tc>
          <w:tcPr/>
          <w:p>
            <w:pPr>
              <w:pStyle w:val="Compact"/>
              <w:jc w:val="left"/>
            </w:pPr>
            <w:r>
              <w:t xml:space="preserve">-6.6 (0.4)</w:t>
            </w:r>
          </w:p>
        </w:tc>
      </w:tr>
    </w:tbl>
    <w:p>
      <w:pPr>
        <w:pStyle w:val="BodyText"/>
      </w:pPr>
      <w:r>
        <w:rPr>
          <w:i/>
          <w:iCs/>
        </w:rPr>
        <w:t xml:space="preserve">Note:</w:t>
      </w:r>
      <w:r>
        <w:t xml:space="preserve"> </w:t>
      </w:r>
      <w:r>
        <w:t xml:space="preserve">Fetching water and fuel is part of own-use production, following ICATUS 2016. Standard errors clustered by first-stage unit within year.</w:t>
      </w:r>
    </w:p>
    <w:p>
      <w:pPr>
        <w:pStyle w:val="TableCaption"/>
      </w:pPr>
      <w:r>
        <w:t xml:space="preserve">Table 10. Women: change in minutes per day within usual principal activity status, 2019 to 2024</w:t>
      </w:r>
    </w:p>
    <w:tbl>
      <w:tblPr>
        <w:tblStyle w:val="Table"/>
        <w:tblW w:type="pct" w:w="5000"/>
        <w:tblLayout w:type="fixed"/>
        <w:tblLook w:firstRow="1" w:lastRow="0" w:firstColumn="0" w:lastColumn="0" w:noHBand="0" w:noVBand="0" w:val="0020"/>
        <w:tblCaption w:val="Table 10. Women: change in minutes per day within usual principal activity status, 2019 to 2024"/>
      </w:tblPr>
      <w:tblGrid>
        <w:gridCol w:w="2335"/>
        <w:gridCol w:w="1523"/>
        <w:gridCol w:w="2233"/>
        <w:gridCol w:w="1827"/>
      </w:tblGrid>
      <w:tr>
        <w:trPr>
          <w:tblHeader w:val="on"/>
        </w:trPr>
        <w:tc>
          <w:tcPr/>
          <w:p>
            <w:pPr>
              <w:pStyle w:val="Compact"/>
              <w:jc w:val="left"/>
            </w:pPr>
            <w:r>
              <w:t xml:space="preserve">Usual principal status</w:t>
            </w:r>
          </w:p>
        </w:tc>
        <w:tc>
          <w:tcPr/>
          <w:p>
            <w:pPr>
              <w:pStyle w:val="Compact"/>
              <w:jc w:val="left"/>
            </w:pPr>
            <w:r>
              <w:t xml:space="preserve">Employment (1)</w:t>
            </w:r>
          </w:p>
        </w:tc>
        <w:tc>
          <w:tcPr/>
          <w:p>
            <w:pPr>
              <w:pStyle w:val="Compact"/>
              <w:jc w:val="left"/>
            </w:pPr>
            <w:r>
              <w:t xml:space="preserve">Production work (1+2)</w:t>
            </w:r>
          </w:p>
        </w:tc>
        <w:tc>
          <w:tcPr/>
          <w:p>
            <w:pPr>
              <w:pStyle w:val="Compact"/>
              <w:jc w:val="left"/>
            </w:pPr>
            <w:r>
              <w:t xml:space="preserve">Unpaid work (3+4)</w:t>
            </w:r>
          </w:p>
        </w:tc>
      </w:tr>
      <w:tr>
        <w:tc>
          <w:tcPr/>
          <w:p>
            <w:pPr>
              <w:pStyle w:val="Compact"/>
              <w:jc w:val="left"/>
            </w:pPr>
            <w:r>
              <w:t xml:space="preserve">Self-employed</w:t>
            </w:r>
          </w:p>
        </w:tc>
        <w:tc>
          <w:tcPr/>
          <w:p>
            <w:pPr>
              <w:pStyle w:val="Compact"/>
              <w:jc w:val="left"/>
            </w:pPr>
            <w:r>
              <w:t xml:space="preserve">-4.8 (4.9)</w:t>
            </w:r>
          </w:p>
        </w:tc>
        <w:tc>
          <w:tcPr/>
          <w:p>
            <w:pPr>
              <w:pStyle w:val="Compact"/>
              <w:jc w:val="left"/>
            </w:pPr>
            <w:r>
              <w:t xml:space="preserve">-18.9 (3.7)</w:t>
            </w:r>
          </w:p>
        </w:tc>
        <w:tc>
          <w:tcPr/>
          <w:p>
            <w:pPr>
              <w:pStyle w:val="Compact"/>
              <w:jc w:val="left"/>
            </w:pPr>
            <w:r>
              <w:t xml:space="preserve">18.3 (3.3)</w:t>
            </w:r>
          </w:p>
        </w:tc>
      </w:tr>
      <w:tr>
        <w:tc>
          <w:tcPr/>
          <w:p>
            <w:pPr>
              <w:pStyle w:val="Compact"/>
              <w:jc w:val="left"/>
            </w:pPr>
            <w:r>
              <w:t xml:space="preserve">Unpaid family helper</w:t>
            </w:r>
          </w:p>
        </w:tc>
        <w:tc>
          <w:tcPr/>
          <w:p>
            <w:pPr>
              <w:pStyle w:val="Compact"/>
              <w:jc w:val="left"/>
            </w:pPr>
            <w:r>
              <w:t xml:space="preserve">49.5 (6.1)</w:t>
            </w:r>
          </w:p>
        </w:tc>
        <w:tc>
          <w:tcPr/>
          <w:p>
            <w:pPr>
              <w:pStyle w:val="Compact"/>
              <w:jc w:val="left"/>
            </w:pPr>
            <w:r>
              <w:t xml:space="preserve">26.7 (5.3)</w:t>
            </w:r>
          </w:p>
        </w:tc>
        <w:tc>
          <w:tcPr/>
          <w:p>
            <w:pPr>
              <w:pStyle w:val="Compact"/>
              <w:jc w:val="left"/>
            </w:pPr>
            <w:r>
              <w:t xml:space="preserve">-8.6 (3.6)</w:t>
            </w:r>
          </w:p>
        </w:tc>
      </w:tr>
      <w:tr>
        <w:tc>
          <w:tcPr/>
          <w:p>
            <w:pPr>
              <w:pStyle w:val="Compact"/>
              <w:jc w:val="left"/>
            </w:pPr>
            <w:r>
              <w:t xml:space="preserve">Regular wage/salaried</w:t>
            </w:r>
          </w:p>
        </w:tc>
        <w:tc>
          <w:tcPr/>
          <w:p>
            <w:pPr>
              <w:pStyle w:val="Compact"/>
              <w:jc w:val="left"/>
            </w:pPr>
            <w:r>
              <w:t xml:space="preserve">3.7 (4.0)</w:t>
            </w:r>
          </w:p>
        </w:tc>
        <w:tc>
          <w:tcPr/>
          <w:p>
            <w:pPr>
              <w:pStyle w:val="Compact"/>
              <w:jc w:val="left"/>
            </w:pPr>
            <w:r>
              <w:t xml:space="preserve">1.8 (3.9)</w:t>
            </w:r>
          </w:p>
        </w:tc>
        <w:tc>
          <w:tcPr/>
          <w:p>
            <w:pPr>
              <w:pStyle w:val="Compact"/>
              <w:jc w:val="left"/>
            </w:pPr>
            <w:r>
              <w:t xml:space="preserve">0.1 (3.3)</w:t>
            </w:r>
          </w:p>
        </w:tc>
      </w:tr>
      <w:tr>
        <w:tc>
          <w:tcPr/>
          <w:p>
            <w:pPr>
              <w:pStyle w:val="Compact"/>
              <w:jc w:val="left"/>
            </w:pPr>
            <w:r>
              <w:t xml:space="preserve">Casual labour</w:t>
            </w:r>
          </w:p>
        </w:tc>
        <w:tc>
          <w:tcPr/>
          <w:p>
            <w:pPr>
              <w:pStyle w:val="Compact"/>
              <w:jc w:val="left"/>
            </w:pPr>
            <w:r>
              <w:t xml:space="preserve">22.9 (4.5)</w:t>
            </w:r>
          </w:p>
        </w:tc>
        <w:tc>
          <w:tcPr/>
          <w:p>
            <w:pPr>
              <w:pStyle w:val="Compact"/>
              <w:jc w:val="left"/>
            </w:pPr>
            <w:r>
              <w:t xml:space="preserve">15.5 (4.2)</w:t>
            </w:r>
          </w:p>
        </w:tc>
        <w:tc>
          <w:tcPr/>
          <w:p>
            <w:pPr>
              <w:pStyle w:val="Compact"/>
              <w:jc w:val="left"/>
            </w:pPr>
            <w:r>
              <w:t xml:space="preserve">-5.8 (2.8)</w:t>
            </w:r>
          </w:p>
        </w:tc>
      </w:tr>
      <w:tr>
        <w:tc>
          <w:tcPr/>
          <w:p>
            <w:pPr>
              <w:pStyle w:val="Compact"/>
              <w:jc w:val="left"/>
            </w:pPr>
            <w:r>
              <w:t xml:space="preserve">Domestic duties</w:t>
            </w:r>
          </w:p>
        </w:tc>
        <w:tc>
          <w:tcPr/>
          <w:p>
            <w:pPr>
              <w:pStyle w:val="Compact"/>
              <w:jc w:val="left"/>
            </w:pPr>
            <w:r>
              <w:t xml:space="preserve">-2.4 (0.5)</w:t>
            </w:r>
          </w:p>
        </w:tc>
        <w:tc>
          <w:tcPr/>
          <w:p>
            <w:pPr>
              <w:pStyle w:val="Compact"/>
              <w:jc w:val="left"/>
            </w:pPr>
            <w:r>
              <w:t xml:space="preserve">-2.8 (1.0)</w:t>
            </w:r>
          </w:p>
        </w:tc>
        <w:tc>
          <w:tcPr/>
          <w:p>
            <w:pPr>
              <w:pStyle w:val="Compact"/>
              <w:jc w:val="left"/>
            </w:pPr>
            <w:r>
              <w:t xml:space="preserve">2.5 (1.6)</w:t>
            </w:r>
          </w:p>
        </w:tc>
      </w:tr>
      <w:tr>
        <w:tc>
          <w:tcPr/>
          <w:p>
            <w:pPr>
              <w:pStyle w:val="Compact"/>
              <w:jc w:val="left"/>
            </w:pPr>
            <w:r>
              <w:t xml:space="preserve">Student</w:t>
            </w:r>
          </w:p>
        </w:tc>
        <w:tc>
          <w:tcPr/>
          <w:p>
            <w:pPr>
              <w:pStyle w:val="Compact"/>
              <w:jc w:val="left"/>
            </w:pPr>
            <w:r>
              <w:t xml:space="preserve">-2.9 (0.9)</w:t>
            </w:r>
          </w:p>
        </w:tc>
        <w:tc>
          <w:tcPr/>
          <w:p>
            <w:pPr>
              <w:pStyle w:val="Compact"/>
              <w:jc w:val="left"/>
            </w:pPr>
            <w:r>
              <w:t xml:space="preserve">-4.7 (1.0)</w:t>
            </w:r>
          </w:p>
        </w:tc>
        <w:tc>
          <w:tcPr/>
          <w:p>
            <w:pPr>
              <w:pStyle w:val="Compact"/>
              <w:jc w:val="left"/>
            </w:pPr>
            <w:r>
              <w:t xml:space="preserve">-10.8 (2.1)</w:t>
            </w:r>
          </w:p>
        </w:tc>
      </w:tr>
      <w:tr>
        <w:tc>
          <w:tcPr/>
          <w:p>
            <w:pPr>
              <w:pStyle w:val="Compact"/>
              <w:jc w:val="left"/>
            </w:pPr>
            <w:r>
              <w:t xml:space="preserve">Other not working</w:t>
            </w:r>
          </w:p>
        </w:tc>
        <w:tc>
          <w:tcPr/>
          <w:p>
            <w:pPr>
              <w:pStyle w:val="Compact"/>
              <w:jc w:val="left"/>
            </w:pPr>
            <w:r>
              <w:t xml:space="preserve">-5.0 (0.9)</w:t>
            </w:r>
          </w:p>
        </w:tc>
        <w:tc>
          <w:tcPr/>
          <w:p>
            <w:pPr>
              <w:pStyle w:val="Compact"/>
              <w:jc w:val="left"/>
            </w:pPr>
            <w:r>
              <w:t xml:space="preserve">-6.1 (1.3)</w:t>
            </w:r>
          </w:p>
        </w:tc>
        <w:tc>
          <w:tcPr/>
          <w:p>
            <w:pPr>
              <w:pStyle w:val="Compact"/>
              <w:jc w:val="left"/>
            </w:pPr>
            <w:r>
              <w:t xml:space="preserve">13.9 (3.4)</w:t>
            </w:r>
          </w:p>
        </w:tc>
      </w:tr>
    </w:tbl>
    <w:p>
      <w:pPr>
        <w:pStyle w:val="BodyText"/>
      </w:pPr>
      <w:r>
        <w:rPr>
          <w:i/>
          <w:iCs/>
        </w:rPr>
        <w:t xml:space="preserve">Note:</w:t>
      </w:r>
      <w:r>
        <w:t xml:space="preserve"> </w:t>
      </w:r>
      <w:r>
        <w:t xml:space="preserve">Women aged 15 and over. Standard errors in parentheses, clustered by first-stage unit within year.</w:t>
      </w:r>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hyperlink" Id="rId37" Target="https://doi.org/10.1007/s00148-017-0671-y" TargetMode="External" /><Relationship Type="http://schemas.openxmlformats.org/officeDocument/2006/relationships/hyperlink" Id="rId49" Target="https://doi.org/10.1007/s40888-021-00235-7" TargetMode="External" /><Relationship Type="http://schemas.openxmlformats.org/officeDocument/2006/relationships/hyperlink" Id="rId63" Target="https://doi.org/10.1007/s41027-015-0010-3" TargetMode="External" /><Relationship Type="http://schemas.openxmlformats.org/officeDocument/2006/relationships/hyperlink" Id="rId97" Target="https://doi.org/10.1007/s41027-024-00506-4" TargetMode="External" /><Relationship Type="http://schemas.openxmlformats.org/officeDocument/2006/relationships/hyperlink" Id="rId57" Target="https://doi.org/10.1016/S0169-7218(11)00407-2" TargetMode="External" /><Relationship Type="http://schemas.openxmlformats.org/officeDocument/2006/relationships/hyperlink" Id="rId77" Target="https://doi.org/10.1016/j.worlddev.2017.05.003" TargetMode="External" /><Relationship Type="http://schemas.openxmlformats.org/officeDocument/2006/relationships/hyperlink" Id="rId91" Target="https://doi.org/10.1016/j.worlddev.2018.12.003" TargetMode="External" /><Relationship Type="http://schemas.openxmlformats.org/officeDocument/2006/relationships/hyperlink" Id="rId51" Target="https://doi.org/10.1016/j.worlddev.2023.106435" TargetMode="External" /><Relationship Type="http://schemas.openxmlformats.org/officeDocument/2006/relationships/hyperlink" Id="rId67" Target="https://doi.org/10.1057/s41308-021-00140-w" TargetMode="External" /><Relationship Type="http://schemas.openxmlformats.org/officeDocument/2006/relationships/hyperlink" Id="rId41" Target="https://doi.org/10.1080/13545701.2011.582822" TargetMode="External" /><Relationship Type="http://schemas.openxmlformats.org/officeDocument/2006/relationships/hyperlink" Id="rId65" Target="https://doi.org/10.1080/13545701.2011.622289" TargetMode="External" /><Relationship Type="http://schemas.openxmlformats.org/officeDocument/2006/relationships/hyperlink" Id="rId59" Target="https://doi.org/10.1093/oso/9780198287872.001.0001" TargetMode="External" /><Relationship Type="http://schemas.openxmlformats.org/officeDocument/2006/relationships/hyperlink" Id="rId71" Target="https://doi.org/10.1093/wber/lhv003" TargetMode="External" /><Relationship Type="http://schemas.openxmlformats.org/officeDocument/2006/relationships/hyperlink" Id="rId95" Target="https://doi.org/10.1111/padr.12309" TargetMode="External" /><Relationship Type="http://schemas.openxmlformats.org/officeDocument/2006/relationships/hyperlink" Id="rId47" Target="https://doi.org/10.1111/padr.12474" TargetMode="External" /><Relationship Type="http://schemas.openxmlformats.org/officeDocument/2006/relationships/hyperlink" Id="rId69" Target="https://doi.org/10.1177/0038038510394014" TargetMode="External" /><Relationship Type="http://schemas.openxmlformats.org/officeDocument/2006/relationships/hyperlink" Id="rId55" Target="https://doi.org/10.1177/0891243210361475" TargetMode="External" /><Relationship Type="http://schemas.openxmlformats.org/officeDocument/2006/relationships/hyperlink" Id="rId61" Target="https://doi.org/10.1257/000282806777212350" TargetMode="External" /><Relationship Type="http://schemas.openxmlformats.org/officeDocument/2006/relationships/hyperlink" Id="rId93" Target="https://doi.org/10.1353/sof.2005.0126" TargetMode="External" /><Relationship Type="http://schemas.openxmlformats.org/officeDocument/2006/relationships/hyperlink" Id="rId53" Target="https://doi.org/10.2307/2171954" TargetMode="External" /><Relationship Type="http://schemas.openxmlformats.org/officeDocument/2006/relationships/hyperlink" Id="rId43" Target="https://doi.org/10.2307/2675569" TargetMode="External" /><Relationship Type="http://schemas.openxmlformats.org/officeDocument/2006/relationships/hyperlink" Id="rId39" Target="https://doi.org/10.4054/DemRes.2016.35.16" TargetMode="External" /><Relationship Type="http://schemas.openxmlformats.org/officeDocument/2006/relationships/hyperlink" Id="rId45" Target="https://doi.org/10.4054/DemRes.2018.38.31" TargetMode="External" /><Relationship Type="http://schemas.openxmlformats.org/officeDocument/2006/relationships/hyperlink" Id="rId73" Target="https://doi.org/10.5281/zenodo.15826134" TargetMode="External" /><Relationship Type="http://schemas.openxmlformats.org/officeDocument/2006/relationships/hyperlink" Id="rId75" Target="https://hdl.handle.net/10568/181545" TargetMode="External" /><Relationship Type="http://schemas.openxmlformats.org/officeDocument/2006/relationships/hyperlink" Id="rId81" Target="https://microdata.gov.in/NADA/index.php/catalog/223" TargetMode="External" /><Relationship Type="http://schemas.openxmlformats.org/officeDocument/2006/relationships/hyperlink" Id="rId85" Target="https://microdata.gov.in/NADA/index.php/catalog/236" TargetMode="External" /><Relationship Type="http://schemas.openxmlformats.org/officeDocument/2006/relationships/hyperlink" Id="rId79" Target="https://mospi.gov.in/sites/default/files/press_release/Press_note_AR_PLFS_2023_24_22092024.pdf" TargetMode="External" /><Relationship Type="http://schemas.openxmlformats.org/officeDocument/2006/relationships/hyperlink" Id="rId83" Target="https://mospi.gov.in/sites/default/files/publication_reports/Report_TUS_2019_0.pdf" TargetMode="External" /><Relationship Type="http://schemas.openxmlformats.org/officeDocument/2006/relationships/hyperlink" Id="rId87" Target="https://www.mospi.gov.in/sites/default/files/press_release/PR_TUS_25022025.pdf" TargetMode="External" /><Relationship Type="http://schemas.openxmlformats.org/officeDocument/2006/relationships/hyperlink" Id="rId89" Target="https://www.pib.gov.in/PressReleasePage.aspx?PRID=2078530"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1007/s00148-017-0671-y" TargetMode="External" /><Relationship Type="http://schemas.openxmlformats.org/officeDocument/2006/relationships/hyperlink" Id="rId49" Target="https://doi.org/10.1007/s40888-021-00235-7" TargetMode="External" /><Relationship Type="http://schemas.openxmlformats.org/officeDocument/2006/relationships/hyperlink" Id="rId63" Target="https://doi.org/10.1007/s41027-015-0010-3" TargetMode="External" /><Relationship Type="http://schemas.openxmlformats.org/officeDocument/2006/relationships/hyperlink" Id="rId97" Target="https://doi.org/10.1007/s41027-024-00506-4" TargetMode="External" /><Relationship Type="http://schemas.openxmlformats.org/officeDocument/2006/relationships/hyperlink" Id="rId57" Target="https://doi.org/10.1016/S0169-7218(11)00407-2" TargetMode="External" /><Relationship Type="http://schemas.openxmlformats.org/officeDocument/2006/relationships/hyperlink" Id="rId77" Target="https://doi.org/10.1016/j.worlddev.2017.05.003" TargetMode="External" /><Relationship Type="http://schemas.openxmlformats.org/officeDocument/2006/relationships/hyperlink" Id="rId91" Target="https://doi.org/10.1016/j.worlddev.2018.12.003" TargetMode="External" /><Relationship Type="http://schemas.openxmlformats.org/officeDocument/2006/relationships/hyperlink" Id="rId51" Target="https://doi.org/10.1016/j.worlddev.2023.106435" TargetMode="External" /><Relationship Type="http://schemas.openxmlformats.org/officeDocument/2006/relationships/hyperlink" Id="rId67" Target="https://doi.org/10.1057/s41308-021-00140-w" TargetMode="External" /><Relationship Type="http://schemas.openxmlformats.org/officeDocument/2006/relationships/hyperlink" Id="rId41" Target="https://doi.org/10.1080/13545701.2011.582822" TargetMode="External" /><Relationship Type="http://schemas.openxmlformats.org/officeDocument/2006/relationships/hyperlink" Id="rId65" Target="https://doi.org/10.1080/13545701.2011.622289" TargetMode="External" /><Relationship Type="http://schemas.openxmlformats.org/officeDocument/2006/relationships/hyperlink" Id="rId59" Target="https://doi.org/10.1093/oso/9780198287872.001.0001" TargetMode="External" /><Relationship Type="http://schemas.openxmlformats.org/officeDocument/2006/relationships/hyperlink" Id="rId71" Target="https://doi.org/10.1093/wber/lhv003" TargetMode="External" /><Relationship Type="http://schemas.openxmlformats.org/officeDocument/2006/relationships/hyperlink" Id="rId95" Target="https://doi.org/10.1111/padr.12309" TargetMode="External" /><Relationship Type="http://schemas.openxmlformats.org/officeDocument/2006/relationships/hyperlink" Id="rId47" Target="https://doi.org/10.1111/padr.12474" TargetMode="External" /><Relationship Type="http://schemas.openxmlformats.org/officeDocument/2006/relationships/hyperlink" Id="rId69" Target="https://doi.org/10.1177/0038038510394014" TargetMode="External" /><Relationship Type="http://schemas.openxmlformats.org/officeDocument/2006/relationships/hyperlink" Id="rId55" Target="https://doi.org/10.1177/0891243210361475" TargetMode="External" /><Relationship Type="http://schemas.openxmlformats.org/officeDocument/2006/relationships/hyperlink" Id="rId61" Target="https://doi.org/10.1257/000282806777212350" TargetMode="External" /><Relationship Type="http://schemas.openxmlformats.org/officeDocument/2006/relationships/hyperlink" Id="rId93" Target="https://doi.org/10.1353/sof.2005.0126" TargetMode="External" /><Relationship Type="http://schemas.openxmlformats.org/officeDocument/2006/relationships/hyperlink" Id="rId53" Target="https://doi.org/10.2307/2171954" TargetMode="External" /><Relationship Type="http://schemas.openxmlformats.org/officeDocument/2006/relationships/hyperlink" Id="rId43" Target="https://doi.org/10.2307/2675569" TargetMode="External" /><Relationship Type="http://schemas.openxmlformats.org/officeDocument/2006/relationships/hyperlink" Id="rId39" Target="https://doi.org/10.4054/DemRes.2016.35.16" TargetMode="External" /><Relationship Type="http://schemas.openxmlformats.org/officeDocument/2006/relationships/hyperlink" Id="rId45" Target="https://doi.org/10.4054/DemRes.2018.38.31" TargetMode="External" /><Relationship Type="http://schemas.openxmlformats.org/officeDocument/2006/relationships/hyperlink" Id="rId73" Target="https://doi.org/10.5281/zenodo.15826134" TargetMode="External" /><Relationship Type="http://schemas.openxmlformats.org/officeDocument/2006/relationships/hyperlink" Id="rId75" Target="https://hdl.handle.net/10568/181545" TargetMode="External" /><Relationship Type="http://schemas.openxmlformats.org/officeDocument/2006/relationships/hyperlink" Id="rId81" Target="https://microdata.gov.in/NADA/index.php/catalog/223" TargetMode="External" /><Relationship Type="http://schemas.openxmlformats.org/officeDocument/2006/relationships/hyperlink" Id="rId85" Target="https://microdata.gov.in/NADA/index.php/catalog/236" TargetMode="External" /><Relationship Type="http://schemas.openxmlformats.org/officeDocument/2006/relationships/hyperlink" Id="rId79" Target="https://mospi.gov.in/sites/default/files/press_release/Press_note_AR_PLFS_2023_24_22092024.pdf" TargetMode="External" /><Relationship Type="http://schemas.openxmlformats.org/officeDocument/2006/relationships/hyperlink" Id="rId83" Target="https://mospi.gov.in/sites/default/files/publication_reports/Report_TUS_2019_0.pdf" TargetMode="External" /><Relationship Type="http://schemas.openxmlformats.org/officeDocument/2006/relationships/hyperlink" Id="rId87" Target="https://www.mospi.gov.in/sites/default/files/press_release/PR_TUS_25022025.pdf" TargetMode="External" /><Relationship Type="http://schemas.openxmlformats.org/officeDocument/2006/relationships/hyperlink" Id="rId89" Target="https://www.pib.gov.in/PressReleasePage.aspx?PRID=20785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Paid Work, the Same Unpaid Load: Gender Gaps in Time Use in India, 2019–2024</dc:title>
  <dc:creator>Anonymous</dc:creator>
  <cp:lastModifiedBy>Anonymous</cp:lastModifiedBy>
  <cp:keywords/>
  <dcterms:created xsi:type="dcterms:W3CDTF">2026-10-25T03:33:32Z</dcterms:created>
  <dcterms:modified xsi:type="dcterms:W3CDTF">2026-10-25T03:33:32Z</dcterms:modified>
</cp:coreProperties>
</file>

<file path=docProps/custom.xml><?xml version="1.0" encoding="utf-8"?>
<Properties xmlns="http://schemas.openxmlformats.org/officeDocument/2006/custom-properties" xmlns:vt="http://schemas.openxmlformats.org/officeDocument/2006/docPropsVTypes"/>
</file>