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Using diaries for every household member in India’s Time Use Survey 2024, I compare 49,992 married mothers of children under six, 36% of whom live with a grandmother, and study 26,062 women and 19,382 men aged 45 to 80 in the generation above young married women. Older women living with a child under six report 79.5 minutes more childcare a day and less domestic work, free time and sleep. Mothers’ primary childcare differs little in the pooled estimate but is lower, with intervals excluding zero, in six of ten alternative specifications and higher in one; their secondary childcare is 9.6 minutes lower. Their employment rate is 1.4 percentage points lower overall but 2.2 points higher within the mother’s household generation. These are conditional associations, and grandmother care is associated with a large time cost for older women.</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p>
      <w:pPr>
        <w:pStyle w:val="Heading1"/>
      </w:pPr>
      <w:bookmarkStart w:id="9" w:name="_introduction"/>
      <w:r>
        <w:rPr>
          <w:rStyle w:val="SectionNumber"/>
        </w:rPr>
        <w:t xml:space="preserve">1</w:t>
      </w:r>
      <w:r>
        <w:tab/>
      </w:r>
      <w:r>
        <w:t xml:space="preserve">Introduction</w:t>
      </w:r>
      <w:bookmarkEnd w:id="9"/>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Afridi et al.</w:t>
      </w:r>
      <w:r>
        <w:t xml:space="preserve"> </w:t>
      </w:r>
      <w:r>
        <w:t xml:space="preserve">2018; Chatterjee et al. 2018; Fletcher et al. 2019). A common</w:t>
      </w:r>
      <w:r>
        <w:t xml:space="preserve"> </w:t>
      </w:r>
      <w:r>
        <w:t xml:space="preserve">presumption, in policy discussion and in the family itself, is that</w:t>
      </w:r>
      <w:r>
        <w:t xml:space="preserve"> </w:t>
      </w:r>
      <w:r>
        <w:t xml:space="preserve">coresident grandparents, above all grandmothers, absorb much of the care</w:t>
      </w:r>
      <w:r>
        <w:t xml:space="preserve"> </w:t>
      </w:r>
      <w:r>
        <w:t xml:space="preserve">of young children and so free mothers to work, rest or invest in other</w:t>
      </w:r>
      <w:r>
        <w:t xml:space="preserve"> </w:t>
      </w:r>
      <w:r>
        <w:t xml:space="preserve">children. The presumption has empirical support elsewhere: in the United</w:t>
      </w:r>
      <w:r>
        <w:t xml:space="preserve"> </w:t>
      </w:r>
      <w:r>
        <w:t xml:space="preserve">States, Europe, China and Japan the availability of grandparents is</w:t>
      </w:r>
      <w:r>
        <w:t xml:space="preserve"> </w:t>
      </w:r>
      <w:r>
        <w:t xml:space="preserve">associated with, and in several quasi-experimental designs causes,</w:t>
      </w:r>
      <w:r>
        <w:t xml:space="preserve"> </w:t>
      </w:r>
      <w:r>
        <w:t xml:space="preserve">higher maternal employment (Ogawa and Ermisch 1996; Sasaki 2002;</w:t>
      </w:r>
      <w:r>
        <w:t xml:space="preserve"> </w:t>
      </w:r>
      <w:r>
        <w:t xml:space="preserve">Maurer-Fazio et al. 2011; Posadas and Vidal-Fernández 2013; Arpino et</w:t>
      </w:r>
      <w:r>
        <w:t xml:space="preserve"> </w:t>
      </w:r>
      <w:r>
        <w:t xml:space="preserve">al. 2014; Compton and Pollak 2014; 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United</w:t>
      </w:r>
      <w:r>
        <w:t xml:space="preserve"> </w:t>
      </w:r>
      <w:r>
        <w:t xml:space="preserve">Nations Population Fund and International Institute for Population</w:t>
      </w:r>
      <w:r>
        <w:t xml:space="preserve"> </w:t>
      </w:r>
      <w:r>
        <w:t xml:space="preserve">Sciences 2023). There are also reasons to doubt that the evidence from</w:t>
      </w:r>
      <w:r>
        <w:t xml:space="preserve"> </w:t>
      </w:r>
      <w:r>
        <w:t xml:space="preserve">other settings carries over. Residence after marriage is predominantly</w:t>
      </w:r>
      <w:r>
        <w:t xml:space="preserve"> </w:t>
      </w:r>
      <w:r>
        <w:t xml:space="preserve">patrilocal, so the coresident grandmother is typically the</w:t>
      </w:r>
      <w:r>
        <w:t xml:space="preserve"> </w:t>
      </w:r>
      <w:r>
        <w:t xml:space="preserve">mother-in-law, and the literature describes the young daughter-in-law as</w:t>
      </w:r>
      <w:r>
        <w:t xml:space="preserve"> </w:t>
      </w:r>
      <w:r>
        <w:t xml:space="preserve">the junior member of a hierarchy in which her mobility and work outside</w:t>
      </w:r>
      <w:r>
        <w:t xml:space="preserve"> </w:t>
      </w:r>
      <w:r>
        <w:t xml:space="preserve">the home are shaped by her husband’s parents (Dyson and Moore 1983;</w:t>
      </w:r>
      <w:r>
        <w:t xml:space="preserve"> </w:t>
      </w:r>
      <w:r>
        <w:t xml:space="preserve">Kandiyoti 1988; Jayachandran 2015; Anukriti et al. 2020). Women in joint</w:t>
      </w:r>
      <w:r>
        <w:t xml:space="preserve"> </w:t>
      </w:r>
      <w:r>
        <w:t xml:space="preserve">households in rural India are less likely to be employed than women in</w:t>
      </w:r>
      <w:r>
        <w:t xml:space="preserve"> </w:t>
      </w:r>
      <w:r>
        <w:t xml:space="preserve">nuclear households (Dhanaraj and Mahambare 2019). A three-generation</w:t>
      </w:r>
      <w:r>
        <w:t xml:space="preserve"> </w:t>
      </w:r>
      <w:r>
        <w:t xml:space="preserve">household is also a larger household, with more meals to cook.</w:t>
      </w:r>
      <w:r>
        <w:t xml:space="preserve"> </w:t>
      </w:r>
      <w:r>
        <w:t xml:space="preserve">Coresidence can therefore add to a mother’s work as well as bring a</w:t>
      </w:r>
      <w:r>
        <w:t xml:space="preserve"> </w:t>
      </w:r>
      <w:r>
        <w:t xml:space="preserve">potential substitute for her childcare. 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Each estimate below is reported with its 95% confidence interval (CI);</w:t>
      </w:r>
      <w:r>
        <w:t xml:space="preserve"> </w:t>
      </w:r>
      <w:r>
        <w:t xml:space="preserve">means are reported with their standard error (SE). The pooled</w:t>
      </w:r>
      <w:r>
        <w:t xml:space="preserve"> </w:t>
      </w:r>
      <w:r>
        <w:t xml:space="preserve">association between a coresident grandmother and the mother’s primary</w:t>
      </w:r>
      <w:r>
        <w:t xml:space="preserve"> </w:t>
      </w:r>
      <w:r>
        <w:t xml:space="preserve">childcare is small: -2.1 minutes (CI -4.6 to 0.4). The association with</w:t>
      </w:r>
      <w:r>
        <w:t xml:space="preserve"> </w:t>
      </w:r>
      <w:r>
        <w:t xml:space="preserve">the mother’s paid work, including travel, is -0.4 minutes (CI -3.8 to</w:t>
      </w:r>
      <w:r>
        <w:t xml:space="preserve"> </w:t>
      </w:r>
      <w:r>
        <w:t xml:space="preserve">3.0), and her probability of being employed by usual status is 1.4</w:t>
      </w:r>
      <w:r>
        <w:t xml:space="preserve"> </w:t>
      </w:r>
      <w:r>
        <w:t xml:space="preserve">percentage points lower (CI -2.3 to -0.4). The minute estimates are</w:t>
      </w:r>
      <w:r>
        <w:t xml:space="preserve"> </w:t>
      </w:r>
      <w:r>
        <w:t xml:space="preserve">fragile. The childcare estimate ranges from -13.2 to 8.3 minutes across</w:t>
      </w:r>
      <w:r>
        <w:t xml:space="preserve"> </w:t>
      </w:r>
      <w:r>
        <w:t xml:space="preserve">the specifications in the robustness table, and subgroup estimates</w:t>
      </w:r>
      <w:r>
        <w:t xml:space="preserve"> </w:t>
      </w:r>
      <w:r>
        <w:t xml:space="preserve">differ in size and, for paid work, in sign. The grandmother’s side is</w:t>
      </w:r>
      <w:r>
        <w:t xml:space="preserve"> </w:t>
      </w:r>
      <w:r>
        <w:t xml:space="preserve">much clearer: in households with a child under six, the grandmother or</w:t>
      </w:r>
      <w:r>
        <w:t xml:space="preserve"> </w:t>
      </w:r>
      <w:r>
        <w:t xml:space="preserve">grandmothers together report 85.9 minutes (SE 1.1) of childcare a day,</w:t>
      </w:r>
      <w:r>
        <w:t xml:space="preserve"> </w:t>
      </w:r>
      <w:r>
        <w:t xml:space="preserve">37% of the combined raw (unadjusted) childcare minutes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appears to depend on the grandmother’s</w:t>
      </w:r>
      <w:r>
        <w:t xml:space="preserve"> </w:t>
      </w:r>
      <w:r>
        <w:t xml:space="preserve">age and employment and on the household arrangement. For research on</w:t>
      </w:r>
      <w:r>
        <w:t xml:space="preserve"> </w:t>
      </w:r>
      <w:r>
        <w:t xml:space="preserve">population aging and older women, it measures directly the time that</w:t>
      </w:r>
      <w:r>
        <w:t xml:space="preserve"> </w:t>
      </w:r>
      <w:r>
        <w:t xml:space="preserve">older women give to grandchildren in a patrilocal, middle-income setting</w:t>
      </w:r>
      <w:r>
        <w:t xml:space="preserve"> </w:t>
      </w:r>
      <w:r>
        <w:t xml:space="preserve">and the other parts of their day from which it comes. For the study of</w:t>
      </w:r>
      <w:r>
        <w:t xml:space="preserve"> </w:t>
      </w:r>
      <w:r>
        <w:t xml:space="preserve">family 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p>
      <w:pPr>
        <w:pStyle w:val="Heading1"/>
      </w:pPr>
      <w:bookmarkStart w:id="10" w:name="_78e1b52b0f703051a79244e00e492d61582b0e3"/>
      <w:r>
        <w:rPr>
          <w:rStyle w:val="SectionNumber"/>
        </w:rPr>
        <w:t xml:space="preserve">2</w:t>
      </w:r>
      <w:r>
        <w:tab/>
      </w:r>
      <w:r>
        <w:t xml:space="preserve">Background and conceptual</w:t>
      </w:r>
      <w:r>
        <w:t xml:space="preserve"> </w:t>
      </w:r>
      <w:r>
        <w:t xml:space="preserve">framework</w:t>
      </w:r>
      <w:bookmarkEnd w:id="10"/>
    </w:p>
    <w:p>
      <w:pPr>
        <w:pStyle w:val="Heading2"/>
      </w:pPr>
      <w:bookmarkStart w:id="11" w:name="_29b95bf9a6693f926e8c4d669e21478d1a9d47e"/>
      <w:r>
        <w:rPr>
          <w:rStyle w:val="SectionNumber"/>
        </w:rPr>
        <w:t xml:space="preserve">2.1</w:t>
      </w:r>
      <w:r>
        <w:tab/>
      </w:r>
      <w:r>
        <w:t xml:space="preserve">Grandparental care and maternal</w:t>
      </w:r>
      <w:r>
        <w:t xml:space="preserve"> </w:t>
      </w:r>
      <w:r>
        <w:t xml:space="preserve">employment</w:t>
      </w:r>
      <w:bookmarkEnd w:id="11"/>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On the</w:t>
      </w:r>
      <w:r>
        <w:t xml:space="preserve"> </w:t>
      </w:r>
      <w:r>
        <w:t xml:space="preserve">grandmothers’ side, Frimmel et al. (2022) show with Austrian</w:t>
      </w:r>
      <w:r>
        <w:t xml:space="preserve"> </w:t>
      </w:r>
      <w:r>
        <w:t xml:space="preserve">administrative data that a first grandchild raises the probability that</w:t>
      </w:r>
      <w:r>
        <w:t xml:space="preserve"> </w:t>
      </w:r>
      <w:r>
        <w:t xml:space="preserve">a grandmother leaves the labor market, and Igel and Szydlik (2011) show</w:t>
      </w:r>
      <w:r>
        <w:t xml:space="preserve"> </w:t>
      </w:r>
      <w:r>
        <w:t xml:space="preserve">that welfare-state arrangements shape the form of grandparental care</w:t>
      </w:r>
      <w:r>
        <w:t xml:space="preserve"> </w:t>
      </w:r>
      <w:r>
        <w:t xml:space="preserve">across Europe. The evidence from Asia is closer to the Indian setting</w:t>
      </w:r>
      <w:r>
        <w:t xml:space="preserve"> </w:t>
      </w:r>
      <w:r>
        <w:t xml:space="preserve">because coresidence, not proximity, is the usual arrangement. Ogawa and</w:t>
      </w:r>
      <w:r>
        <w:t xml:space="preserve"> </w:t>
      </w:r>
      <w:r>
        <w:t xml:space="preserve">Ermisch (1996) and Sasaki (2002) find that coresidence with parents or</w:t>
      </w:r>
      <w:r>
        <w:t xml:space="preserve"> </w:t>
      </w:r>
      <w:r>
        <w:t xml:space="preserve">parents-in-law raised Japanese married women’s employment, and</w:t>
      </w:r>
      <w:r>
        <w:t xml:space="preserve"> </w:t>
      </w:r>
      <w:r>
        <w:t xml:space="preserve">Maurer-Fazio et al. (2011) find a similar association in urban China.</w:t>
      </w:r>
      <w:r>
        <w:t xml:space="preserve"> </w:t>
      </w:r>
      <w:r>
        <w:t xml:space="preserve">For the United States, Bansak et al. (2026) find that living in an</w:t>
      </w:r>
      <w:r>
        <w:t xml:space="preserve"> </w:t>
      </w:r>
      <w:r>
        <w:t xml:space="preserve">intergenerational household is positively related to employment among</w:t>
      </w:r>
      <w:r>
        <w:t xml:space="preserve"> </w:t>
      </w:r>
      <w:r>
        <w:t xml:space="preserve">Asian women and negatively among white women.</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p>
      <w:pPr>
        <w:pStyle w:val="Heading2"/>
      </w:pPr>
      <w:bookmarkStart w:id="12" w:name="_b41eb730f0155ef637132b6eacff04b5712ca21"/>
      <w:r>
        <w:rPr>
          <w:rStyle w:val="SectionNumber"/>
        </w:rPr>
        <w:t xml:space="preserve">2.2</w:t>
      </w:r>
      <w:r>
        <w:tab/>
      </w:r>
      <w:r>
        <w:t xml:space="preserve">Older women’s time, aging and intergenerational</w:t>
      </w:r>
      <w:r>
        <w:t xml:space="preserve"> </w:t>
      </w:r>
      <w:r>
        <w:t xml:space="preserve">transfers</w:t>
      </w:r>
      <w:bookmarkEnd w:id="12"/>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p>
      <w:pPr>
        <w:pStyle w:val="Heading2"/>
      </w:pPr>
      <w:bookmarkStart w:id="13" w:name="_fcd87c5521d4a0d5b432e8a5b5e11f6efbb1c8f"/>
      <w:r>
        <w:rPr>
          <w:rStyle w:val="SectionNumber"/>
        </w:rPr>
        <w:t xml:space="preserve">2.3</w:t>
      </w:r>
      <w:r>
        <w:tab/>
      </w:r>
      <w:r>
        <w:t xml:space="preserve">Patrilocality and women’s work in</w:t>
      </w:r>
      <w:r>
        <w:t xml:space="preserve"> </w:t>
      </w:r>
      <w:r>
        <w:t xml:space="preserve">India</w:t>
      </w:r>
      <w:bookmarkEnd w:id="13"/>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and Afridi et al. (2018) decompose the fall in rural</w:t>
      </w:r>
      <w:r>
        <w:t xml:space="preserve"> </w:t>
      </w:r>
      <w:r>
        <w:t xml:space="preserve">married women’s participation over two decades. These studies observe</w:t>
      </w:r>
      <w:r>
        <w:t xml:space="preserve"> </w:t>
      </w:r>
      <w:r>
        <w:t xml:space="preserve">employment, autonomy or decision-making, not time.</w:t>
      </w:r>
    </w:p>
    <w:p>
      <w:pPr>
        <w:pStyle w:val="Heading2"/>
      </w:pPr>
      <w:bookmarkStart w:id="14" w:name="_aa597b8d1b44508c81b23d6fdf2b4c3af969429"/>
      <w:r>
        <w:rPr>
          <w:rStyle w:val="SectionNumber"/>
        </w:rPr>
        <w:t xml:space="preserve">2.4</w:t>
      </w:r>
      <w:r>
        <w:tab/>
      </w:r>
      <w:r>
        <w:t xml:space="preserve">Measuring childcare in time</w:t>
      </w:r>
      <w:r>
        <w:t xml:space="preserve"> </w:t>
      </w:r>
      <w:r>
        <w:t xml:space="preserve">diaries</w:t>
      </w:r>
      <w:bookmarkEnd w:id="14"/>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p>
      <w:pPr>
        <w:pStyle w:val="Heading2"/>
      </w:pPr>
      <w:bookmarkStart w:id="15" w:name="_1b505399bed3acc8fdc04835fb05f12ea6338bd"/>
      <w:r>
        <w:rPr>
          <w:rStyle w:val="SectionNumber"/>
        </w:rPr>
        <w:t xml:space="preserve">2.5</w:t>
      </w:r>
      <w:r>
        <w:tab/>
      </w:r>
      <w:r>
        <w:t xml:space="preserve">Conceptual framework</w:t>
      </w:r>
      <w:bookmarkEnd w:id="15"/>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p>
      <w:pPr>
        <w:pStyle w:val="Heading1"/>
      </w:pPr>
      <w:bookmarkStart w:id="16" w:name="_b9a8e801bfeea5bd8eadcb0dda61d19118fd322"/>
      <w:r>
        <w:rPr>
          <w:rStyle w:val="SectionNumber"/>
        </w:rPr>
        <w:t xml:space="preserve">3</w:t>
      </w:r>
      <w:r>
        <w:tab/>
      </w:r>
      <w:r>
        <w:t xml:space="preserve">Data and methods</w:t>
      </w:r>
      <w:bookmarkEnd w:id="16"/>
    </w:p>
    <w:p>
      <w:pPr>
        <w:pStyle w:val="Heading2"/>
      </w:pPr>
      <w:bookmarkStart w:id="17" w:name="_c1850aa0144690795d1fc6cde6032883bfcb8fb"/>
      <w:r>
        <w:rPr>
          <w:rStyle w:val="SectionNumber"/>
        </w:rPr>
        <w:t xml:space="preserve">3.1</w:t>
      </w:r>
      <w:r>
        <w:tab/>
      </w:r>
      <w:r>
        <w:t xml:space="preserve">The Time Use Survey 2024</w:t>
      </w:r>
      <w:bookmarkEnd w:id="17"/>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 (FSU),</w:t>
      </w:r>
      <w:r>
        <w:t xml:space="preserve"> </w:t>
      </w:r>
      <w:r>
        <w:t xml:space="preserve">that is, villages and urban blocks, as primary sampling units. Every</w:t>
      </w:r>
      <w:r>
        <w:t xml:space="preserve"> </w:t>
      </w:r>
      <w:r>
        <w:t xml:space="preserve">member aged six and above reports a 24-hour diary for the day before the</w:t>
      </w:r>
      <w:r>
        <w:t xml:space="preserve"> </w:t>
      </w:r>
      <w:r>
        <w:t xml:space="preserve">interview, 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FSUs. Minutes of</w:t>
      </w:r>
      <w:r>
        <w:t xml:space="preserve"> </w:t>
      </w:r>
      <w:r>
        <w:t xml:space="preserve">major activities are summed to the person-day, and all but five of the</w:t>
      </w:r>
      <w:r>
        <w:t xml:space="preserve"> </w:t>
      </w:r>
      <w:r>
        <w:t xml:space="preserve">450,457 diaries sum to exactly 1,440 minutes. I exclude 49 persons</w:t>
      </w:r>
      <w:r>
        <w:t xml:space="preserve"> </w:t>
      </w:r>
      <w:r>
        <w:t xml:space="preserve">recorded as third gender from the analyses because the sample is too</w:t>
      </w:r>
      <w:r>
        <w:t xml:space="preserve"> </w:t>
      </w:r>
      <w:r>
        <w:t xml:space="preserve">small for separate estimates; they remain in household composition.</w:t>
      </w:r>
      <w:r>
        <w:t xml:space="preserve"> </w:t>
      </w:r>
      <w:r>
        <w:t xml:space="preserve">Weights are the survey multipliers, and standard errors are clustered on</w:t>
      </w:r>
      <w:r>
        <w:t xml:space="preserve"> </w:t>
      </w:r>
      <w:r>
        <w:t xml:space="preserve">the FSU (Solon et al. 2015; Abadie et al. 2023). The survey construction</w:t>
      </w:r>
      <w:r>
        <w:t xml:space="preserve"> </w:t>
      </w:r>
      <w:r>
        <w:t xml:space="preserve">checks and the sample construction are in Online Resource 1.</w:t>
      </w:r>
    </w:p>
    <w:p>
      <w:pPr>
        <w:pStyle w:val="Heading2"/>
      </w:pPr>
      <w:bookmarkStart w:id="18" w:name="_86e15d5dc2f18420692202b3a7cf5da3d5f9521"/>
      <w:r>
        <w:rPr>
          <w:rStyle w:val="SectionNumber"/>
        </w:rPr>
        <w:t xml:space="preserve">3.2</w:t>
      </w:r>
      <w:r>
        <w:tab/>
      </w:r>
      <w:r>
        <w:t xml:space="preserve">Identifying mothers, children and</w:t>
      </w:r>
      <w:r>
        <w:t xml:space="preserve"> </w:t>
      </w:r>
      <w:r>
        <w:t xml:space="preserve">grandparents</w:t>
      </w:r>
      <w:bookmarkEnd w:id="18"/>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(weighted) are at junior level, and among</w:t>
      </w:r>
      <w:r>
        <w:t xml:space="preserve"> </w:t>
      </w:r>
      <w:r>
        <w:t xml:space="preserve">junior-level mothers 95% are daughters-in-law of the head. The husband</w:t>
      </w:r>
      <w:r>
        <w:t xml:space="preserve"> </w:t>
      </w:r>
      <w:r>
        <w:t xml:space="preserve">is linked to 83% of mothers through the roster; I keep mothers whose</w:t>
      </w:r>
      <w:r>
        <w:t xml:space="preserve"> </w:t>
      </w:r>
      <w:r>
        <w:t xml:space="preserve">husbands live elsewhere in the sample, with an explicit indicator. A</w:t>
      </w:r>
      <w:r>
        <w:t xml:space="preserve"> </w:t>
      </w:r>
      <w:r>
        <w:t xml:space="preserve">mother’s own children aged six to 17, a control below, are also assigned</w:t>
      </w:r>
      <w:r>
        <w:t xml:space="preserve"> </w:t>
      </w:r>
      <w:r>
        <w:t xml:space="preserve">by roster position: for a head-level mother they are the head’s children</w:t>
      </w:r>
      <w:r>
        <w:t xml:space="preserve"> </w:t>
      </w:r>
      <w:r>
        <w:t xml:space="preserve">of that age, and for a junior-level mother the head’s grandchildren of</w:t>
      </w:r>
      <w:r>
        <w:t xml:space="preserve"> </w:t>
      </w:r>
      <w:r>
        <w:t xml:space="preserve">that age, but only where the household contains a single child-in-law of</w:t>
      </w:r>
      <w:r>
        <w:t xml:space="preserve"> </w:t>
      </w:r>
      <w:r>
        <w:t xml:space="preserve">the head. Otherwise the count is set to missing and replaced by zero</w:t>
      </w:r>
      <w:r>
        <w:t xml:space="preserve"> </w:t>
      </w:r>
      <w:r>
        <w:t xml:space="preserve">with an indicator for an unknown count; the youngest own child used for</w:t>
      </w:r>
      <w:r>
        <w:t xml:space="preserve"> </w:t>
      </w:r>
      <w:r>
        <w:t xml:space="preserve">the placebo sample follows the same rule.</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the lower limit admits young grandmothers while excluding</w:t>
      </w:r>
      <w:r>
        <w:t xml:space="preserve"> </w:t>
      </w:r>
      <w:r>
        <w:t xml:space="preserve">heads’ spouses who are likely to be the mother’s sisters-in-law rather</w:t>
      </w:r>
      <w:r>
        <w:t xml:space="preserve"> </w:t>
      </w:r>
      <w:r>
        <w:t xml:space="preserve">than her parents-in-law. A coresident grandmother is at least one woman</w:t>
      </w:r>
      <w:r>
        <w:t xml:space="preserve"> </w:t>
      </w:r>
      <w:r>
        <w:t xml:space="preserve">in this generation, and a coresident grandfather at least one man.</w:t>
      </w:r>
      <w:r>
        <w:t xml:space="preserve"> </w:t>
      </w:r>
      <w:r>
        <w:t xml:space="preserve">Because each mother is matched to the specific members of the generation</w:t>
      </w:r>
      <w:r>
        <w:t xml:space="preserve"> </w:t>
      </w:r>
      <w:r>
        <w:t xml:space="preserve">above her, a grandmother is never the mother herself (zero self-links).</w:t>
      </w:r>
      <w:r>
        <w:t xml:space="preserve"> </w:t>
      </w:r>
      <w:r>
        <w:t xml:space="preserve">By this definition 36% (weighted) of mothers of children under six live</w:t>
      </w:r>
      <w:r>
        <w:t xml:space="preserve"> </w:t>
      </w:r>
      <w:r>
        <w:t xml:space="preserve">with a grandmother and 28% with a grandfather; 4.5% live with a</w:t>
      </w:r>
      <w:r>
        <w:t xml:space="preserve"> </w:t>
      </w:r>
      <w:r>
        <w:t xml:space="preserve">grandfather but no grandmother. Among mothers with a coresident</w:t>
      </w:r>
      <w:r>
        <w:t xml:space="preserve"> </w:t>
      </w:r>
      <w:r>
        <w:t xml:space="preserve">grandmother, 83% are at junior level, so most three-generation</w:t>
      </w:r>
      <w:r>
        <w:t xml:space="preserve"> </w:t>
      </w:r>
      <w:r>
        <w:t xml:space="preserve">households are of the patrilocal type in which the young family lives in</w:t>
      </w:r>
      <w:r>
        <w:t xml:space="preserve"> </w:t>
      </w:r>
      <w:r>
        <w:t xml:space="preserve">the older generation’s household. The median age of the youngest</w:t>
      </w:r>
      <w:r>
        <w:t xml:space="preserve"> </w:t>
      </w:r>
      <w:r>
        <w:t xml:space="preserve">coresident grandmother is 57 years, 60% of grandmothers are under 60,</w:t>
      </w:r>
      <w:r>
        <w:t xml:space="preserve"> </w:t>
      </w:r>
      <w:r>
        <w:t xml:space="preserve">and 30% report employment as their usual principal activity status</w:t>
      </w:r>
      <w:r>
        <w:t xml:space="preserve"> </w:t>
      </w:r>
      <w:r>
        <w:t xml:space="preserve">(counts and weighted shares in Table S2 of Online</w:t>
      </w:r>
      <w:r>
        <w:t xml:space="preserve"> </w:t>
      </w:r>
      <w:r>
        <w:t xml:space="preserve">Resource 1).</w:t>
      </w:r>
    </w:p>
    <w:p>
      <w:pPr>
        <w:pStyle w:val="Heading2"/>
      </w:pPr>
      <w:bookmarkStart w:id="19" w:name="_524723a5178f7f1f02cee38483187a22ad9da83"/>
      <w:r>
        <w:rPr>
          <w:rStyle w:val="SectionNumber"/>
        </w:rPr>
        <w:t xml:space="preserve">3.3</w:t>
      </w:r>
      <w:r>
        <w:tab/>
      </w:r>
      <w:r>
        <w:t xml:space="preserve">Time outcomes</w:t>
      </w:r>
      <w:bookmarkEnd w:id="19"/>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_32eab13c41a40ee25acd11afb5cf39d70818b1b">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(SE 1.0) of primary childcare a day and mothers with one</w:t>
      </w:r>
      <w:r>
        <w:t xml:space="preserve"> </w:t>
      </w:r>
      <w:r>
        <w:t xml:space="preserve">144.8 minutes (SE 1.1). The raw comparison mixes the grandmother’s</w:t>
      </w:r>
      <w:r>
        <w:t xml:space="preserve"> </w:t>
      </w:r>
      <w:r>
        <w:t xml:space="preserve">presence with everything that differs between joint and nuclear</w:t>
      </w:r>
      <w:r>
        <w:t xml:space="preserve"> </w:t>
      </w:r>
      <w:r>
        <w:t xml:space="preserve">households, which motivates the regression approach.</w:t>
      </w:r>
    </w:p>
    <w:bookmarkStart w:id="20" w:name="_32eab13c41a40ee25acd11afb5cf39d70818b1b"/>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(1.3)</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20"/>
    <w:p>
      <w:pPr>
        <w:pStyle w:val="FirstParagraph"/>
      </w:pPr>
      <w:r>
        <w:rPr>
          <w:i/>
          <w:iCs/>
        </w:rPr>
        <w:t xml:space="preserve">Notes:</w:t>
      </w:r>
      <w:r>
        <w:t xml:space="preserve"> </w:t>
      </w:r>
      <w:r>
        <w:t xml:space="preserve">Married women aged 18–49 at head or junior level (head or spouse of head; married child of head or that child’s spouse) in households with a child under six, excluding head-level women who live with a junior married woman of childbearing age. Survey-weighted means; FSU-clustered standard errors in parentheses. Employed is a share (three decimals). Primary childcare also includes other childcare (ICATUS 417–419) and accompanying children (442), not shown separately, so active and passive care do not sum to it.</w:t>
      </w:r>
    </w:p>
    <w:p>
      <w:pPr>
        <w:pStyle w:val="Heading2"/>
      </w:pPr>
      <w:bookmarkStart w:id="21" w:name="_bdc33038afa4dbf56141151eaf4e1f0fb828ac7"/>
      <w:r>
        <w:rPr>
          <w:rStyle w:val="SectionNumber"/>
        </w:rPr>
        <w:t xml:space="preserve">3.4</w:t>
      </w:r>
      <w:r>
        <w:tab/>
      </w:r>
      <w:r>
        <w:t xml:space="preserve">Empirical strategy</w:t>
      </w:r>
      <w:bookmarkEnd w:id="21"/>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r>
              <m:t>s</m:t>
            </m:r>
            <m:r>
              <m:t>d</m:t>
            </m:r>
          </m:sub>
        </m:sSub>
        <m:r>
          <m:rPr>
            <m:sty m:val="p"/>
          </m:rPr>
          <m:t>=</m:t>
        </m:r>
        <m:r>
          <m:t>β</m:t>
        </m:r>
        <m:r>
          <m:t> </m:t>
        </m:r>
        <m:sSub>
          <m:e>
            <m:r>
              <m:rP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r>
              <m:t>s</m:t>
            </m:r>
            <m:r>
              <m:t>d</m:t>
            </m:r>
          </m:sub>
        </m:sSub>
        <m:r>
          <m:rPr>
            <m:sty m:val="p"/>
          </m:rPr>
          <m:t>,</m:t>
        </m:r>
      </m:oMath>
      <w:r>
        <w:tab/>
        <w:t>(1)</w:t>
      </w:r>
    </w:p>
    <w:p>
      <w:pPr>
        <w:pStyle w:val="FirstParagraph"/>
      </w:pPr>
      <w:r>
        <w:t xml:space="preserve">where</w:t>
      </w:r>
      <w:r>
        <w:t xml:space="preserve"> </w:t>
      </w:r>
      <m:oMath>
        <m:sSub>
          <m:e>
            <m:r>
              <m:t>y</m:t>
            </m:r>
          </m:e>
          <m:sub>
            <m:r>
              <m:t>i</m:t>
            </m:r>
            <m:r>
              <m:t>h</m:t>
            </m:r>
            <m:r>
              <m:t>s</m:t>
            </m:r>
            <m:r>
              <m:t>d</m:t>
            </m:r>
          </m:sub>
        </m:sSub>
      </m:oMath>
      <w:r>
        <w:t xml:space="preserve"> </w:t>
      </w:r>
      <w:r>
        <w:t xml:space="preserve">is a time outcome in minutes per day (or employment</w:t>
      </w:r>
      <w:r>
        <w:t xml:space="preserve"> </w:t>
      </w:r>
      <w:r>
        <w:t xml:space="preserve">status) and</w:t>
      </w:r>
      <w:r>
        <w:t xml:space="preserve"> </w:t>
      </w:r>
      <m:oMath>
        <m:sSub>
          <m:e>
            <m:r>
              <m:rP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may more often reflect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Because every member of this</w:t>
      </w:r>
      <w:r>
        <w:t xml:space="preserve"> </w:t>
      </w:r>
      <w:r>
        <w:t xml:space="preserve">sample already lives with a married woman of childbearing age, the</w:t>
      </w:r>
      <w:r>
        <w:t xml:space="preserve"> </w:t>
      </w:r>
      <w:r>
        <w:t xml:space="preserve">comparison turns mainly on the timing of the junior couple’s fertility.</w:t>
      </w:r>
      <w:r>
        <w:t xml:space="preserve"> </w:t>
      </w:r>
      <w:r>
        <w:t xml:space="preserve">Fertility timing and living arrangements can still be chosen together,</w:t>
      </w:r>
      <w:r>
        <w:t xml:space="preserve"> </w:t>
      </w:r>
      <w:r>
        <w:t xml:space="preserve">for example when a couple stays in the parental household because a</w:t>
      </w:r>
      <w:r>
        <w:t xml:space="preserve"> </w:t>
      </w:r>
      <w:r>
        <w:t xml:space="preserve">child is born, so these estimates are also conditional associations. The</w:t>
      </w:r>
      <w:r>
        <w:t xml:space="preserve"> </w:t>
      </w:r>
      <w:r>
        <w:t xml:space="preserve">older-generation sample starts at 45, while the grandmother link for</w:t>
      </w:r>
      <w:r>
        <w:t xml:space="preserve"> </w:t>
      </w:r>
      <w:r>
        <w:t xml:space="preserve">junior-level mothers starts at 40. Online Resource 1 (Table</w:t>
      </w:r>
      <w:r>
        <w:t xml:space="preserve"> </w:t>
      </w:r>
      <w:r>
        <w:t xml:space="preserve">S3) re-estimates the older women’s equations from age 40,</w:t>
      </w:r>
      <w:r>
        <w:t xml:space="preserve"> </w:t>
      </w:r>
      <w:r>
        <w:t xml:space="preserve">and the robustness table defines the grandmother as a woman aged 45 or</w:t>
      </w:r>
      <w:r>
        <w:t xml:space="preserve"> </w:t>
      </w:r>
      <w:r>
        <w:t xml:space="preserve">above.</w:t>
      </w:r>
    </w:p>
    <w:p>
      <w:pPr>
        <w:pStyle w:val="Heading2"/>
      </w:pPr>
      <w:bookmarkStart w:id="22" w:name="_39cc1ca9d7d0bee0fc59c334569c147cedf5f3b"/>
      <w:r>
        <w:rPr>
          <w:rStyle w:val="SectionNumber"/>
        </w:rPr>
        <w:t xml:space="preserve">3.5</w:t>
      </w:r>
      <w:r>
        <w:tab/>
      </w:r>
      <w:r>
        <w:t xml:space="preserve">Ethics, data availability and the use of artificial</w:t>
      </w:r>
      <w:r>
        <w:t xml:space="preserve"> </w:t>
      </w:r>
      <w:r>
        <w:t xml:space="preserve">intelligence</w:t>
      </w:r>
      <w:r>
        <w:t xml:space="preserve"> </w:t>
      </w:r>
      <w:r>
        <w:t xml:space="preserve">tools</w:t>
      </w:r>
      <w:bookmarkEnd w:id="22"/>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Artificial intelligence (AI) tools (Claude</w:t>
      </w:r>
      <w:r>
        <w:t xml:space="preserve"> </w:t>
      </w:r>
      <w:r>
        <w:t xml:space="preserve">(Anthropic) and other AI assistants) were used to help write and check</w:t>
      </w:r>
      <w:r>
        <w:t xml:space="preserve"> </w:t>
      </w:r>
      <w:r>
        <w:t xml:space="preserve">analysis code, to check references and to draft text. The author</w:t>
      </w:r>
      <w:r>
        <w:t xml:space="preserve"> </w:t>
      </w:r>
      <w:r>
        <w:t xml:space="preserve">reviewed and verified all code, results, references and text and takes</w:t>
      </w:r>
      <w:r>
        <w:t xml:space="preserve"> </w:t>
      </w:r>
      <w:r>
        <w:t xml:space="preserve">full responsibility for the content.</w:t>
      </w:r>
    </w:p>
    <w:p>
      <w:pPr>
        <w:pStyle w:val="Heading1"/>
      </w:pPr>
      <w:bookmarkStart w:id="23" w:name="_results"/>
      <w:r>
        <w:rPr>
          <w:rStyle w:val="SectionNumber"/>
        </w:rPr>
        <w:t xml:space="preserve">4</w:t>
      </w:r>
      <w:r>
        <w:tab/>
      </w:r>
      <w:r>
        <w:t xml:space="preserve">Results</w:t>
      </w:r>
      <w:bookmarkEnd w:id="23"/>
    </w:p>
    <w:p>
      <w:pPr>
        <w:pStyle w:val="Heading2"/>
      </w:pPr>
      <w:bookmarkStart w:id="24" w:name="_28f7920bf6ad7f23f996a76558ed9ba58103167"/>
      <w:r>
        <w:rPr>
          <w:rStyle w:val="SectionNumber"/>
        </w:rPr>
        <w:t xml:space="preserve">4.1</w:t>
      </w:r>
      <w:r>
        <w:tab/>
      </w:r>
      <w:r>
        <w:t xml:space="preserve">Mothers’ time</w:t>
      </w:r>
      <w:bookmarkEnd w:id="24"/>
    </w:p>
    <w:p>
      <w:pPr>
        <w:pStyle w:val="FirstParagraph"/>
      </w:pPr>
      <w:r>
        <w:t xml:space="preserve">Table</w:t>
      </w:r>
      <w:r>
        <w:t xml:space="preserve"> </w:t>
      </w:r>
      <w:hyperlink w:anchor="_2d3306491f8074877991796d556fbadbc1a72cc">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-0.1 minutes (CI</w:t>
      </w:r>
      <w:r>
        <w:t xml:space="preserve"> </w:t>
      </w:r>
      <w:r>
        <w:t xml:space="preserve">-0.6 to 0.5) for passive minding. The intervals for both components</w:t>
      </w:r>
      <w:r>
        <w:t xml:space="preserve"> </w:t>
      </w:r>
      <w:r>
        <w:t xml:space="preserve">include zero, and passive minding, the component the first prediction</w:t>
      </w:r>
      <w:r>
        <w:t xml:space="preserve"> </w:t>
      </w:r>
      <w:r>
        <w:t xml:space="preserve">expects to fall most, is almost unchanged, so that prediction is not</w:t>
      </w:r>
      <w:r>
        <w:t xml:space="preserve"> </w:t>
      </w:r>
      <w:r>
        <w:t xml:space="preserve">borne out in primary care. Mothers with a coresident grandmother do</w:t>
      </w:r>
      <w:r>
        <w:t xml:space="preserve"> </w:t>
      </w:r>
      <w:r>
        <w:t xml:space="preserve">record less childcare as a secondary activity (-9.6 minutes (CI -11.8 to</w:t>
      </w:r>
      <w:r>
        <w:t xml:space="preserve"> </w:t>
      </w:r>
      <w:r>
        <w:t xml:space="preserve">-7.5)), so supervision is lower only when it is recorded as a secondary</w:t>
      </w:r>
      <w:r>
        <w:t xml:space="preserve"> </w:t>
      </w:r>
      <w:r>
        <w:t xml:space="preserve">activity, not as primary minding.</w:t>
      </w:r>
    </w:p>
    <w:bookmarkStart w:id="25" w:name="_2d3306491f8074877991796d556fbadbc1a72cc"/>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[-4.60,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5"/>
    <w:p>
      <w:pPr>
        <w:pStyle w:val="FirstParagraph"/>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 Primary childcare also includes other childcare (ICATUS 417–419) and accompanying children (442), not shown separately.</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pooled measure shows more paid work with a grandmother present, and the</w:t>
      </w:r>
      <w:r>
        <w:t xml:space="preserve"> </w:t>
      </w:r>
      <w:r>
        <w:t xml:space="preserve">pooled employment-rate estimate is negative; the next paragraph examines</w:t>
      </w:r>
      <w:r>
        <w:t xml:space="preserve"> </w:t>
      </w:r>
      <w:r>
        <w:t xml:space="preserve">whether this reflects the composition of the sample. Free time is 4.3</w:t>
      </w:r>
      <w:r>
        <w:t xml:space="preserve"> </w:t>
      </w:r>
      <w:r>
        <w:t xml:space="preserve">minutes higher (CI 1.4 to 7.3) and sleep 3.1 minutes lower (CI -5.3 to</w:t>
      </w:r>
      <w:r>
        <w:t xml:space="preserve"> </w:t>
      </w:r>
      <w:r>
        <w:t xml:space="preserve">-0.9). Both intervals exclude zero, but the differences amount to a few</w:t>
      </w:r>
      <w:r>
        <w:t xml:space="preserve"> </w:t>
      </w:r>
      <w:r>
        <w:t xml:space="preserve">minutes in a day of 1,440.</w:t>
      </w:r>
    </w:p>
    <w:p>
      <w:pPr>
        <w:pStyle w:val="BodyText"/>
      </w:pPr>
      <w:r>
        <w:t xml:space="preserve">The pooled paid-work estimates mix two household arrangements with</w:t>
      </w:r>
      <w:r>
        <w:t xml:space="preserve"> </w:t>
      </w:r>
      <w:r>
        <w:t xml:space="preserve">different levels of employment. Junior-level mothers, most of whom live</w:t>
      </w:r>
      <w:r>
        <w:t xml:space="preserve"> </w:t>
      </w:r>
      <w:r>
        <w:t xml:space="preserve">with a grandmother, are less often employed than head-level mothers,</w:t>
      </w:r>
      <w:r>
        <w:t xml:space="preserve"> </w:t>
      </w:r>
      <w:r>
        <w:t xml:space="preserve">whichever household they live in (Table S2 of Online</w:t>
      </w:r>
      <w:r>
        <w:t xml:space="preserve"> </w:t>
      </w:r>
      <w:r>
        <w:t xml:space="preserve">Resource 1), so a pooled comparison partly contrasts the two</w:t>
      </w:r>
      <w:r>
        <w:t xml:space="preserve"> </w:t>
      </w:r>
      <w:r>
        <w:t xml:space="preserve">generations. Estimated separately, a grandmother is associated with more</w:t>
      </w:r>
      <w:r>
        <w:t xml:space="preserve"> </w:t>
      </w:r>
      <w:r>
        <w:t xml:space="preserve">paid work among head-level mothers (12.6 minutes (CI 5.6 to 19.5)) and</w:t>
      </w:r>
      <w:r>
        <w:t xml:space="preserve"> </w:t>
      </w:r>
      <w:r>
        <w:t xml:space="preserve">among junior-level mothers (7.6 minutes (CI 1.2 to 13.9); subgroup</w:t>
      </w:r>
      <w:r>
        <w:t xml:space="preserve"> </w:t>
      </w:r>
      <w:r>
        <w:t xml:space="preserve">analysis below). Adding an indicator for the mother’s generation to the</w:t>
      </w:r>
      <w:r>
        <w:t xml:space="preserve"> </w:t>
      </w:r>
      <w:r>
        <w:t xml:space="preserve">pooled model (robustness checks below, panel B) turns the</w:t>
      </w:r>
      <w:r>
        <w:t xml:space="preserve"> </w:t>
      </w:r>
      <w:r>
        <w:t xml:space="preserve">employment-minutes estimate into 10.5 minutes (CI 5.5 to 15.5) and the</w:t>
      </w:r>
      <w:r>
        <w:t xml:space="preserve"> </w:t>
      </w:r>
      <w:r>
        <w:t xml:space="preserve">employment-rate estimate into 2.2 percentage points higher (CI 0.8 to</w:t>
      </w:r>
      <w:r>
        <w:t xml:space="preserve"> </w:t>
      </w:r>
      <w:r>
        <w:t xml:space="preserve">3.5); adding household size as well gives 9.2 minutes (CI 3.6 to 14.7)</w:t>
      </w:r>
      <w:r>
        <w:t xml:space="preserve"> </w:t>
      </w:r>
      <w:r>
        <w:t xml:space="preserve">and 2.2 percentage points higher (CI 0.7 to 3.7). The negative pooled</w:t>
      </w:r>
      <w:r>
        <w:t xml:space="preserve"> </w:t>
      </w:r>
      <w:r>
        <w:t xml:space="preserve">estimates are therefore consistent with composition: grandmothers live</w:t>
      </w:r>
      <w:r>
        <w:t xml:space="preserve"> </w:t>
      </w:r>
      <w:r>
        <w:t xml:space="preserve">mainly in junior-level households, where mothers’ employment is low. The</w:t>
      </w:r>
      <w:r>
        <w:t xml:space="preserve"> </w:t>
      </w:r>
      <w:r>
        <w:t xml:space="preserve">within-generation estimates also vary across other subgroups (subgroup</w:t>
      </w:r>
      <w:r>
        <w:t xml:space="preserve"> </w:t>
      </w:r>
      <w:r>
        <w:t xml:space="preserve">analysis below), so they do not establish a positive association for all</w:t>
      </w:r>
      <w:r>
        <w:t xml:space="preserve"> </w:t>
      </w:r>
      <w:r>
        <w:t xml:space="preserve">mothers. Generation is itself part of how a grandmother comes to be</w:t>
      </w:r>
      <w:r>
        <w:t xml:space="preserve"> </w:t>
      </w:r>
      <w:r>
        <w:t xml:space="preserve">present, so neither the pooled nor the within-generation estimate is</w:t>
      </w:r>
      <w:r>
        <w:t xml:space="preserve"> </w:t>
      </w:r>
      <w:r>
        <w:t xml:space="preserve">causal, and the within-generation estimates give no sign that</w:t>
      </w:r>
      <w:r>
        <w:t xml:space="preserve"> </w:t>
      </w:r>
      <w:r>
        <w:t xml:space="preserve">grandmothers’ presence goes with less paid work by mothers of the same</w:t>
      </w:r>
      <w:r>
        <w:t xml:space="preserve"> </w:t>
      </w:r>
      <w:r>
        <w:t xml:space="preserve">generation.</w:t>
      </w:r>
    </w:p>
    <w:p>
      <w:pPr>
        <w:pStyle w:val="BodyText"/>
      </w:pPr>
      <w:r>
        <w:t xml:space="preserve">Taken together, the pooled estimates show small differences in mothers’</w:t>
      </w:r>
      <w:r>
        <w:t xml:space="preserve"> </w:t>
      </w:r>
      <w:r>
        <w:t xml:space="preserve">time and an association with primary childcare whose interval includes</w:t>
      </w:r>
      <w:r>
        <w:t xml:space="preserve"> </w:t>
      </w:r>
      <w:r>
        <w:t xml:space="preserve">zero, and paid work is higher only once the mother’s generation is held</w:t>
      </w:r>
      <w:r>
        <w:t xml:space="preserve"> </w:t>
      </w:r>
      <w:r>
        <w:t xml:space="preserve">constant. They do not show that grandmothers relieve mothers of care,</w:t>
      </w:r>
      <w:r>
        <w:t xml:space="preserve"> </w:t>
      </w:r>
      <w:r>
        <w:t xml:space="preserve">and, as the robustness checks and subgroup results below show, they hide</w:t>
      </w:r>
      <w:r>
        <w:t xml:space="preserve"> </w:t>
      </w:r>
      <w:r>
        <w:t xml:space="preserve">differences by grandmother and by household arrangement.</w:t>
      </w:r>
    </w:p>
    <w:p>
      <w:pPr>
        <w:pStyle w:val="Heading2"/>
      </w:pPr>
      <w:bookmarkStart w:id="26" w:name="_1113e58cf5848ee7a44104feba01ee8193a7640"/>
      <w:r>
        <w:rPr>
          <w:rStyle w:val="SectionNumber"/>
        </w:rPr>
        <w:t xml:space="preserve">4.2</w:t>
      </w:r>
      <w:r>
        <w:tab/>
      </w:r>
      <w:r>
        <w:t xml:space="preserve">Who provides childcare in three-generation</w:t>
      </w:r>
      <w:r>
        <w:t xml:space="preserve"> </w:t>
      </w:r>
      <w:r>
        <w:t xml:space="preserve">households</w:t>
      </w:r>
      <w:bookmarkEnd w:id="26"/>
    </w:p>
    <w:p>
      <w:pPr>
        <w:pStyle w:val="FirstParagraph"/>
      </w:pPr>
      <w:r>
        <w:t xml:space="preserve">Table</w:t>
      </w:r>
      <w:r>
        <w:t xml:space="preserve"> </w:t>
      </w:r>
      <w:hyperlink w:anchor="_be3d5bb4bcb5dc58eff7bb083b7ad594321de31">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the grandmother or grandmothers in the household</w:t>
      </w:r>
      <w:r>
        <w:t xml:space="preserve"> </w:t>
      </w:r>
      <w:r>
        <w:t xml:space="preserve">together provide 85.9 minutes (SE 1.1) of childcare a day. They also</w:t>
      </w:r>
      <w:r>
        <w:t xml:space="preserve"> </w:t>
      </w:r>
      <w:r>
        <w:t xml:space="preserve">report 148.7 minutes (SE 1.6) of domestic work and 98.9 minutes (SE 2.1)</w:t>
      </w:r>
      <w:r>
        <w:t xml:space="preserve"> </w:t>
      </w:r>
      <w:r>
        <w:t xml:space="preserve">of employment (lower panel of Table</w:t>
      </w:r>
      <w:r>
        <w:t xml:space="preserve"> </w:t>
      </w:r>
      <w:hyperlink w:anchor="_be3d5bb4bcb5dc58eff7bb083b7ad594321de31">
        <w:r>
          <w:rPr>
            <w:rStyle w:val="Hyperlink"/>
          </w:rPr>
          <w:t xml:space="preserve">3</w:t>
        </w:r>
      </w:hyperlink>
      <w:r>
        <w:t xml:space="preserve">), which shows what</w:t>
      </w:r>
      <w:r>
        <w:t xml:space="preserve"> </w:t>
      </w:r>
      <w:r>
        <w:t xml:space="preserve">else their day contains. Summed over all members aged 15 and above, raw</w:t>
      </w:r>
      <w:r>
        <w:t xml:space="preserve"> </w:t>
      </w:r>
      <w:r>
        <w:t xml:space="preserve">childcare is 324.4 minutes with a grandmother and 201.4 without, a gap</w:t>
      </w:r>
      <w:r>
        <w:t xml:space="preserve"> </w:t>
      </w:r>
      <w:r>
        <w:t xml:space="preserve">of 123.0 minutes. Part of this gap reflects the larger number of</w:t>
      </w:r>
      <w:r>
        <w:t xml:space="preserve"> </w:t>
      </w:r>
      <w:r>
        <w:t xml:space="preserve">children in three-generation households: conditional only on the numbers</w:t>
      </w:r>
      <w:r>
        <w:t xml:space="preserve"> </w:t>
      </w:r>
      <w:r>
        <w:t xml:space="preserve">of children under six and aged six to 14 and on state and day fixed</w:t>
      </w:r>
      <w:r>
        <w:t xml:space="preserve"> </w:t>
      </w:r>
      <w:r>
        <w:t xml:space="preserve">effects, the gap is 115.4 minutes (CI 110.5 to 120.3), and with the full</w:t>
      </w:r>
      <w:r>
        <w:t xml:space="preserve"> </w:t>
      </w:r>
      <w:r>
        <w:t xml:space="preserve">control set it is 88.6 minutes (CI 84.0 to 93.2). Recorded adult</w:t>
      </w:r>
      <w:r>
        <w:t xml:space="preserve"> </w:t>
      </w:r>
      <w:r>
        <w:t xml:space="preserve">childcare time is thus higher in three-generation households. Part of</w:t>
      </w:r>
      <w:r>
        <w:t xml:space="preserve"> </w:t>
      </w:r>
      <w:r>
        <w:t xml:space="preserve">the difference may reflect two adults recording care of the same child</w:t>
      </w:r>
      <w:r>
        <w:t xml:space="preserve"> </w:t>
      </w:r>
      <w:r>
        <w:t xml:space="preserve">at the same time, and part the care of several grandchildren at once;</w:t>
      </w:r>
      <w:r>
        <w:t xml:space="preserve"> </w:t>
      </w:r>
      <w:r>
        <w:t xml:space="preserve">the diary does not identify the recipient. Among mothers with a linked</w:t>
      </w:r>
      <w:r>
        <w:t xml:space="preserve"> </w:t>
      </w:r>
      <w:r>
        <w:t xml:space="preserve">husband, husbands’ childcare averages 36.8 minutes with a grandmother</w:t>
      </w:r>
      <w:r>
        <w:t xml:space="preserve"> </w:t>
      </w:r>
      <w:r>
        <w:t xml:space="preserve">and 48.3 without, and the adjusted difference is -14.1 minutes (CI -15.6</w:t>
      </w:r>
      <w:r>
        <w:t xml:space="preserve"> </w:t>
      </w:r>
      <w:r>
        <w:t xml:space="preserve">to -12.6). A coresident grandmother is therefore associated with less</w:t>
      </w:r>
      <w:r>
        <w:t xml:space="preserve"> </w:t>
      </w:r>
      <w:r>
        <w:t xml:space="preserve">care by fathers as well as with more care in the household as a whole.</w:t>
      </w:r>
    </w:p>
    <w:bookmarkStart w:id="27" w:name="_be3d5bb4bcb5dc58eff7bb083b7ad594321de31"/>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Provider</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c>
          <w:tcPr/>
          <w:p>
            <w:pPr>
              <w:pStyle w:val="Compact"/>
              <w:spacing w:line="240" w:lineRule="auto" w:after="0" w:before="0"/>
              <w:jc w:val="right"/>
            </w:pPr>
            <w:r>
              <w:rPr>
                <w:sz w:val="18"/>
              </w:rPr>
              <w:t xml:space="preserve">Adjusted difference [95% CI]</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c>
          <w:tcPr/>
          <w:p>
            <w:pPr>
              <w:pStyle w:val="Compact"/>
              <w:spacing w:line="240" w:lineRule="auto" w:after="0" w:before="0"/>
              <w:jc w:val="right"/>
            </w:pPr>
            <w:r>
              <w:rPr>
                <w:sz w:val="18"/>
              </w:rPr>
              <w:t xml:space="preserve">-2.09 [-4.58, 0.40]</w:t>
            </w:r>
          </w:p>
        </w:tc>
      </w:tr>
      <w:tr>
        <w:tc>
          <w:tcPr/>
          <w:p>
            <w:pPr>
              <w:pStyle w:val="Compact"/>
              <w:spacing w:line="240" w:lineRule="auto" w:after="0" w:before="0"/>
              <w:jc w:val="left"/>
            </w:pPr>
            <w:r>
              <w:rPr>
                <w:sz w:val="18"/>
              </w:rPr>
              <w:t xml:space="preserve">Husband (zero if not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(0.5)</w:t>
            </w:r>
          </w:p>
        </w:tc>
        <w:tc>
          <w:tcPr/>
          <w:p>
            <w:pPr>
              <w:pStyle w:val="Compact"/>
              <w:spacing w:line="240" w:lineRule="auto" w:after="0" w:before="0"/>
              <w:jc w:val="right"/>
            </w:pPr>
            <w:r>
              <w:rPr>
                <w:sz w:val="18"/>
              </w:rPr>
              <w:t xml:space="preserve">-12.48 [-13.78, -11.17]</w:t>
            </w:r>
          </w:p>
        </w:tc>
      </w:tr>
      <w:tr>
        <w:tc>
          <w:tcPr/>
          <w:p>
            <w:pPr>
              <w:pStyle w:val="Compact"/>
              <w:spacing w:line="240" w:lineRule="auto" w:after="0" w:before="0"/>
              <w:jc w:val="left"/>
            </w:pPr>
            <w:r>
              <w:rPr>
                <w:sz w:val="18"/>
              </w:rPr>
              <w:t xml:space="preserve">Linked husbands only</w:t>
            </w:r>
          </w:p>
        </w:tc>
        <w:tc>
          <w:tcPr/>
          <w:p>
            <w:pPr>
              <w:pStyle w:val="Compact"/>
              <w:spacing w:line="240" w:lineRule="auto" w:after="0" w:before="0"/>
              <w:jc w:val="right"/>
            </w:pPr>
            <w:r>
              <w:rPr>
                <w:sz w:val="18"/>
              </w:rPr>
              <w:t xml:space="preserve">48.3 (0.6)</w:t>
            </w:r>
          </w:p>
        </w:tc>
        <w:tc>
          <w:tcPr/>
          <w:p>
            <w:pPr>
              <w:pStyle w:val="Compact"/>
              <w:spacing w:line="240" w:lineRule="auto" w:after="0" w:before="0"/>
              <w:jc w:val="right"/>
            </w:pPr>
            <w:r>
              <w:rPr>
                <w:sz w:val="18"/>
              </w:rPr>
              <w:t xml:space="preserve">36.8 (0.6)</w:t>
            </w:r>
          </w:p>
        </w:tc>
        <w:tc>
          <w:tcPr/>
          <w:p>
            <w:pPr>
              <w:pStyle w:val="Compact"/>
              <w:spacing w:line="240" w:lineRule="auto" w:after="0" w:before="0"/>
              <w:jc w:val="right"/>
            </w:pPr>
            <w:r>
              <w:rPr>
                <w:sz w:val="18"/>
              </w:rPr>
              <w:t xml:space="preserve">-14.10 [-15.62, -12.59]</w:t>
            </w:r>
          </w:p>
        </w:tc>
      </w:tr>
      <w:tr>
        <w:tc>
          <w:tcPr/>
          <w:p>
            <w:pPr>
              <w:pStyle w:val="Compact"/>
              <w:spacing w:line="240" w:lineRule="auto" w:after="0" w:before="0"/>
              <w:jc w:val="left"/>
            </w:pPr>
            <w:r>
              <w:rPr>
                <w:sz w:val="18"/>
              </w:rPr>
              <w:t xml:space="preserve">Grandmother(s), together</w:t>
            </w:r>
          </w:p>
        </w:tc>
        <w:tc>
          <w:tcPr/>
          <w:p>
            <w:pPr>
              <w:pStyle w:val="Compact"/>
              <w:spacing w:line="240" w:lineRule="auto" w:after="0" w:before="0"/>
              <w:jc w:val="right"/>
            </w:pPr>
            <w:r>
              <w:rPr>
                <w:sz w:val="18"/>
              </w:rPr>
              <w:t xml:space="preserve">0.0</w:t>
            </w:r>
          </w:p>
        </w:tc>
        <w:tc>
          <w:tcPr/>
          <w:p>
            <w:pPr>
              <w:pStyle w:val="Compact"/>
              <w:spacing w:line="240" w:lineRule="auto" w:after="0" w:before="0"/>
              <w:jc w:val="right"/>
            </w:pPr>
            <w:r>
              <w:rPr>
                <w:sz w:val="18"/>
              </w:rPr>
              <w:t xml:space="preserve">85.9 (1.1)</w:t>
            </w:r>
          </w:p>
        </w:tc>
        <w:tc>
          <w:tcPr/>
          <w:p>
            <w:pPr>
              <w:pStyle w:val="Compact"/>
              <w:spacing w:line="240" w:lineRule="auto" w:after="0" w:before="0"/>
              <w:jc w:val="right"/>
            </w:pPr>
            <w:r>
              <w:rPr>
                <w:sz w:val="18"/>
              </w:rPr>
              <w:t xml:space="preserve">85.50 [83.39, 87.62]</w:t>
            </w:r>
          </w:p>
        </w:tc>
      </w:tr>
      <w:tr>
        <w:tc>
          <w:tcPr/>
          <w:p>
            <w:pPr>
              <w:pStyle w:val="Compact"/>
              <w:spacing w:line="240" w:lineRule="auto" w:after="0" w:before="0"/>
              <w:jc w:val="left"/>
            </w:pPr>
            <w:r>
              <w:rPr>
                <w:sz w:val="18"/>
              </w:rPr>
              <w:t xml:space="preserve">Grandfather(s), together</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c>
          <w:tcPr/>
          <w:p>
            <w:pPr>
              <w:pStyle w:val="Compact"/>
              <w:spacing w:line="240" w:lineRule="auto" w:after="0" w:before="0"/>
              <w:jc w:val="right"/>
            </w:pPr>
            <w:r>
              <w:rPr>
                <w:sz w:val="18"/>
              </w:rPr>
              <w:t xml:space="preserve">11.30 [10.27, 12.33]</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c>
          <w:tcPr/>
          <w:p>
            <w:pPr>
              <w:pStyle w:val="Compact"/>
              <w:spacing w:line="240" w:lineRule="auto" w:after="0" w:before="0"/>
              <w:jc w:val="right"/>
            </w:pPr>
            <w:r>
              <w:rPr>
                <w:sz w:val="18"/>
              </w:rPr>
              <w:t xml:space="preserve">6.39 [4.87, 7.90]</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(1.4)</w:t>
            </w:r>
          </w:p>
        </w:tc>
        <w:tc>
          <w:tcPr/>
          <w:p>
            <w:pPr>
              <w:pStyle w:val="Compact"/>
              <w:spacing w:line="240" w:lineRule="auto" w:after="0" w:before="0"/>
              <w:jc w:val="right"/>
            </w:pPr>
            <w:r>
              <w:rPr>
                <w:sz w:val="18"/>
              </w:rPr>
              <w:t xml:space="preserve">324.4 (2.7)</w:t>
            </w:r>
          </w:p>
        </w:tc>
        <w:tc>
          <w:tcPr/>
          <w:p>
            <w:pPr>
              <w:pStyle w:val="Compact"/>
              <w:spacing w:line="240" w:lineRule="auto" w:after="0" w:before="0"/>
              <w:jc w:val="right"/>
            </w:pPr>
            <w:r>
              <w:rPr>
                <w:sz w:val="18"/>
              </w:rPr>
              <w:t xml:space="preserve">88.62 [84.04, 93.20]</w:t>
            </w:r>
          </w:p>
        </w:tc>
      </w:tr>
      <w:tr>
        <w:tc>
          <w:tcPr/>
          <w:p>
            <w:pPr>
              <w:pStyle w:val="Compact"/>
              <w:spacing w:line="240" w:lineRule="auto" w:after="0" w:before="0"/>
              <w:jc w:val="left"/>
            </w:pPr>
            <w:r>
              <w:rPr>
                <w:sz w:val="18"/>
              </w:rPr>
              <w:t xml:space="preserve">conditional on numbers of children only</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jc w:val="right"/>
            </w:pPr>
            <w:r>
              <w:rPr>
                <w:sz w:val="18"/>
              </w:rPr>
              <w:t xml:space="preserve">115.37 [110.45, 120.29]</w:t>
            </w:r>
          </w:p>
        </w:tc>
      </w:tr>
      <w:tr>
        <w:tc>
          <w:tcPr/>
          <w:p>
            <w:pPr>
              <w:pStyle w:val="Compact"/>
              <w:spacing w:line="240" w:lineRule="auto" w:after="0" w:before="0"/>
              <w:jc w:val="left"/>
            </w:pPr>
            <w:r>
              <w:rPr>
                <w:i/>
                <w:iCs/>
                <w:sz w:val="18"/>
              </w:rPr>
              <w:t xml:space="preserve">Grandmother(s), other activities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148.7 (1.6)</w:t>
            </w:r>
          </w:p>
        </w:tc>
        <w:tc>
          <w:tcPr/>
          <w:p>
            <w:pPr>
              <w:pStyle w:val="Compact"/>
              <w:spacing w:line="240" w:lineRule="auto" w:after="0" w:before="0"/>
            </w:pP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98.9 (2.1)</w:t>
            </w:r>
          </w:p>
        </w:tc>
        <w:tc>
          <w:tcPr/>
          <w:p>
            <w:pPr>
              <w:pStyle w:val="Compact"/>
              <w:spacing w:line="240" w:lineRule="auto" w:after="0" w:before="0"/>
            </w:pPr>
          </w:p>
        </w:tc>
      </w:tr>
    </w:tbl>
    <w:bookmarkEnd w:id="27"/>
    <w:p>
      <w:pPr>
        <w:pStyle w:val="FirstParagraph"/>
      </w:pPr>
      <w:r>
        <w:rPr>
          <w:i/>
          <w:iCs/>
        </w:rPr>
        <w:t xml:space="preserve">Notes:</w:t>
      </w:r>
      <w:r>
        <w:t xml:space="preserve"> </w:t>
      </w:r>
      <w:r>
        <w:t xml:space="preserve">Unit: mothers in the analysis sample (49,992). Columns 1–2: minutes of primary childcare of each household member, survey-weighted means with FSU-clustered standard errors in parentheses. Column 3: coefficient on the grandmother indicator [95 percent confidence interval] from the main specification, with that row as the outcome; the linked-husband row is estimated on mothers with a linked husband (41,447). Husbands who are not linked through the roster count as zero in the husband row and their care falls in Other members. The conditional row controls only for the numbers of children under six and aged 6–14 and state and day fixed effects. All members is the household total and includes care given to other children in the household; its raw difference is 123.0 minutes. Lower panel: minutes of the grandmother(s) in households with a grandmother.</w:t>
      </w:r>
    </w:p>
    <w:p>
      <w:pPr>
        <w:pStyle w:val="Heading2"/>
      </w:pPr>
      <w:bookmarkStart w:id="28" w:name="_38a0774d74550bc09629a15d8faf6b2a470da44"/>
      <w:r>
        <w:rPr>
          <w:rStyle w:val="SectionNumber"/>
        </w:rPr>
        <w:t xml:space="preserve">4.3</w:t>
      </w:r>
      <w:r>
        <w:tab/>
      </w:r>
      <w:r>
        <w:t xml:space="preserve">The older generation’s</w:t>
      </w:r>
      <w:r>
        <w:t xml:space="preserve"> </w:t>
      </w:r>
      <w:r>
        <w:t xml:space="preserve">time</w:t>
      </w:r>
      <w:bookmarkEnd w:id="28"/>
    </w:p>
    <w:p>
      <w:pPr>
        <w:pStyle w:val="FirstParagraph"/>
      </w:pPr>
      <w:r>
        <w:t xml:space="preserve">Table</w:t>
      </w:r>
      <w:r>
        <w:t xml:space="preserve"> </w:t>
      </w:r>
      <w:hyperlink w:anchor="_f294cdcd745397e2585ca03b9caa9755a4c1ee4">
        <w:r>
          <w:rPr>
            <w:rStyle w:val="Hyperlink"/>
          </w:rPr>
          <w:t xml:space="preserve">4</w:t>
        </w:r>
      </w:hyperlink>
      <w:r>
        <w:t xml:space="preserve"> </w:t>
      </w:r>
      <w:r>
        <w:t xml:space="preserve">(and Fig. S2 in Online Resource 1)</w:t>
      </w:r>
      <w:r>
        <w:t xml:space="preserve"> </w:t>
      </w:r>
      <w:r>
        <w:t xml:space="preserve">turns to the providers of care. The older-generation sample can include</w:t>
      </w:r>
      <w:r>
        <w:t xml:space="preserve"> </w:t>
      </w:r>
      <w:r>
        <w:t xml:space="preserve">a woman aged 45 to 49 who is herself the mother of a late-born child;</w:t>
      </w:r>
      <w:r>
        <w:t xml:space="preserve"> </w:t>
      </w:r>
      <w:r>
        <w:t xml:space="preserve">dropping the 2,834 women aged 45 to 49 leaves 23,228 women and gives a</w:t>
      </w:r>
      <w:r>
        <w:t xml:space="preserve"> </w:t>
      </w:r>
      <w:r>
        <w:t xml:space="preserve">childcare association of 79.0 minutes (CI 76.8 to 81.2) (Table</w:t>
      </w:r>
      <w:r>
        <w:t xml:space="preserve"> </w:t>
      </w:r>
      <w:r>
        <w:t xml:space="preserve">S3 in Online Resource 1), close to the main estimate. Among</w:t>
      </w:r>
      <w:r>
        <w:t xml:space="preserve"> </w:t>
      </w:r>
      <w:r>
        <w:t xml:space="preserve">older-generation women, a child under six in the household is associated</w:t>
      </w:r>
      <w:r>
        <w:t xml:space="preserve"> </w:t>
      </w:r>
      <w:r>
        <w:t xml:space="preserve">with 79.5 minutes more (CI 77.4 to 81.6) primary childcare a day,</w:t>
      </w:r>
      <w:r>
        <w:t xml:space="preserve"> </w:t>
      </w:r>
      <w:r>
        <w:t xml:space="preserve">against a mean of 4.0 minutes for women without a young grandchild. On</w:t>
      </w:r>
      <w:r>
        <w:t xml:space="preserve"> </w:t>
      </w:r>
      <w:r>
        <w:t xml:space="preserve">the care side the third prediction of the framework holds: grandmothers</w:t>
      </w:r>
      <w:r>
        <w:t xml:space="preserve"> </w:t>
      </w:r>
      <w:r>
        <w:t xml:space="preserve">report more childcare when a young grandchild is present. The</w:t>
      </w:r>
      <w:r>
        <w:t xml:space="preserve"> </w:t>
      </w:r>
      <w:r>
        <w:t xml:space="preserve">associations with grandmothers’ domestic work (-16.6 minutes (CI -20.5</w:t>
      </w:r>
      <w:r>
        <w:t xml:space="preserve"> </w:t>
      </w:r>
      <w:r>
        <w:t xml:space="preserve">to -12.7)), paid work (4.7 minutes (CI -0.1 to 9.6)), employment status</w:t>
      </w:r>
      <w:r>
        <w:t xml:space="preserve"> </w:t>
      </w:r>
      <w:r>
        <w:t xml:space="preserve">(1.6 percentage points higher (CI 0.4 to 2.8)), free time (-53.3 minutes</w:t>
      </w:r>
      <w:r>
        <w:t xml:space="preserve"> </w:t>
      </w:r>
      <w:r>
        <w:t xml:space="preserve">(CI -58.0 to -48.5)) and sleep (-9.2 minutes (CI -12.0 to -6.4)) show</w:t>
      </w:r>
      <w:r>
        <w:t xml:space="preserve"> </w:t>
      </w:r>
      <w:r>
        <w:t xml:space="preserve">what else differs in their day. Grandmothers with a young grandchild</w:t>
      </w:r>
      <w:r>
        <w:t xml:space="preserve"> </w:t>
      </w:r>
      <w:r>
        <w:t xml:space="preserve">report less domestic work, free time and sleep, with confidence</w:t>
      </w:r>
      <w:r>
        <w:t xml:space="preserve"> </w:t>
      </w:r>
      <w:r>
        <w:t xml:space="preserve">intervals that exclude zero. Mothers’ total domestic work does not</w:t>
      </w:r>
      <w:r>
        <w:t xml:space="preserve"> </w:t>
      </w:r>
      <w:r>
        <w:t xml:space="preserve">differ with a grandmother present (Table</w:t>
      </w:r>
      <w:r>
        <w:t xml:space="preserve"> </w:t>
      </w:r>
      <w:hyperlink w:anchor="_2d3306491f8074877991796d556fbadbc1a72cc">
        <w:r>
          <w:rPr>
            <w:rStyle w:val="Hyperlink"/>
          </w:rPr>
          <w:t xml:space="preserve">2</w:t>
        </w:r>
      </w:hyperlink>
      <w:r>
        <w:t xml:space="preserve">), and across its</w:t>
      </w:r>
      <w:r>
        <w:t xml:space="preserve"> </w:t>
      </w:r>
      <w:r>
        <w:t xml:space="preserve">components (Table S4 in Online Resource 1) higher time</w:t>
      </w:r>
      <w:r>
        <w:t xml:space="preserve"> </w:t>
      </w:r>
      <w:r>
        <w:t xml:space="preserve">on food and meals is offset by lower time on cleaning, so these</w:t>
      </w:r>
      <w:r>
        <w:t xml:space="preserve"> </w:t>
      </w:r>
      <w:r>
        <w:t xml:space="preserve">estimates, which come from separate samples and treatments, give no</w:t>
      </w:r>
      <w:r>
        <w:t xml:space="preserve"> </w:t>
      </w:r>
      <w:r>
        <w:t xml:space="preserve">clear sign of domestic tasks moving from the grandmother to the mother;</w:t>
      </w:r>
      <w:r>
        <w:t xml:space="preserve"> </w:t>
      </w:r>
      <w:r>
        <w:t xml:space="preserve">the placebo for domestic work (below) also suggests a larger household</w:t>
      </w:r>
      <w:r>
        <w:t xml:space="preserve"> </w:t>
      </w:r>
      <w:r>
        <w:t xml:space="preserve">workload for mothers. The extra care they report is accompanied by less</w:t>
      </w:r>
      <w:r>
        <w:t xml:space="preserve"> </w:t>
      </w:r>
      <w:r>
        <w:t xml:space="preserve">free time and sleep. The fall in free time is the largest, at 14% of</w:t>
      </w:r>
      <w:r>
        <w:t xml:space="preserve"> </w:t>
      </w:r>
      <w:r>
        <w:t xml:space="preserve">the mean for women without a young grandchild. Their paid work does not</w:t>
      </w:r>
      <w:r>
        <w:t xml:space="preserve"> </w:t>
      </w:r>
      <w:r>
        <w:t xml:space="preserve">fall, so in this sample the extra childcare is accompanied by less free</w:t>
      </w:r>
      <w:r>
        <w:t xml:space="preserve"> </w:t>
      </w:r>
      <w:r>
        <w:t xml:space="preserve">time and sleep but not by less paid work.</w:t>
      </w:r>
    </w:p>
    <w:bookmarkStart w:id="29" w:name="_f294cdcd745397e2585ca03b9caa9755a4c1ee4"/>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Older women</w:t>
            </w:r>
          </w:p>
        </w:tc>
        <w:tc>
          <w:tcPr/>
          <w:p>
            <w:pPr>
              <w:pStyle w:val="Compact"/>
              <w:spacing w:line="240" w:lineRule="auto" w:after="0" w:before="0"/>
              <w:jc w:val="right"/>
            </w:pPr>
            <w:r>
              <w:rPr>
                <w:sz w:val="18"/>
              </w:rPr>
              <w:t xml:space="preserve">Older men</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[2.00, 2.84]</w:t>
            </w:r>
          </w:p>
        </w:tc>
        <w:tc>
          <w:tcPr/>
          <w:p>
            <w:pPr>
              <w:pStyle w:val="Compact"/>
              <w:spacing w:line="240" w:lineRule="auto" w:after="0" w:before="0"/>
              <w:jc w:val="right"/>
            </w:pPr>
            <w:r>
              <w:rPr>
                <w:sz w:val="18"/>
              </w:rPr>
              <w:t xml:space="preserve">5.23 [4.30, 6.16]</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149.7</w:t>
            </w:r>
          </w:p>
        </w:tc>
        <w:tc>
          <w:tcPr/>
          <w:p>
            <w:pPr>
              <w:pStyle w:val="Compact"/>
              <w:spacing w:line="240" w:lineRule="auto" w:after="0" w:before="0"/>
              <w:jc w:val="right"/>
            </w:pPr>
            <w:r>
              <w:rPr>
                <w:sz w:val="18"/>
              </w:rPr>
              <w:t xml:space="preserve">-16.58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[-0.11,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[-9.48, -2.85]</w:t>
            </w:r>
          </w:p>
        </w:tc>
        <w:tc>
          <w:tcPr/>
          <w:p>
            <w:pPr>
              <w:pStyle w:val="Compact"/>
              <w:spacing w:line="240" w:lineRule="auto" w:after="0" w:before="0"/>
              <w:jc w:val="right"/>
            </w:pPr>
            <w:r>
              <w:rPr>
                <w:sz w:val="18"/>
              </w:rPr>
              <w:t xml:space="preserve">-3.03 [-7.37, 1.31]</w:t>
            </w:r>
          </w:p>
        </w:tc>
      </w:tr>
    </w:tbl>
    <w:bookmarkEnd w:id="29"/>
    <w:p>
      <w:pPr>
        <w:pStyle w:val="FirstParagraph"/>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and</w:t>
      </w:r>
      <w:r>
        <w:t xml:space="preserve"> </w:t>
      </w:r>
      <w:r>
        <w:t xml:space="preserve">not clearly for older women, but the women-minus-men difference, -7.1</w:t>
      </w:r>
      <w:r>
        <w:t xml:space="preserve"> </w:t>
      </w:r>
      <w:r>
        <w:t xml:space="preserve">minutes (CI -16.5 to 2.4), is imprecise and includes zero, so the data</w:t>
      </w:r>
      <w:r>
        <w:t xml:space="preserve"> </w:t>
      </w:r>
      <w:r>
        <w:t xml:space="preserve">do not establish a gender difference in the paid-work response.</w:t>
      </w:r>
    </w:p>
    <w:p>
      <w:pPr>
        <w:pStyle w:val="Heading2"/>
      </w:pPr>
      <w:bookmarkStart w:id="30" w:name="_1e764ce523a6bcb8d53ff8bd725268f1520e403"/>
      <w:r>
        <w:rPr>
          <w:rStyle w:val="SectionNumber"/>
        </w:rPr>
        <w:t xml:space="preserve">4.4</w:t>
      </w:r>
      <w:r>
        <w:tab/>
      </w:r>
      <w:r>
        <w:t xml:space="preserve">Which grandmothers matter</w:t>
      </w:r>
      <w:bookmarkEnd w:id="30"/>
    </w:p>
    <w:p>
      <w:pPr>
        <w:pStyle w:val="FirstParagraph"/>
      </w:pPr>
      <w:r>
        <w:t xml:space="preserve">Table</w:t>
      </w:r>
      <w:r>
        <w:t xml:space="preserve"> </w:t>
      </w:r>
      <w:hyperlink w:anchor="_d728e339bf7a235f4b8e0946bfe97b624c3cc63">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31" w:name="_d728e339bf7a235f4b8e0946bfe97b624c3cc63"/>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0.47]</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-2.56]</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[-14.93, -7.20]</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-8.89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-3.13 [-8.07, 1.82]</w:t>
            </w:r>
          </w:p>
        </w:tc>
        <w:tc>
          <w:tcPr/>
          <w:p>
            <w:pPr>
              <w:pStyle w:val="Compact"/>
              <w:spacing w:line="240" w:lineRule="auto" w:after="0" w:before="0"/>
              <w:jc w:val="right"/>
            </w:pPr>
            <w:r>
              <w:rPr>
                <w:sz w:val="18"/>
              </w:rPr>
              <w:t xml:space="preserve">16.50 [8.99, 24.01]</w:t>
            </w:r>
          </w:p>
        </w:tc>
      </w:tr>
    </w:tbl>
    <w:bookmarkEnd w:id="31"/>
    <w:p>
      <w:pPr>
        <w:pStyle w:val="FirstParagraph"/>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The lower childcare is concentrated among mothers</w:t>
      </w:r>
      <w:r>
        <w:t xml:space="preserve"> </w:t>
      </w:r>
      <w:r>
        <w:t xml:space="preserve">whose grandmother is not in paid work; with an employed grandmother</w:t>
      </w:r>
      <w:r>
        <w:t xml:space="preserve"> </w:t>
      </w:r>
      <w:r>
        <w:t xml:space="preserve">mothers’ childcare is higher. Grandmothers’ age, employment and</w:t>
      </w:r>
      <w:r>
        <w:t xml:space="preserve"> </w:t>
      </w:r>
      <w:r>
        <w:t xml:space="preserve">household position are related, and employment is itself a choice made</w:t>
      </w:r>
      <w:r>
        <w:t xml:space="preserve"> </w:t>
      </w:r>
      <w:r>
        <w:t xml:space="preserve">jointly with the care they provide, so these comparisons are</w:t>
      </w:r>
      <w:r>
        <w:t xml:space="preserve"> </w:t>
      </w:r>
      <w:r>
        <w:t xml:space="preserve">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With both grandparents present mothers’ childcare is not</w:t>
      </w:r>
      <w:r>
        <w:t xml:space="preserve"> </w:t>
      </w:r>
      <w:r>
        <w:t xml:space="preserve">lower, so the pooled reduction comes from households with a single</w:t>
      </w:r>
      <w:r>
        <w:t xml:space="preserve"> </w:t>
      </w:r>
      <w:r>
        <w:t xml:space="preserve">coresident grandparent. The interval for the difference between</w:t>
      </w:r>
      <w:r>
        <w:t xml:space="preserve"> </w:t>
      </w:r>
      <w:r>
        <w:t xml:space="preserve">grandmothers and grandfathers includes zero; households with only a</w:t>
      </w:r>
      <w:r>
        <w:t xml:space="preserve"> </w:t>
      </w:r>
      <w:r>
        <w:t xml:space="preserve">grandfather are a small share of the sample (4.5%), so this comparison</w:t>
      </w:r>
      <w:r>
        <w:t xml:space="preserve"> </w:t>
      </w:r>
      <w:r>
        <w:t xml:space="preserve">is imprecise. Mothers’ paid work is 9.8 minutes higher (CI 4.6 to 15.0)</w:t>
      </w:r>
      <w:r>
        <w:t xml:space="preserve"> </w:t>
      </w:r>
      <w:r>
        <w:t xml:space="preserve">with a grandmother only and 8.1 minutes lower (CI -11.9 to -4.4) with</w:t>
      </w:r>
      <w:r>
        <w:t xml:space="preserve"> </w:t>
      </w:r>
      <w:r>
        <w:t xml:space="preserve">both grandparents, so the pooled employment estimate averages</w:t>
      </w:r>
      <w:r>
        <w:t xml:space="preserve"> </w:t>
      </w:r>
      <w:r>
        <w:t xml:space="preserve">associations of different sign. These gradients do not follow the</w:t>
      </w:r>
      <w:r>
        <w:t xml:space="preserve"> </w:t>
      </w:r>
      <w:r>
        <w:t xml:space="preserve">capacity ordering of the framework uniformly: some fit substitution</w:t>
      </w:r>
      <w:r>
        <w:t xml:space="preserve"> </w:t>
      </w:r>
      <w:r>
        <w:t xml:space="preserve">where the older generation has time to give and others run against it,</w:t>
      </w:r>
      <w:r>
        <w:t xml:space="preserve"> </w:t>
      </w:r>
      <w:r>
        <w:t xml:space="preserve">and grandmother age and employment are themselves tied to the household</w:t>
      </w:r>
      <w:r>
        <w:t xml:space="preserve"> </w:t>
      </w:r>
      <w:r>
        <w:t xml:space="preserve">arrangement, so they do not separate substitution from selection.</w:t>
      </w:r>
    </w:p>
    <w:p>
      <w:pPr>
        <w:pStyle w:val="Heading2"/>
      </w:pPr>
      <w:bookmarkStart w:id="32" w:name="_6642d9e0e0ab4474145932a3534ba7a0a99f8ef"/>
      <w:r>
        <w:rPr>
          <w:rStyle w:val="SectionNumber"/>
        </w:rPr>
        <w:t xml:space="preserve">4.5</w:t>
      </w:r>
      <w:r>
        <w:tab/>
      </w:r>
      <w:r>
        <w:t xml:space="preserve">Differences by household</w:t>
      </w:r>
      <w:r>
        <w:t xml:space="preserve"> </w:t>
      </w:r>
      <w:r>
        <w:t xml:space="preserve">arrangement</w:t>
      </w:r>
      <w:bookmarkEnd w:id="32"/>
    </w:p>
    <w:p>
      <w:pPr>
        <w:pStyle w:val="FirstParagraph"/>
      </w:pPr>
      <w:r>
        <w:t xml:space="preserve">Table</w:t>
      </w:r>
      <w:r>
        <w:t xml:space="preserve"> </w:t>
      </w:r>
      <w:hyperlink w:anchor="_43bf129cbf290ef8eb59d2eab67c8b98afea1c7">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-9.2) and the employment</w:t>
      </w:r>
      <w:r>
        <w:t xml:space="preserve"> </w:t>
      </w:r>
      <w:r>
        <w:t xml:space="preserve">association 12.6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possibly more often by the grandparents’ need for</w:t>
      </w:r>
      <w:r>
        <w:t xml:space="preserve"> </w:t>
      </w:r>
      <w:r>
        <w:t xml:space="preserve">support and the second by the patrilocal norm, and the estimates differ.</w:t>
      </w:r>
      <w:r>
        <w:t xml:space="preserve"> </w:t>
      </w:r>
      <w:r>
        <w:t xml:space="preserve">Because 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3" w:name="_43bf129cbf290ef8eb59d2eab67c8b98afea1c7"/>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[-7.04,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-0.11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3"/>
    <w:p>
      <w:pPr>
        <w:pStyle w:val="FirstParagraph"/>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 No subsample falls below it. Intervals are not adjusted for multiple comparisons across subgroups; individual subgroup estimates should be read as exploratory.</w:t>
      </w:r>
    </w:p>
    <w:p>
      <w:pPr>
        <w:pStyle w:val="BodyText"/>
      </w:pPr>
      <w:r>
        <w:t xml:space="preserve">Across urban and rural households the childcare associations are -6.8</w:t>
      </w:r>
      <w:r>
        <w:t xml:space="preserve"> </w:t>
      </w:r>
      <w:r>
        <w:t xml:space="preserve">minutes (CI -11.7 to -1.9) and -0.5 minutes (CI -3.4 to 2.4). By the</w:t>
      </w:r>
      <w:r>
        <w:t xml:space="preserve"> </w:t>
      </w:r>
      <w:r>
        <w:t xml:space="preserve">mother’s education they are -1.0 minutes (CI -4.4 to 2.4)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-4.4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p>
      <w:pPr>
        <w:pStyle w:val="Heading2"/>
      </w:pPr>
      <w:bookmarkStart w:id="34" w:name="_86d69f2043119dc4cf7f5e853d310eb8eb07deb"/>
      <w:r>
        <w:rPr>
          <w:rStyle w:val="SectionNumber"/>
        </w:rPr>
        <w:t xml:space="preserve">4.6</w:t>
      </w:r>
      <w:r>
        <w:tab/>
      </w:r>
      <w:r>
        <w:t xml:space="preserve">A placebo: mothers of school-age</w:t>
      </w:r>
      <w:r>
        <w:t xml:space="preserve"> </w:t>
      </w:r>
      <w:r>
        <w:t xml:space="preserve">children</w:t>
      </w:r>
      <w:bookmarkEnd w:id="34"/>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_309c9316dd1f02b0d2fa325578a010c13f69733">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-0.4 minutes</w:t>
      </w:r>
      <w:r>
        <w:t xml:space="preserve"> </w:t>
      </w:r>
      <w:r>
        <w:t xml:space="preserve">(CI -2.3 to 1.6) in this group, against -2.1 minutes (CI -4.6 to 0.4) in</w:t>
      </w:r>
      <w:r>
        <w:t xml:space="preserve"> </w:t>
      </w:r>
      <w:r>
        <w:t xml:space="preserve">the analysis sample, and the difference between the two is -1.8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5" w:name="_309c9316dd1f02b0d2fa325578a010c13f69733"/>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-0.35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[-4.60,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[-0.26,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5"/>
    <w:p>
      <w:pPr>
        <w:pStyle w:val="FirstParagraph"/>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p>
      <w:pPr>
        <w:pStyle w:val="Heading2"/>
      </w:pPr>
      <w:bookmarkStart w:id="36" w:name="_robustness"/>
      <w:r>
        <w:rPr>
          <w:rStyle w:val="SectionNumber"/>
        </w:rPr>
        <w:t xml:space="preserve">4.7</w:t>
      </w:r>
      <w:r>
        <w:tab/>
      </w:r>
      <w:r>
        <w:t xml:space="preserve">Robustness</w:t>
      </w:r>
      <w:bookmarkEnd w:id="36"/>
    </w:p>
    <w:p>
      <w:pPr>
        <w:pStyle w:val="FirstParagraph"/>
      </w:pPr>
      <w:r>
        <w:t xml:space="preserve">Table</w:t>
      </w:r>
      <w:r>
        <w:t xml:space="preserve"> </w:t>
      </w:r>
      <w:hyperlink w:anchor="_12c2d691ce7d94f18eabedfa7fc910ecf3de0b8">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-9.2). Requiring a linked husband gives -1.8 minutes (CI</w:t>
      </w:r>
      <w:r>
        <w:t xml:space="preserve"> </w:t>
      </w:r>
      <w:r>
        <w:t xml:space="preserve">-4.5 to 0.9), and dropping proxy-reported diaries gives -3.4 minutes (CI</w:t>
      </w:r>
      <w:r>
        <w:t xml:space="preserve"> </w:t>
      </w:r>
      <w:r>
        <w:t xml:space="preserve">-6.2 to -0.5). Adding the number of other adult women gives -0.9 minutes</w:t>
      </w:r>
      <w:r>
        <w:t xml:space="preserve"> </w:t>
      </w:r>
      <w:r>
        <w:t xml:space="preserve">(CI -3.4 to 1.6); adding household size gives 8.3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8.3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Of the ten alternative childcare</w:t>
      </w:r>
      <w:r>
        <w:t xml:space="preserve"> </w:t>
      </w:r>
      <w:r>
        <w:t xml:space="preserve">specifications, six give a negative estimate whose interval excludes</w:t>
      </w:r>
      <w:r>
        <w:t xml:space="preserve"> </w:t>
      </w:r>
      <w:r>
        <w:t xml:space="preserve">zero and one a positive one, so the pooled baseline is closer to zero</w:t>
      </w:r>
      <w:r>
        <w:t xml:space="preserve"> </w:t>
      </w:r>
      <w:r>
        <w:t xml:space="preserve">than most alternatives. The bias-adjusted coefficient of Oster (2019),</w:t>
      </w:r>
      <w:r>
        <w:t xml:space="preserve"> </w:t>
      </w:r>
      <w:r>
        <w:t xml:space="preserve">which assumes that unobservables are as important as observables and</w:t>
      </w:r>
      <w:r>
        <w:t xml:space="preserve"> </w:t>
      </w:r>
      <w:r>
        <w:t xml:space="preserve">that the maximum attainable</w:t>
      </w:r>
      <w:r>
        <w:t xml:space="preserve"> </w:t>
      </w:r>
      <m:oMath>
        <m:sSup>
          <m:e>
            <m:r>
              <m:t>R</m:t>
            </m:r>
          </m:e>
          <m:sup>
            <m:r>
              <m:t>2</m:t>
            </m:r>
          </m:sup>
        </m:sSup>
      </m:oMath>
      <w:r>
        <w:t xml:space="preserve"> </w:t>
      </w:r>
      <w:r>
        <w:t xml:space="preserve">is 1.3 times that of the full model,</w:t>
      </w:r>
      <w:r>
        <w:t xml:space="preserve"> </w:t>
      </w:r>
      <w:r>
        <w:t xml:space="preserve">is -2.33 for childcare and -1.00 for employment minutes. The degree of</w:t>
      </w:r>
      <w:r>
        <w:t xml:space="preserve"> </w:t>
      </w:r>
      <w:r>
        <w:t xml:space="preserve">selection on unobservables, relative to observables, that would reduce</w:t>
      </w:r>
      <w:r>
        <w:t xml:space="preserve"> </w:t>
      </w:r>
      <w:r>
        <w:t xml:space="preserve">the coefficient to zero is -8.66 for childcare and -0.69 for employment;</w:t>
      </w:r>
      <w:r>
        <w:t xml:space="preserve"> </w:t>
      </w:r>
      <w:r>
        <w:t xml:space="preserve">both values are negative, so only selection on unobservables opposite in</w:t>
      </w:r>
      <w:r>
        <w:t xml:space="preserve"> </w:t>
      </w:r>
      <w:r>
        <w:t xml:space="preserve">direction to selection on observables could reduce the coefficients to</w:t>
      </w:r>
      <w:r>
        <w:t xml:space="preserve"> </w:t>
      </w:r>
      <w:r>
        <w:t xml:space="preserve">zero, and for employment the required degree is below one in absolute</w:t>
      </w:r>
      <w:r>
        <w:t xml:space="preserve"> </w:t>
      </w:r>
      <w:r>
        <w:t xml:space="preserve">value, so the employment estimate is not robust in this sense. Because</w:t>
      </w:r>
      <w:r>
        <w:t xml:space="preserve"> </w:t>
      </w:r>
      <w:r>
        <w:t xml:space="preserve">both baseline estimates are close to zero with intervals that include</w:t>
      </w:r>
      <w:r>
        <w:t xml:space="preserve"> </w:t>
      </w:r>
      <w:r>
        <w:t xml:space="preserve">it, these delta values are of limited informativeness. Defining the</w:t>
      </w:r>
      <w:r>
        <w:t xml:space="preserve"> </w:t>
      </w:r>
      <w:r>
        <w:t xml:space="preserve">grandmother as a woman aged 45 or above, the lower limit of the</w:t>
      </w:r>
      <w:r>
        <w:t xml:space="preserve"> </w:t>
      </w:r>
      <w:r>
        <w:t xml:space="preserve">older-generation sample, gives -3.1 minutes (CI -5.5 to -0.6) for</w:t>
      </w:r>
      <w:r>
        <w:t xml:space="preserve"> </w:t>
      </w:r>
      <w:r>
        <w:t xml:space="preserve">childcare and 0.6 minutes (CI -2.8 to 3.9) for employment minutes. The</w:t>
      </w:r>
      <w:r>
        <w:t xml:space="preserve"> </w:t>
      </w:r>
      <w:r>
        <w:t xml:space="preserve">stricter definition moves the childcare estimate towards the negative</w:t>
      </w:r>
      <w:r>
        <w:t xml:space="preserve"> </w:t>
      </w:r>
      <w:r>
        <w:t xml:space="preserve">alternatives, so the near-zero baseline should not be read as evidence</w:t>
      </w:r>
      <w:r>
        <w:t xml:space="preserve"> </w:t>
      </w:r>
      <w:r>
        <w:t xml:space="preserve">of no substitution; nor does the stricter definition change the</w:t>
      </w:r>
      <w:r>
        <w:t xml:space="preserve"> </w:t>
      </w:r>
      <w:r>
        <w:t xml:space="preserve">conclusion on paid work, whose interval includes zero, as in the</w:t>
      </w:r>
      <w:r>
        <w:t xml:space="preserve"> </w:t>
      </w:r>
      <w:r>
        <w:t xml:space="preserve">baseline.</w:t>
      </w:r>
    </w:p>
    <w:bookmarkStart w:id="37" w:name="_12c2d691ce7d94f18eabedfa7fc910ecf3de0b8"/>
    <w:p>
      <w:pPr>
        <w:pStyle w:val="TableCaption"/>
      </w:pPr>
      <w:r>
        <w:t>Table 8: Robustness: mothers’ primary childcare and paid work</w:t>
      </w:r>
    </w:p>
    <w:tbl>
      <w:tblPr>
        <w:tblStyle w:val="Table"/>
        <w:tblLook w:firstRow="1" w:lastRow="0" w:firstColumn="0" w:lastColumn="0" w:noHBand="0" w:noVBand="0" w:val="0020"/>
        <w:tblCaption w:val="Robustness: mothers’ primary childcare and paid work"/>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i/>
                <w:iCs/>
                <w:sz w:val="18"/>
              </w:rPr>
              <w:t xml:space="preserve">A. Mothers’ primary childcare (minutes)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c>
          <w:tcPr/>
          <w:p>
            <w:pPr>
              <w:pStyle w:val="Compact"/>
              <w:spacing w:line="240" w:lineRule="auto" w:after="0" w:before="0"/>
              <w:jc w:val="right"/>
            </w:pPr>
            <w:r>
              <w:rPr>
                <w:sz w:val="18"/>
              </w:rPr>
              <w:t xml:space="preserve">42,764</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c>
          <w:tcPr/>
          <w:p>
            <w:pPr>
              <w:pStyle w:val="Compact"/>
              <w:spacing w:line="240" w:lineRule="auto" w:after="0" w:before="0"/>
              <w:jc w:val="right"/>
            </w:pPr>
            <w:r>
              <w:rPr>
                <w:sz w:val="18"/>
              </w:rPr>
              <w:t xml:space="preserve">41,447</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-3.35</w:t>
            </w:r>
          </w:p>
        </w:tc>
        <w:tc>
          <w:tcPr/>
          <w:p>
            <w:pPr>
              <w:pStyle w:val="Compact"/>
              <w:spacing w:line="240" w:lineRule="auto" w:after="0" w:before="0"/>
              <w:jc w:val="right"/>
            </w:pPr>
            <w:r>
              <w:rPr>
                <w:sz w:val="18"/>
              </w:rPr>
              <w:t xml:space="preserve">[-6.22, -0.47]</w:t>
            </w:r>
          </w:p>
        </w:tc>
        <w:tc>
          <w:tcPr/>
          <w:p>
            <w:pPr>
              <w:pStyle w:val="Compact"/>
              <w:spacing w:line="240" w:lineRule="auto" w:after="0" w:before="0"/>
              <w:jc w:val="right"/>
            </w:pPr>
            <w:r>
              <w:rPr>
                <w:sz w:val="18"/>
              </w:rPr>
              <w:t xml:space="preserve">39,018</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-0.94</w:t>
            </w:r>
          </w:p>
        </w:tc>
        <w:tc>
          <w:tcPr/>
          <w:p>
            <w:pPr>
              <w:pStyle w:val="Compact"/>
              <w:spacing w:line="240" w:lineRule="auto" w:after="0" w:before="0"/>
              <w:jc w:val="right"/>
            </w:pPr>
            <w:r>
              <w:rPr>
                <w:sz w:val="18"/>
              </w:rPr>
              <w:t xml:space="preserve">[-3.43, 1.56]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Grandmother defined as a woman aged 45 or above</w:t>
            </w:r>
          </w:p>
        </w:tc>
        <w:tc>
          <w:tcPr/>
          <w:p>
            <w:pPr>
              <w:pStyle w:val="Compact"/>
              <w:spacing w:line="240" w:lineRule="auto" w:after="0" w:before="0"/>
              <w:jc w:val="right"/>
            </w:pPr>
            <w:r>
              <w:rPr>
                <w:sz w:val="18"/>
              </w:rPr>
              <w:t xml:space="preserve">-3.08</w:t>
            </w:r>
          </w:p>
        </w:tc>
        <w:tc>
          <w:tcPr/>
          <w:p>
            <w:pPr>
              <w:pStyle w:val="Compact"/>
              <w:spacing w:line="240" w:lineRule="auto" w:after="0" w:before="0"/>
              <w:jc w:val="right"/>
            </w:pPr>
            <w:r>
              <w:rPr>
                <w:sz w:val="18"/>
              </w:rPr>
              <w:t xml:space="preserve">[-5.54, -0.61]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delta for a zero coefficient, childcare (Rmax = 1.3 R)</w:t>
            </w:r>
          </w:p>
        </w:tc>
        <w:tc>
          <w:tcPr/>
          <w:p>
            <w:pPr>
              <w:pStyle w:val="Compact"/>
              <w:spacing w:line="240" w:lineRule="auto" w:after="0" w:before="0"/>
              <w:jc w:val="right"/>
            </w:pPr>
            <w:r>
              <w:rPr>
                <w:sz w:val="18"/>
              </w:rPr>
              <w:t xml:space="preserve">-8.66</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i/>
                <w:iCs/>
                <w:sz w:val="18"/>
              </w:rPr>
              <w:t xml:space="preserve">B. Mothers’ paid work</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Baseline, employment minutes</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controlling for mother’s generation</w:t>
            </w:r>
          </w:p>
        </w:tc>
        <w:tc>
          <w:tcPr/>
          <w:p>
            <w:pPr>
              <w:pStyle w:val="Compact"/>
              <w:spacing w:line="240" w:lineRule="auto" w:after="0" w:before="0"/>
              <w:jc w:val="right"/>
            </w:pPr>
            <w:r>
              <w:rPr>
                <w:sz w:val="18"/>
              </w:rPr>
              <w:t xml:space="preserve">10.52</w:t>
            </w:r>
          </w:p>
        </w:tc>
        <w:tc>
          <w:tcPr/>
          <w:p>
            <w:pPr>
              <w:pStyle w:val="Compact"/>
              <w:spacing w:line="240" w:lineRule="auto" w:after="0" w:before="0"/>
              <w:jc w:val="right"/>
            </w:pPr>
            <w:r>
              <w:rPr>
                <w:sz w:val="18"/>
              </w:rPr>
              <w:t xml:space="preserve">[5.52, 15.51]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controlling for generation and household size</w:t>
            </w:r>
          </w:p>
        </w:tc>
        <w:tc>
          <w:tcPr/>
          <w:p>
            <w:pPr>
              <w:pStyle w:val="Compact"/>
              <w:spacing w:line="240" w:lineRule="auto" w:after="0" w:before="0"/>
              <w:jc w:val="right"/>
            </w:pPr>
            <w:r>
              <w:rPr>
                <w:sz w:val="18"/>
              </w:rPr>
              <w:t xml:space="preserve">9.17</w:t>
            </w:r>
          </w:p>
        </w:tc>
        <w:tc>
          <w:tcPr/>
          <w:p>
            <w:pPr>
              <w:pStyle w:val="Compact"/>
              <w:spacing w:line="240" w:lineRule="auto" w:after="0" w:before="0"/>
              <w:jc w:val="right"/>
            </w:pPr>
            <w:r>
              <w:rPr>
                <w:sz w:val="18"/>
              </w:rPr>
              <w:t xml:space="preserve">[3.60, 14.74]</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minutes, grandmother aged 45 or above</w:t>
            </w:r>
          </w:p>
        </w:tc>
        <w:tc>
          <w:tcPr/>
          <w:p>
            <w:pPr>
              <w:pStyle w:val="Compact"/>
              <w:spacing w:line="240" w:lineRule="auto" w:after="0" w:before="0"/>
              <w:jc w:val="right"/>
            </w:pPr>
            <w:r>
              <w:rPr>
                <w:sz w:val="18"/>
              </w:rPr>
              <w:t xml:space="preserve">0.56</w:t>
            </w:r>
          </w:p>
        </w:tc>
        <w:tc>
          <w:tcPr/>
          <w:p>
            <w:pPr>
              <w:pStyle w:val="Compact"/>
              <w:spacing w:line="240" w:lineRule="auto" w:after="0" w:before="0"/>
              <w:jc w:val="right"/>
            </w:pPr>
            <w:r>
              <w:rPr>
                <w:sz w:val="18"/>
              </w:rPr>
              <w:t xml:space="preserve">[-2.78, 3.90]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Baseline, employed (usual status, share)</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(share), controlling for mother’s generation</w:t>
            </w:r>
          </w:p>
        </w:tc>
        <w:tc>
          <w:tcPr/>
          <w:p>
            <w:pPr>
              <w:pStyle w:val="Compact"/>
              <w:spacing w:line="240" w:lineRule="auto" w:after="0" w:before="0"/>
              <w:jc w:val="right"/>
            </w:pPr>
            <w:r>
              <w:rPr>
                <w:sz w:val="18"/>
              </w:rPr>
              <w:t xml:space="preserve">0.022</w:t>
            </w:r>
          </w:p>
        </w:tc>
        <w:tc>
          <w:tcPr/>
          <w:p>
            <w:pPr>
              <w:pStyle w:val="Compact"/>
              <w:spacing w:line="240" w:lineRule="auto" w:after="0" w:before="0"/>
              <w:jc w:val="right"/>
            </w:pPr>
            <w:r>
              <w:rPr>
                <w:sz w:val="18"/>
              </w:rPr>
              <w:t xml:space="preserve">[0.008, 0.035]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(share), controlling for generation and household size</w:t>
            </w:r>
          </w:p>
        </w:tc>
        <w:tc>
          <w:tcPr/>
          <w:p>
            <w:pPr>
              <w:pStyle w:val="Compact"/>
              <w:spacing w:line="240" w:lineRule="auto" w:after="0" w:before="0"/>
              <w:jc w:val="right"/>
            </w:pPr>
            <w:r>
              <w:rPr>
                <w:sz w:val="18"/>
              </w:rPr>
              <w:t xml:space="preserve">0.022</w:t>
            </w:r>
          </w:p>
        </w:tc>
        <w:tc>
          <w:tcPr/>
          <w:p>
            <w:pPr>
              <w:pStyle w:val="Compact"/>
              <w:spacing w:line="240" w:lineRule="auto" w:after="0" w:before="0"/>
              <w:jc w:val="right"/>
            </w:pPr>
            <w:r>
              <w:rPr>
                <w:sz w:val="18"/>
              </w:rPr>
              <w:t xml:space="preserve">[0.007, 0.037]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bias-adjusted, employment minutes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Oster delta for a zero coefficient, employment minutes (Rmax = 1.3 R)</w:t>
            </w:r>
          </w:p>
        </w:tc>
        <w:tc>
          <w:tcPr/>
          <w:p>
            <w:pPr>
              <w:pStyle w:val="Compact"/>
              <w:spacing w:line="240" w:lineRule="auto" w:after="0" w:before="0"/>
              <w:jc w:val="right"/>
            </w:pPr>
            <w:r>
              <w:rPr>
                <w:sz w:val="18"/>
              </w:rPr>
              <w:t xml:space="preserve">-0.69</w:t>
            </w:r>
          </w:p>
        </w:tc>
        <w:tc>
          <w:tcPr/>
          <w:p>
            <w:pPr>
              <w:pStyle w:val="Compact"/>
              <w:spacing w:line="240" w:lineRule="auto" w:after="0" w:before="0"/>
            </w:pPr>
          </w:p>
        </w:tc>
        <w:tc>
          <w:tcPr/>
          <w:p>
            <w:pPr>
              <w:pStyle w:val="Compact"/>
              <w:spacing w:line="240" w:lineRule="auto" w:after="0" w:before="0"/>
              <w:jc w:val="right"/>
            </w:pPr>
            <w:r>
              <w:rPr>
                <w:sz w:val="18"/>
              </w:rPr>
              <w:t xml:space="preserve">49,992</w:t>
            </w:r>
          </w:p>
        </w:tc>
      </w:tr>
    </w:tbl>
    <w:bookmarkEnd w:id="37"/>
    <w:p>
      <w:pPr>
        <w:pStyle w:val="FirstParagraph"/>
      </w:pPr>
      <w:r>
        <w:rPr>
          <w:i/>
          <w:iCs/>
        </w:rPr>
        <w:t xml:space="preserve">Notes:</w:t>
      </w:r>
      <w:r>
        <w:t xml:space="preserve"> </w:t>
      </w:r>
      <w:r>
        <w:t xml:space="preserve">Coefficient on the grandmother indicator (or any grandparent) in the main specification, unless stated. N is the number of mothers in each regression. The extensive-margin row is a linear probability model. The Oster rows use the short regression without controls or fixed effects on the same sample; the bias-adjusted estimate sets delta = 1, and the delta rows give the relative degree of selection on unobservables that would make the coefficient zero. The age-45 rows require the grandmother of a junior-level mother to be aged 45 or above instead of 40. The generation control is an indicator for a junior-level mother.</w:t>
      </w:r>
    </w:p>
    <w:p>
      <w:pPr>
        <w:pStyle w:val="Heading1"/>
      </w:pPr>
      <w:bookmarkStart w:id="38" w:name="_93520e2074376248722efed6c9320763a7cf0cc"/>
      <w:r>
        <w:rPr>
          <w:rStyle w:val="SectionNumber"/>
        </w:rPr>
        <w:t xml:space="preserve">5</w:t>
      </w:r>
      <w:r>
        <w:tab/>
      </w:r>
      <w:r>
        <w:t xml:space="preserve">Discussion and conclusion</w:t>
      </w:r>
      <w:bookmarkEnd w:id="38"/>
    </w:p>
    <w:p>
      <w:pPr>
        <w:pStyle w:val="Heading2"/>
      </w:pPr>
      <w:bookmarkStart w:id="39" w:name="_interpretation"/>
      <w:r>
        <w:rPr>
          <w:rStyle w:val="SectionNumber"/>
        </w:rPr>
        <w:t xml:space="preserve">5.1</w:t>
      </w:r>
      <w:r>
        <w:tab/>
      </w:r>
      <w:r>
        <w:t xml:space="preserve">Interpretation</w:t>
      </w:r>
      <w:bookmarkEnd w:id="39"/>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_12c2d691ce7d94f18eabedfa7fc910ecf3de0b8">
        <w:r>
          <w:rPr>
            <w:rStyle w:val="Hyperlink"/>
          </w:rPr>
          <w:t xml:space="preserve">8</w:t>
        </w:r>
      </w:hyperlink>
      <w:r>
        <w:t xml:space="preserve">), and it differs by grandmother and by household</w:t>
      </w:r>
      <w:r>
        <w:t xml:space="preserve"> </w:t>
      </w:r>
      <w:r>
        <w:t xml:space="preserve">arrangement (Tables</w:t>
      </w:r>
      <w:r>
        <w:t xml:space="preserve"> </w:t>
      </w:r>
      <w:hyperlink w:anchor="_d728e339bf7a235f4b8e0946bfe97b624c3cc63">
        <w:r>
          <w:rPr>
            <w:rStyle w:val="Hyperlink"/>
          </w:rPr>
          <w:t xml:space="preserve">5</w:t>
        </w:r>
      </w:hyperlink>
      <w:r>
        <w:t xml:space="preserve"> </w:t>
      </w:r>
      <w:r>
        <w:t xml:space="preserve">and</w:t>
      </w:r>
      <w:r>
        <w:t xml:space="preserve"> </w:t>
      </w:r>
      <w:hyperlink w:anchor="_43bf129cbf290ef8eb59d2eab67c8b98afea1c7">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associated with</w:t>
      </w:r>
      <w:r>
        <w:t xml:space="preserve"> </w:t>
      </w:r>
      <w:r>
        <w:t xml:space="preserve">substantially more childcare time by older women, together with less</w:t>
      </w:r>
      <w:r>
        <w:t xml:space="preserve"> </w:t>
      </w:r>
      <w:r>
        <w:t xml:space="preserve">free time and sleep. Recorded adult childcare in three-generation</w:t>
      </w:r>
      <w:r>
        <w:t xml:space="preserve"> </w:t>
      </w:r>
      <w:r>
        <w:t xml:space="preserve">households is also higher in total, although part of this may reflect</w:t>
      </w:r>
      <w:r>
        <w:t xml:space="preserve"> </w:t>
      </w:r>
      <w:r>
        <w:t xml:space="preserve">simultaneous or shared recording.</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in a separate split where she is not in</w:t>
      </w:r>
      <w:r>
        <w:t xml:space="preserve"> </w:t>
      </w:r>
      <w:r>
        <w:t xml:space="preserve">paid work, and it is higher where she is under 60 (3.1 minutes (CI 0.1</w:t>
      </w:r>
      <w:r>
        <w:t xml:space="preserve"> </w:t>
      </w:r>
      <w:r>
        <w:t xml:space="preserve">to 6.1)) or employed (5.8 minutes (CI 2.0 to 9.6)); among head-level</w:t>
      </w:r>
      <w:r>
        <w:t xml:space="preserve"> </w:t>
      </w:r>
      <w:r>
        <w:t xml:space="preserve">mothers the reduction is larger. The age and employment splits are</w:t>
      </w:r>
      <w:r>
        <w:t xml:space="preserve"> </w:t>
      </w:r>
      <w:r>
        <w:t xml:space="preserve">separate regressions, not a joint classification, and with both</w:t>
      </w:r>
      <w:r>
        <w:t xml:space="preserve"> </w:t>
      </w:r>
      <w:r>
        <w:t xml:space="preserve">grandparents present mothers’ childcare is not lower. The second is the</w:t>
      </w:r>
      <w:r>
        <w:t xml:space="preserve"> </w:t>
      </w:r>
      <w:r>
        <w:t xml:space="preserve">constraint channel: a larger household and a senior woman’s authority</w:t>
      </w:r>
      <w:r>
        <w:t xml:space="preserve"> </w:t>
      </w:r>
      <w:r>
        <w:t xml:space="preserve">raise the mother’s domestic load and the wedge on work outside the home,</w:t>
      </w:r>
      <w:r>
        <w:t xml:space="preserve"> </w:t>
      </w:r>
      <w:r>
        <w:t xml:space="preserve">so any childcare time released is absorbed; mothers’ time on food and</w:t>
      </w:r>
      <w:r>
        <w:t xml:space="preserve"> </w:t>
      </w:r>
      <w:r>
        <w:t xml:space="preserve">meals is higher, but their total domestic work is not, so the diaries</w:t>
      </w:r>
      <w:r>
        <w:t xml:space="preserve"> </w:t>
      </w:r>
      <w:r>
        <w:t xml:space="preserve">give this reading little direct support. The third is selection: mothers</w:t>
      </w:r>
      <w:r>
        <w:t xml:space="preserve"> </w:t>
      </w:r>
      <w:r>
        <w:t xml:space="preserve">who choose, or are placed in, three-generation households differ in ways</w:t>
      </w:r>
      <w:r>
        <w:t xml:space="preserve"> </w:t>
      </w:r>
      <w:r>
        <w:t xml:space="preserve">that also shape their time. Gradients by the grandmother’s</w:t>
      </w:r>
      <w:r>
        <w:t xml:space="preserve"> </w:t>
      </w:r>
      <w:r>
        <w:t xml:space="preserve">characteristics are harder to attribute to fixed household traits, but</w:t>
      </w:r>
      <w:r>
        <w:t xml:space="preserve"> </w:t>
      </w:r>
      <w:r>
        <w:t xml:space="preserve">selection remains open: the pooled estimate is sensitive to the</w:t>
      </w:r>
      <w:r>
        <w:t xml:space="preserve"> </w:t>
      </w:r>
      <w:r>
        <w:t xml:space="preserve">specification, and the placebo for domestic work is not clean. Fathers’</w:t>
      </w:r>
      <w:r>
        <w:t xml:space="preserve"> </w:t>
      </w:r>
      <w:r>
        <w:t xml:space="preserve">childcare is also lower with a grandmother present, among mothers with a</w:t>
      </w:r>
      <w:r>
        <w:t xml:space="preserve"> </w:t>
      </w:r>
      <w:r>
        <w:t xml:space="preserve">linked husband as well as overall.</w:t>
      </w:r>
    </w:p>
    <w:p>
      <w:pPr>
        <w:pStyle w:val="BodyText"/>
      </w:pPr>
      <w:r>
        <w:t xml:space="preserve">Studies in the United States, Europe, Japan and China find that</w:t>
      </w:r>
      <w:r>
        <w:t xml:space="preserve"> </w:t>
      </w:r>
      <w:r>
        <w:t xml:space="preserve">grandparents are associated with, and in several quasi-experimental</w:t>
      </w:r>
      <w:r>
        <w:t xml:space="preserve"> </w:t>
      </w:r>
      <w:r>
        <w:t xml:space="preserve">designs raise, maternal employment (Sasaki 2002; Dimova and Wolff 2011;</w:t>
      </w:r>
      <w:r>
        <w:t xml:space="preserve"> </w:t>
      </w:r>
      <w:r>
        <w:t xml:space="preserve">Maurer-Fazio et al. 2011; Compton and Pollak 2014; Bratti et al. 2018).</w:t>
      </w:r>
      <w:r>
        <w:t xml:space="preserve"> </w:t>
      </w:r>
      <w:r>
        <w:t xml:space="preserve">The pooled estimates here show no such association in India (mothers’</w:t>
      </w:r>
      <w:r>
        <w:t xml:space="preserve"> </w:t>
      </w:r>
      <w:r>
        <w:t xml:space="preserve">paid-work minutes differ little, and their employment rate is 1.4</w:t>
      </w:r>
      <w:r>
        <w:t xml:space="preserve"> </w:t>
      </w:r>
      <w:r>
        <w:t xml:space="preserve">percentage points lower), even though grandmothers provide 37% of the</w:t>
      </w:r>
      <w:r>
        <w:t xml:space="preserve"> </w:t>
      </w:r>
      <w:r>
        <w:t xml:space="preserve">combined raw (unadjusted) childcare minutes of the two women. Within the</w:t>
      </w:r>
      <w:r>
        <w:t xml:space="preserve"> </w:t>
      </w:r>
      <w:r>
        <w:t xml:space="preserve">mother’s household generation, however, the employment rate is 2.2</w:t>
      </w:r>
      <w:r>
        <w:t xml:space="preserve"> </w:t>
      </w:r>
      <w:r>
        <w:t xml:space="preserve">percentage points higher (CI 0.8 to 3.5), so the Indian estimates are</w:t>
      </w:r>
      <w:r>
        <w:t xml:space="preserve"> </w:t>
      </w:r>
      <w:r>
        <w:t xml:space="preserve">not clearly at odds with those studies: one difference is that</w:t>
      </w:r>
      <w:r>
        <w:t xml:space="preserve"> </w:t>
      </w:r>
      <w:r>
        <w:t xml:space="preserve">grandmothers here live mainly in junior-level households, where mothers’</w:t>
      </w:r>
      <w:r>
        <w:t xml:space="preserve"> </w:t>
      </w:r>
      <w:r>
        <w:t xml:space="preserve">employment is low, although the within-generation estimate varies across</w:t>
      </w:r>
      <w:r>
        <w:t xml:space="preserve"> </w:t>
      </w:r>
      <w:r>
        <w:t xml:space="preserve">subgroups and the Oster bounds for employment are weak. Whether</w:t>
      </w:r>
      <w:r>
        <w:t xml:space="preserve"> </w:t>
      </w:r>
      <w:r>
        <w:t xml:space="preserve">household norms in such households restrict married women’s work</w:t>
      </w:r>
      <w:r>
        <w:t xml:space="preserve"> </w:t>
      </w:r>
      <w:r>
        <w:t xml:space="preserve">(Dhanaraj and Mahambare 2019; Anukriti et al. 2020; Jayachandran 2021)</w:t>
      </w:r>
      <w:r>
        <w:t xml:space="preserve"> </w:t>
      </w:r>
      <w:r>
        <w:t xml:space="preserve">cannot be established with these data. The Norwegian finding that formal</w:t>
      </w:r>
      <w:r>
        <w:t xml:space="preserve"> </w:t>
      </w:r>
      <w:r>
        <w:t xml:space="preserve">childcare mainly crowded out informal care (Havnes and Mogstad 2011) is</w:t>
      </w:r>
      <w:r>
        <w:t xml:space="preserve"> </w:t>
      </w:r>
      <w:r>
        <w:t xml:space="preserve">a useful parallel: when one form of care replaces another, the effect on</w:t>
      </w:r>
      <w:r>
        <w:t xml:space="preserve"> </w:t>
      </w:r>
      <w:r>
        <w:t xml:space="preserve">mothers’ work depends on what else constrains it.</w:t>
      </w:r>
    </w:p>
    <w:p>
      <w:pPr>
        <w:pStyle w:val="Heading2"/>
      </w:pPr>
      <w:bookmarkStart w:id="40" w:name="_66837de03c0eab1417e14763b40f6fc3c46692e"/>
      <w:r>
        <w:rPr>
          <w:rStyle w:val="SectionNumber"/>
        </w:rPr>
        <w:t xml:space="preserve">5.2</w:t>
      </w:r>
      <w:r>
        <w:tab/>
      </w:r>
      <w:r>
        <w:t xml:space="preserve">Implications for research and</w:t>
      </w:r>
      <w:r>
        <w:t xml:space="preserve"> </w:t>
      </w:r>
      <w:r>
        <w:t xml:space="preserve">policy</w:t>
      </w:r>
      <w:bookmarkEnd w:id="40"/>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appears costly to those who provide it: older women report less</w:t>
      </w:r>
      <w:r>
        <w:t xml:space="preserve"> </w:t>
      </w:r>
      <w:r>
        <w:t xml:space="preserve">free time and sleep when a young grandchild is present. As India’s</w:t>
      </w:r>
      <w:r>
        <w:t xml:space="preserve"> </w:t>
      </w:r>
      <w:r>
        <w:t xml:space="preserve">population ages (International Institute for Population Sciences et al.</w:t>
      </w:r>
      <w:r>
        <w:t xml:space="preserve"> </w:t>
      </w:r>
      <w:r>
        <w:t xml:space="preserve">2020; United Nations Population Fund and International Institute for</w:t>
      </w:r>
      <w:r>
        <w:t xml:space="preserve"> </w:t>
      </w:r>
      <w:r>
        <w:t xml:space="preserve">Population Sciences 2023), the supply of grandmother care will depend on</w:t>
      </w:r>
      <w:r>
        <w:t xml:space="preserve"> </w:t>
      </w:r>
      <w:r>
        <w:t xml:space="preserve">older women’s health, employment and household position, and the</w:t>
      </w:r>
      <w:r>
        <w:t xml:space="preserve"> </w:t>
      </w:r>
      <w:r>
        <w:t xml:space="preserve">implicit cost to them belongs in any assessment of how families, and</w:t>
      </w:r>
      <w:r>
        <w:t xml:space="preserve"> </w:t>
      </w:r>
      <w:r>
        <w:t xml:space="preserve">public provision, share the care of young children. Expanding formal</w:t>
      </w:r>
      <w:r>
        <w:t xml:space="preserve"> </w:t>
      </w:r>
      <w:r>
        <w:t xml:space="preserve">childcare may matter for mothers in extended households as well as in</w:t>
      </w:r>
      <w:r>
        <w:t xml:space="preserve"> </w:t>
      </w:r>
      <w:r>
        <w:t xml:space="preserve">nuclear ones, although its effect will depend on whether the constraints</w:t>
      </w:r>
      <w:r>
        <w:t xml:space="preserve"> </w:t>
      </w:r>
      <w:r>
        <w:t xml:space="preserve">of the extended household also bind on the use of formal care. All of</w:t>
      </w:r>
      <w:r>
        <w:t xml:space="preserve"> </w:t>
      </w:r>
      <w:r>
        <w:t xml:space="preserve">these statements rest on conditional associations from one cross-section</w:t>
      </w:r>
      <w:r>
        <w:t xml:space="preserve"> </w:t>
      </w:r>
      <w:r>
        <w:t xml:space="preserve">and should be treated with caution.</w:t>
      </w:r>
    </w:p>
    <w:p>
      <w:pPr>
        <w:pStyle w:val="Heading2"/>
      </w:pPr>
      <w:bookmarkStart w:id="41" w:name="_limitations"/>
      <w:r>
        <w:rPr>
          <w:rStyle w:val="SectionNumber"/>
        </w:rPr>
        <w:t xml:space="preserve">5.3</w:t>
      </w:r>
      <w:r>
        <w:tab/>
      </w:r>
      <w:r>
        <w:t xml:space="preserve">Limitations</w:t>
      </w:r>
      <w:bookmarkEnd w:id="41"/>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are partly</w:t>
      </w:r>
      <w:r>
        <w:t xml:space="preserve"> </w:t>
      </w:r>
      <w:r>
        <w:t xml:space="preserve">inconclusive and do not eliminate the scope for selection. Most</w:t>
      </w:r>
      <w:r>
        <w:t xml:space="preserve"> </w:t>
      </w:r>
      <w:r>
        <w:t xml:space="preserve">junior-level mothers live with a grandmother, so the grandmother</w:t>
      </w:r>
      <w:r>
        <w:t xml:space="preserve"> </w:t>
      </w:r>
      <w:r>
        <w:t xml:space="preserve">indicator is entangled with the household arrangement, and a design that</w:t>
      </w:r>
      <w:r>
        <w:t xml:space="preserve"> </w:t>
      </w:r>
      <w:r>
        <w:t xml:space="preserve">compares mothers within the same arrangement would be preferable. The</w:t>
      </w:r>
      <w:r>
        <w:t xml:space="preserve"> </w:t>
      </w:r>
      <w:r>
        <w:t xml:space="preserve">survey offers no credible instrument for coresidence. One diary day per</w:t>
      </w:r>
      <w:r>
        <w:t xml:space="preserve"> </w:t>
      </w:r>
      <w:r>
        <w:t xml:space="preserve">person measures a day, not a routine (Frazis and Stewart 2012), which</w:t>
      </w:r>
      <w:r>
        <w:t xml:space="preserve"> </w:t>
      </w:r>
      <w:r>
        <w:t xml:space="preserve">adds noise to individual outcomes but does not bias population means.</w:t>
      </w:r>
      <w:r>
        <w:t xml:space="preserve"> </w:t>
      </w:r>
      <w:r>
        <w:t xml:space="preserve">Children under six are counted from the roster and assigned to a mother</w:t>
      </w:r>
      <w:r>
        <w:t xml:space="preserve"> </w:t>
      </w:r>
      <w:r>
        <w:t xml:space="preserve">by a generational rule; the estimate that restricts to households with a</w:t>
      </w:r>
      <w:r>
        <w:t xml:space="preserve"> </w:t>
      </w:r>
      <w:r>
        <w:t xml:space="preserve">single married woman of childbearing age is -3.2 minutes (CI -5.8 to</w:t>
      </w:r>
      <w:r>
        <w:t xml:space="preserve"> </w:t>
      </w:r>
      <w:r>
        <w:t xml:space="preserve">-0.5), but misassignment in households with several junior couples</w:t>
      </w:r>
      <w:r>
        <w:t xml:space="preserve"> </w:t>
      </w:r>
      <w:r>
        <w:t xml:space="preserve">cannot be ruled out. The roster code for parents of the head does not</w:t>
      </w:r>
      <w:r>
        <w:t xml:space="preserve"> </w:t>
      </w:r>
      <w:r>
        <w:t xml:space="preserve">distinguish the head’s own parents from the spouse’s parents, so for</w:t>
      </w:r>
      <w:r>
        <w:t xml:space="preserve"> </w:t>
      </w:r>
      <w:r>
        <w:t xml:space="preserve">head-level mothers the maternal and paternal grandmother cannot be</w:t>
      </w:r>
      <w:r>
        <w:t xml:space="preserve"> </w:t>
      </w:r>
      <w:r>
        <w:t xml:space="preserve">separated. Grandmother age proxies for health only imperfectly. The</w:t>
      </w:r>
      <w:r>
        <w:t xml:space="preserve"> </w:t>
      </w:r>
      <w:r>
        <w:t xml:space="preserve">treatment is coresidence with a grandmother, not care she is observed to</w:t>
      </w:r>
      <w:r>
        <w:t xml:space="preserve"> </w:t>
      </w:r>
      <w:r>
        <w:t xml:space="preserve">give to the mother’s own child. Intervals are not adjusted for multiple</w:t>
      </w:r>
      <w:r>
        <w:t xml:space="preserve"> </w:t>
      </w:r>
      <w:r>
        <w:t xml:space="preserve">comparisons across subgroups; individual subgroup estimates should be</w:t>
      </w:r>
      <w:r>
        <w:t xml:space="preserve"> </w:t>
      </w:r>
      <w:r>
        <w:t xml:space="preserve">read as exploratory. Finally, the survey does not record which child a</w:t>
      </w:r>
      <w:r>
        <w:t xml:space="preserve"> </w:t>
      </w:r>
      <w:r>
        <w:t xml:space="preserve">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p>
      <w:pPr>
        <w:pStyle w:val="Heading2"/>
      </w:pPr>
      <w:bookmarkStart w:id="42" w:name="_conclusion"/>
      <w:r>
        <w:rPr>
          <w:rStyle w:val="SectionNumber"/>
        </w:rPr>
        <w:t xml:space="preserve">5.4</w:t>
      </w:r>
      <w:r>
        <w:tab/>
      </w:r>
      <w:r>
        <w:t xml:space="preserve">Conclusion</w:t>
      </w:r>
      <w:bookmarkEnd w:id="42"/>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paid-work minutes is small and not robust, while grandmothers’ own</w:t>
      </w:r>
      <w:r>
        <w:t xml:space="preserve"> </w:t>
      </w:r>
      <w:r>
        <w:t xml:space="preserve">childcare is substantial and is associated with less free time and sleep</w:t>
      </w:r>
      <w:r>
        <w:t xml:space="preserve"> </w:t>
      </w:r>
      <w:r>
        <w:t xml:space="preserve">for them, and with less domestic work, which the diaries cannot clearly</w:t>
      </w:r>
      <w:r>
        <w:t xml:space="preserve"> </w:t>
      </w:r>
      <w:r>
        <w:t xml:space="preserve">trace to mothers. Family care in India involves the time of women of two</w:t>
      </w:r>
      <w:r>
        <w:t xml:space="preserve"> </w:t>
      </w:r>
      <w:r>
        <w:t xml:space="preserve">generations whose terms depend on who the grandmother is and on how the</w:t>
      </w:r>
      <w:r>
        <w:t xml:space="preserve"> </w:t>
      </w:r>
      <w:r>
        <w:t xml:space="preserve">household is arranged, and the time older women give is associated with</w:t>
      </w:r>
      <w:r>
        <w:t xml:space="preserve"> </w:t>
      </w:r>
      <w:r>
        <w:t xml:space="preserve">less rest and leisure for them.</w:t>
      </w:r>
    </w:p>
    <w:p>
      <w:pPr>
        <w:pStyle w:val="Heading1"/>
      </w:pPr>
      <w:bookmarkStart w:id="43" w:name="_ad61382512a69fb2431cb9ccd9664860b940cd1"/>
      <w:r>
        <w:t xml:space="preserve">Statements and</w:t>
      </w:r>
      <w:r>
        <w:t xml:space="preserve"> </w:t>
      </w:r>
      <w:r>
        <w:t xml:space="preserve">Declarations</w:t>
      </w:r>
      <w:bookmarkEnd w:id="43"/>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Consent for publication.</w:t>
      </w:r>
      <w:r>
        <w:t xml:space="preserve"> </w:t>
      </w:r>
      <w:r>
        <w:t xml:space="preserve">Not applicable.</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p>
      <w:pPr>
        <w:pStyle w:val="Heading1"/>
      </w:pPr>
      <w:bookmarkStart w:id="44" w:name="_references"/>
      <w:r>
        <w:t xml:space="preserve">References</w:t>
      </w:r>
      <w:bookmarkEnd w:id="44"/>
    </w:p>
    <w:p>
      <w:pPr>
        <w:pStyle w:val="FirstParagraph"/>
      </w:pPr>
      <w:bookmarkStart w:id="45" w:name="_refs"/>
      <w:bookmarkEnd w:id="45"/>
    </w:p>
    <w:p>
      <w:pPr>
        <w:pStyle w:val="FirstParagraph"/>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6">
        <w:r>
          <w:rPr>
            <w:rStyle w:val="Hyperlink"/>
          </w:rPr>
          <w:t xml:space="preserve">https://doi.org/10.1093/qje/qjac038</w:t>
        </w:r>
      </w:hyperlink>
    </w:p>
    <w:p>
      <w:pPr>
        <w:pStyle w:val="BodyText"/>
      </w:pPr>
      <w:r>
        <w:t xml:space="preserve">Afridi F, Dinkelman T, Mahajan K (2018) Why are fewer married women</w:t>
      </w:r>
      <w:r>
        <w:t xml:space="preserve"> </w:t>
      </w:r>
      <w:r>
        <w:t xml:space="preserve">joining the work force in rural</w:t>
      </w:r>
      <w:r>
        <w:t xml:space="preserve"> </w:t>
      </w:r>
      <w:r>
        <w:t xml:space="preserve">India</w:t>
      </w:r>
      <w:r>
        <w:t xml:space="preserve">? A decomposition analysis over</w:t>
      </w:r>
      <w:r>
        <w:t xml:space="preserve"> </w:t>
      </w:r>
      <w:r>
        <w:t xml:space="preserve">two decades. Journal of Population Economics 31:783–818.</w:t>
      </w:r>
      <w:r>
        <w:t xml:space="preserve"> </w:t>
      </w:r>
      <w:hyperlink r:id="rId47">
        <w:r>
          <w:rPr>
            <w:rStyle w:val="Hyperlink"/>
          </w:rPr>
          <w:t xml:space="preserve">https://doi.org/10.1007/s00148-017-0671-y</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8">
        <w:r>
          <w:rPr>
            <w:rStyle w:val="Hyperlink"/>
          </w:rPr>
          <w:t xml:space="preserve">https://doi.org/10.1177/0958928707081068</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9">
        <w:r>
          <w:rPr>
            <w:rStyle w:val="Hyperlink"/>
          </w:rPr>
          <w:t xml:space="preserve">https://doi.org/10.1086/516388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50">
        <w:r>
          <w:rPr>
            <w:rStyle w:val="Hyperlink"/>
          </w:rPr>
          <w:t xml:space="preserve">https://doi.org/10.1086/426036</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51">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2">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3">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4">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5">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6">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7">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8">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9">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60">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61">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2">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3">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4">
        <w:r>
          <w:rPr>
            <w:rStyle w:val="Hyperlink"/>
          </w:rPr>
          <w:t xml:space="preserve">https://doi.org/10.1257/aer.20200705</w:t>
        </w:r>
      </w:hyperlink>
    </w:p>
    <w:p>
      <w:pPr>
        <w:pStyle w:val="BodyText"/>
      </w:pPr>
      <w:r>
        <w:t xml:space="preserve">Fletcher EK, Pande R, Troyer Moore C (2019) Women and work in</w:t>
      </w:r>
      <w:r>
        <w:t xml:space="preserve"> </w:t>
      </w:r>
      <w:r>
        <w:t xml:space="preserve">India</w:t>
      </w:r>
      <w:r>
        <w:t xml:space="preserve">:</w:t>
      </w:r>
      <w:r>
        <w:t xml:space="preserve"> </w:t>
      </w:r>
      <w:r>
        <w:t xml:space="preserve">Descriptive evidence and a review of potential policies. India Policy</w:t>
      </w:r>
      <w:r>
        <w:t xml:space="preserve"> </w:t>
      </w:r>
      <w:r>
        <w:t xml:space="preserve">Forum 15:149–198</w:t>
      </w:r>
    </w:p>
    <w:p>
      <w:pPr>
        <w:pStyle w:val="BodyText"/>
      </w:pPr>
      <w:r>
        <w:t xml:space="preserve">Folbre N (2006) Measuring care: Gender, empowerment, and the care</w:t>
      </w:r>
      <w:r>
        <w:t xml:space="preserve"> </w:t>
      </w:r>
      <w:r>
        <w:t xml:space="preserve">economy. Journal of Human Development 7:183–199.</w:t>
      </w:r>
      <w:r>
        <w:t xml:space="preserve"> </w:t>
      </w:r>
      <w:hyperlink r:id="rId65">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6">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7">
        <w:r>
          <w:rPr>
            <w:rStyle w:val="Hyperlink"/>
          </w:rPr>
          <w:t xml:space="preserve">https://doi.org/10.2307/23646463</w:t>
        </w:r>
      </w:hyperlink>
    </w:p>
    <w:p>
      <w:pPr>
        <w:pStyle w:val="BodyText"/>
      </w:pPr>
      <w:r>
        <w:t xml:space="preserve">Frimmel W, Halla M, Schmidpeter B, Winter-Ebmer R (2022) Grandmothers’</w:t>
      </w:r>
      <w:r>
        <w:t xml:space="preserve"> </w:t>
      </w:r>
      <w:r>
        <w:t xml:space="preserve">labor supply. Journal of Human Resources 57:1645–1689.</w:t>
      </w:r>
      <w:r>
        <w:t xml:space="preserve"> </w:t>
      </w:r>
      <w:hyperlink r:id="rId68">
        <w:r>
          <w:rPr>
            <w:rStyle w:val="Hyperlink"/>
          </w:rPr>
          <w:t xml:space="preserve">https://doi.org/10.3368/jhr.58.1.0419-10144R1</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9">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70">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71">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2">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3">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4">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5">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6">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7">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8">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9">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80">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81">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2">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3">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4">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5">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6">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7">
        <w:r>
          <w:rPr>
            <w:rStyle w:val="Hyperlink"/>
          </w:rPr>
          <w:t xml:space="preserve">https://doi.org/10.3368/jhr.50.2.301</w:t>
        </w:r>
      </w:hyperlink>
    </w:p>
    <w:p>
      <w:pPr>
        <w:pStyle w:val="BodyText"/>
      </w:pPr>
      <w:r>
        <w:t xml:space="preserve">United Nations Population Fund, International Institute for Population</w:t>
      </w:r>
      <w:r>
        <w:t xml:space="preserve"> </w:t>
      </w:r>
      <w:r>
        <w:t xml:space="preserve">Sciences (2023) India ageing report 2023: Caring for our elders:</w:t>
      </w:r>
      <w:r>
        <w:t xml:space="preserve"> </w:t>
      </w:r>
      <w:r>
        <w:t xml:space="preserve">Institutional responses. 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200" w:line="480" w:lineRule="auto"/>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cs="Times New Roman" w:eastAsia="Times New Roman"/>
      <w:sz w:val="22"/>
    </w:rPr>
  </w:style>
  <w:style w:type="paragraph" w:styleId="BodyText">
    <w:name w:val="Body Text"/>
    <w:basedOn w:val="Normal"/>
    <w:link w:val="BodyTextChar"/>
    <w:qFormat/>
    <w:pPr>
      <w:spacing w:before="180" w:after="180" w:line="360" w:lineRule="auto"/>
    </w:pPr>
    <w:rPr>
      <w:rFonts w:ascii="Times New Roman" w:hAnsi="Times New Roman" w:cs="Times New Roman" w:eastAsia="Times New Roman"/>
      <w:sz w:val="22"/>
    </w:rPr>
  </w:style>
  <w:style w:type="paragraph" w:customStyle="1" w:styleId="FirstParagraph">
    <w:name w:val="First Paragraph"/>
    <w:basedOn w:val="BodyText"/>
    <w:next w:val="BodyText"/>
    <w:qFormat/>
    <w:pPr>
      <w:spacing w:line="360" w:lineRule="auto"/>
    </w:pPr>
    <w:rPr>
      <w:rFonts w:ascii="Times New Roman" w:hAnsi="Times New Roman" w:cs="Times New Roman" w:eastAsia="Times New Roman"/>
      <w:sz w:val="22"/>
    </w:rPr>
  </w:style>
  <w:style w:type="paragraph" w:customStyle="1" w:styleId="Compact">
    <w:name w:val="Compact"/>
    <w:basedOn w:val="BodyText"/>
    <w:qFormat/>
    <w:pPr>
      <w:spacing w:before="36" w:after="36" w:line="360" w:lineRule="auto"/>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480" w:lineRule="auto"/>
      <w:contextualSpacing/>
      <w:jc w:val="center"/>
    </w:pPr>
    <w:rPr>
      <w:rFonts w:ascii="Times New Roman" w:hAnsi="Times New Roman" w:eastAsia="Times New Roman" w:cs="Times New Roman"/>
      <w:b/>
      <w:i w:val="0"/>
      <w:sz w:val="28"/>
      <w:szCs w:val="24"/>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24"/>
      <w:szCs w:val="24"/>
    </w:rPr>
  </w:style>
  <w:style w:type="paragraph" w:styleId="Subtitle">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line="480" w:lineRule="auto"/>
      <w:sz w:val="22"/>
      <w:szCs w:val="24"/>
    </w:rPr>
  </w:style>
  <w:style w:type="character" w:customStyle="1" w:styleId="SubtitleChar">
    <w:name w:val="Subtitle Char"/>
    <w:basedOn w:val="DefaultParagraphFont"/>
    <w:link w:val="Subtitle"/>
    <w:uiPriority w:val="11"/>
    <w:rsid w:val="00A10FD9"/>
    <w:rPr>
      <w:rFonts w:ascii="Times New Roman" w:hAnsi="Times New Roman" w:eastAsia="Times New Roman" w:cs="Times New Roman"/>
      <w:color w:val="000000"/>
      <w:spacing w:val="15" w:line="480" w:lineRule="auto"/>
      <w:sz w:val="24"/>
      <w:szCs w:val="24"/>
    </w:rPr>
  </w:style>
  <w:style w:type="paragraph" w:customStyle="1" w:styleId="Author">
    <w:name w:val="Author"/>
    <w:basedOn w:val="Title"/>
    <w:next w:val="BodyText"/>
    <w:qFormat/>
    <w:pPr>
      <w:keepNext/>
      <w:keepLines/>
    </w:pPr>
    <w:rPr>
      <w:rFonts w:ascii="Times New Roman" w:hAnsi="Times New Roman" w:cs="Times New Roman" w:eastAsia="Times New Roman"/>
      <w:sz w:val="22"/>
      <w:szCs w:val="24"/>
    </w:rPr>
  </w:style>
  <w:style w:type="paragraph" w:styleId="Date">
    <w:name w:val="Date"/>
    <w:basedOn w:val="Title"/>
    <w:next w:val="BodyText"/>
    <w:qFormat/>
    <w:pPr>
      <w:keepNext/>
      <w:keepLines/>
    </w:pPr>
    <w:rPr>
      <w:rFonts w:ascii="Times New Roman" w:hAnsi="Times New Roman" w:cs="Times New Roman" w:eastAsia="Times New Roman"/>
      <w:sz w:val="22"/>
      <w:szCs w:val="24"/>
    </w:rPr>
  </w:style>
  <w:style w:type="paragraph" w:customStyle="1" w:styleId="AbstractTitle">
    <w:name w:val="Abstract Title"/>
    <w:basedOn w:val="Normal"/>
    <w:next w:val="Abstract"/>
    <w:qFormat/>
    <w:pPr>
      <w:keepNext/>
      <w:keepLines/>
      <w:spacing w:before="300" w:after="0" w:line="480" w:lineRule="auto"/>
      <w:jc w:val="center"/>
    </w:pPr>
    <w:rPr>
      <w:rFonts w:ascii="Times New Roman" w:hAnsi="Times New Roman" w:cs="Times New Roman" w:eastAsia="Times New Roman"/>
      <w:b/>
      <w:i w:val="0"/>
      <w:sz w:val="22"/>
      <w:szCs w:val="24"/>
    </w:rPr>
  </w:style>
  <w:style w:type="paragraph" w:customStyle="1" w:styleId="Abstract">
    <w:name w:val="Abstract"/>
    <w:basedOn w:val="Normal"/>
    <w:next w:val="BodyText"/>
    <w:qFormat/>
    <w:pPr>
      <w:keepNext/>
      <w:keepLines/>
      <w:spacing w:before="100" w:after="300" w:line="360" w:lineRule="auto"/>
    </w:pPr>
    <w:rPr>
      <w:rFonts w:ascii="Times New Roman" w:hAnsi="Times New Roman" w:cs="Times New Roman" w:eastAsia="Times New Roman"/>
      <w:sz w:val="22"/>
      <w:szCs w:val="24"/>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line="480" w:lineRule="auto"/>
      <w:outlineLvl w:val="0"/>
    </w:pPr>
    <w:rPr>
      <w:rFonts w:ascii="Times New Roman" w:hAnsi="Times New Roman" w:eastAsia="Times New Roman" w:cs="Times New Roman"/>
      <w:b/>
      <w:i w:val="0"/>
      <w:sz w:val="24"/>
      <w:szCs w:val="24"/>
    </w:rPr>
  </w:style>
  <w:style w:type="paragraph" w:styleId="Heading2">
    <w:name w:val="heading 2"/>
    <w:basedOn w:val="Normal"/>
    <w:next w:val="BodyText"/>
    <w:link w:val="Heading2Char"/>
    <w:uiPriority w:val="9"/>
    <w:semiHidden/>
    <w:unhideWhenUsed/>
    <w:qFormat/>
    <w:rsid w:val="00A10FD9"/>
    <w:pPr>
      <w:keepNext/>
      <w:keepLines/>
      <w:spacing w:before="160" w:after="80" w:line="480" w:lineRule="auto"/>
      <w:outlineLvl w:val="1"/>
    </w:pPr>
    <w:rPr>
      <w:rFonts w:ascii="Times New Roman" w:hAnsi="Times New Roman" w:eastAsia="Times New Roman" w:cs="Times New Roman"/>
      <w:b/>
      <w:i/>
      <w:sz w:val="22"/>
      <w:szCs w:val="24"/>
    </w:rPr>
  </w:style>
  <w:style w:type="paragraph" w:styleId="Heading3">
    <w:name w:val="heading 3"/>
    <w:basedOn w:val="Normal"/>
    <w:next w:val="BodyText"/>
    <w:link w:val="Heading3Char"/>
    <w:uiPriority w:val="9"/>
    <w:semiHidden/>
    <w:unhideWhenUsed/>
    <w:qFormat/>
    <w:rsid w:val="00A10FD9"/>
    <w:pPr>
      <w:keepNext/>
      <w:keepLines/>
      <w:spacing w:before="160" w:after="80" w:line="480" w:lineRule="auto"/>
      <w:outlineLvl w:val="2"/>
    </w:pPr>
    <w:rPr>
      <w:rFonts w:ascii="Times New Roman" w:hAnsi="Times New Roman" w:eastAsia="Times New Roman" w:cs="Times New Roman"/>
      <w:b/>
      <w:i w:val="0"/>
      <w:sz w:val="22"/>
      <w:szCs w:val="24"/>
    </w:rPr>
  </w:style>
  <w:style w:type="paragraph" w:styleId="Heading4">
    <w:name w:val="heading 4"/>
    <w:basedOn w:val="Normal"/>
    <w:next w:val="BodyText"/>
    <w:link w:val="Heading4Char"/>
    <w:uiPriority w:val="9"/>
    <w:semiHidden/>
    <w:unhideWhenUsed/>
    <w:qFormat/>
    <w:rsid w:val="00A10FD9"/>
    <w:pPr>
      <w:keepNext/>
      <w:keepLines/>
      <w:spacing w:before="80" w:after="40" w:line="480" w:lineRule="auto"/>
      <w:outlineLvl w:val="3"/>
    </w:pPr>
    <w:rPr>
      <w:rFonts w:ascii="Times New Roman" w:hAnsi="Times New Roman" w:eastAsia="Times New Roman" w:cs="Times New Roman"/>
      <w:b/>
      <w:i w:val="0"/>
      <w:iCs/>
      <w:sz w:val="22"/>
    </w:rPr>
  </w:style>
  <w:style w:type="paragraph" w:styleId="Heading5">
    <w:name w:val="heading 5"/>
    <w:basedOn w:val="Normal"/>
    <w:next w:val="BodyText"/>
    <w:link w:val="Heading5Char"/>
    <w:uiPriority w:val="9"/>
    <w:semiHidden/>
    <w:unhideWhenUsed/>
    <w:qFormat/>
    <w:rsid w:val="00A10FD9"/>
    <w:pPr>
      <w:keepNext/>
      <w:keepLines/>
      <w:spacing w:before="80" w:after="40" w:line="480" w:lineRule="auto"/>
      <w:outlineLvl w:val="4"/>
    </w:pPr>
    <w:rPr>
      <w:rFonts w:ascii="Times New Roman" w:hAnsi="Times New Roman" w:eastAsia="Times New Roman" w:cs="Times New Roman"/>
      <w:b/>
      <w:i w:val="0"/>
      <w:sz w:val="22"/>
    </w:rPr>
  </w:style>
  <w:style w:type="paragraph" w:styleId="Heading6">
    <w:name w:val="heading 6"/>
    <w:basedOn w:val="Normal"/>
    <w:next w:val="BodyText"/>
    <w:link w:val="Heading6Char"/>
    <w:uiPriority w:val="9"/>
    <w:semiHidden/>
    <w:unhideWhenUsed/>
    <w:qFormat/>
    <w:rsid w:val="00A10FD9"/>
    <w:pPr>
      <w:keepNext/>
      <w:keepLines/>
      <w:spacing w:before="40" w:after="0" w:line="480" w:lineRule="auto"/>
      <w:outlineLvl w:val="5"/>
    </w:pPr>
    <w:rPr>
      <w:rFonts w:ascii="Times New Roman" w:hAnsi="Times New Roman" w:eastAsia="Times New Roman" w:cs="Times New Roman"/>
      <w:b/>
      <w:i w:val="0"/>
      <w:iCs/>
      <w:sz w:val="22"/>
    </w:rPr>
  </w:style>
  <w:style w:type="paragraph" w:styleId="Heading7">
    <w:name w:val="heading 7"/>
    <w:basedOn w:val="Normal"/>
    <w:next w:val="BodyText"/>
    <w:link w:val="Heading7Char"/>
    <w:uiPriority w:val="9"/>
    <w:semiHidden/>
    <w:unhideWhenUsed/>
    <w:qFormat/>
    <w:rsid w:val="00A10FD9"/>
    <w:pPr>
      <w:keepNext/>
      <w:keepLines/>
      <w:spacing w:before="40" w:after="0" w:line="480" w:lineRule="auto"/>
      <w:outlineLvl w:val="6"/>
    </w:pPr>
    <w:rPr>
      <w:rFonts w:ascii="Times New Roman" w:hAnsi="Times New Roman" w:eastAsia="Times New Roman" w:cs="Times New Roman"/>
      <w:b/>
      <w:i w:val="0"/>
      <w:sz w:val="22"/>
    </w:rPr>
  </w:style>
  <w:style w:type="paragraph" w:styleId="Heading8">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hAnsi="Times New Roman" w:eastAsia="Times New Roman" w:cs="Times New Roman"/>
      <w:b/>
      <w:i w:val="0"/>
      <w:iCs/>
      <w:sz w:val="22"/>
    </w:rPr>
  </w:style>
  <w:style w:type="paragraph" w:styleId="Heading9">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hAnsi="Times New Roman" w:eastAsia="Times New Roman" w:cs="Times New Roman"/>
      <w:b/>
      <w:i w:val="0"/>
      <w:sz w:val="22"/>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00000"/>
      <w:sz w:val="24"/>
      <w:szCs w:val="24"/>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00000"/>
      <w:sz w:val="24"/>
      <w:szCs w:val="24"/>
    </w:rPr>
  </w:style>
  <w:style w:type="character" w:customStyle="1" w:styleId="Heading3Char">
    <w:name w:val="Heading 3 Char"/>
    <w:basedOn w:val="DefaultParagraphFont"/>
    <w:link w:val="Heading3"/>
    <w:uiPriority w:val="9"/>
    <w:semiHidden/>
    <w:rsid w:val="00A10FD9"/>
    <w:rPr>
      <w:rFonts w:ascii="Times New Roman" w:hAnsi="Times New Roman" w:eastAsia="Times New Roman" w:cs="Times New Roman"/>
      <w:color w:val="000000"/>
      <w:sz w:val="24"/>
      <w:szCs w:val="24"/>
    </w:rPr>
  </w:style>
  <w:style w:type="character" w:customStyle="1" w:styleId="Heading4Char">
    <w:name w:val="Heading 4 Char"/>
    <w:basedOn w:val="DefaultParagraphFont"/>
    <w:link w:val="Heading4"/>
    <w:uiPriority w:val="9"/>
    <w:semiHidden/>
    <w:rsid w:val="00A10FD9"/>
    <w:rPr>
      <w:rFonts w:ascii="Times New Roman" w:hAnsi="Times New Roman" w:eastAsia="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hAnsi="Times New Roman" w:eastAsia="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hAnsi="Times New Roman" w:eastAsia="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hAnsi="Times New Roman" w:eastAsia="Times New Roman" w:cs="Times New Roman"/>
      <w:color w:val="000000"/>
    </w:rPr>
  </w:style>
  <w:style w:type="paragraph" w:styleId="BlockText">
    <w:name w:val="Block Text"/>
    <w:basedOn w:val="BodyText"/>
    <w:next w:val="BodyText"/>
    <w:uiPriority w:val="9"/>
    <w:unhideWhenUsed/>
    <w:qFormat/>
    <w:pPr>
      <w:spacing w:before="100" w:after="100" w:line="360" w:lineRule="auto"/>
      <w:ind w:firstLine="0" w:left="480" w:right="480"/>
    </w:pPr>
    <w:rPr>
      <w:rFonts w:ascii="Times New Roman" w:hAnsi="Times New Roman" w:cs="Times New Roman" w:eastAsia="Times New Roman"/>
      <w:sz w:val="22"/>
    </w:rPr>
  </w:style>
  <w:style w:type="paragraph" w:styleId="FootnoteText">
    <w:name w:val="Footnote Text"/>
    <w:basedOn w:val="Normal"/>
    <w:next w:val="FootnoteText"/>
    <w:uiPriority w:val="9"/>
    <w:unhideWhenUsed/>
    <w:qFormat/>
    <w:rPr>
      <w:rFonts w:ascii="Times New Roman" w:hAnsi="Times New Roman" w:cs="Times New Roman" w:eastAsia="Times New Roman"/>
      <w:sz w:val="22"/>
    </w:rPr>
  </w:style>
  <w:style w:type="paragraph" w:styleId="FootnoteBlockText">
    <w:name w:val="Footnote Block Text"/>
    <w:basedOn w:val="FootnoteText"/>
    <w:next w:val="FootnoteText"/>
    <w:uiPriority w:val="9"/>
    <w:unhideWhenUsed/>
    <w:qFormat/>
    <w:pPr>
      <w:spacing w:before="100" w:after="100" w:line="480" w:lineRule="auto"/>
      <w:ind w:firstLine="0" w:left="480" w:right="480"/>
    </w:pPr>
    <w:rPr>
      <w:rFonts w:ascii="Times New Roman" w:hAnsi="Times New Roman" w:cs="Times New Roman" w:eastAsia="Times New Roman"/>
      <w:sz w:val="22"/>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line="480" w:lineRule="auto"/>
    </w:pPr>
    <w:rPr>
      <w:rFonts w:ascii="Times New Roman" w:hAnsi="Times New Roman" w:cs="Times New Roman" w:eastAsia="Times New Roman"/>
      <w:b/>
      <w:sz w:val="22"/>
    </w:rPr>
  </w:style>
  <w:style w:type="paragraph" w:customStyle="1" w:styleId="Definition">
    <w:name w:val="Definition"/>
    <w:basedOn w:val="Normal"/>
    <w:rPr>
      <w:rFonts w:ascii="Times New Roman" w:hAnsi="Times New Roman" w:cs="Times New Roman" w:eastAsia="Times New Roman"/>
      <w:sz w:val="22"/>
    </w:rPr>
  </w:style>
  <w:style w:type="paragraph" w:styleId="Caption">
    <w:name w:val="Caption"/>
    <w:basedOn w:val="Normal"/>
    <w:link w:val="BodyTextChar"/>
    <w:pPr>
      <w:spacing w:before="0" w:after="120" w:line="480" w:lineRule="auto"/>
    </w:pPr>
    <w:rPr>
      <w:rFonts w:ascii="Times New Roman" w:hAnsi="Times New Roman" w:cs="Times New Roman" w:eastAsia="Times New Roman"/>
      <w:i/>
      <w:sz w:val="22"/>
    </w:rPr>
  </w:style>
  <w:style w:type="paragraph" w:customStyle="1" w:styleId="TableCaption">
    <w:name w:val="Table Caption"/>
    <w:basedOn w:val="Caption"/>
    <w:pPr>
      <w:keepNext/>
    </w:pPr>
    <w:rPr>
      <w:rFonts w:ascii="Times New Roman" w:hAnsi="Times New Roman" w:cs="Times New Roman" w:eastAsia="Times New Roman"/>
      <w:sz w:val="22"/>
    </w:rPr>
  </w:style>
  <w:style w:type="paragraph" w:customStyle="1" w:styleId="ImageCaption">
    <w:name w:val="Image Caption"/>
    <w:basedOn w:val="Caption"/>
    <w:rPr>
      <w:rFonts w:ascii="Times New Roman" w:hAnsi="Times New Roman" w:cs="Times New Roman" w:eastAsia="Times New Roman"/>
      <w:sz w:val="22"/>
    </w:rPr>
  </w:style>
  <w:style w:type="paragraph" w:customStyle="1" w:styleId="Figure">
    <w:name w:val="Figure"/>
    <w:basedOn w:val="Normal"/>
    <w:rPr>
      <w:rFonts w:ascii="Times New Roman" w:hAnsi="Times New Roman" w:cs="Times New Roman" w:eastAsia="Times New Roman"/>
      <w:sz w:val="22"/>
    </w:rPr>
  </w:style>
  <w:style w:type="paragraph" w:customStyle="1" w:styleId="CaptionedFigure">
    <w:name w:val="Captioned Figure"/>
    <w:basedOn w:val="Figure"/>
    <w:pPr>
      <w:keepNext/>
    </w:pPr>
    <w:rPr>
      <w:rFonts w:ascii="Times New Roman" w:hAnsi="Times New Roman" w:cs="Times New Roman" w:eastAsia="Times New Roman"/>
      <w:sz w:val="22"/>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eastAsia="Times New Roman" w:cs="Times New Roman"/>
      <w:sz w:val="24"/>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480" w:lineRule="auto"/>
      <w:outlineLvl w:val="9"/>
    </w:pPr>
    <w:rPr>
      <w:rFonts w:ascii="Times New Roman" w:hAnsi="Times New Roman" w:eastAsia="Times New Roman" w:cs="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2026-10-31T05:16:49Z</dcterms:created>
  <dcterms:modified xsi:type="dcterms:W3CDTF">2026-10-31T05:16:49Z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Using diaries for every household member in India’s Time Use Survey 2024, I compare 49,992 married mothers of children under six, 36% of whom live with a grandmother, and study 26,062 women and 19,382 men aged 45 to 80 in the generation above young married women. Older women living with a child under six report 79.5 minutes more childcare a day and less domestic work, free time and sleep. Mothers’ primary childcare differs little in the pooled estimate but is lower, with intervals excluding zero, in six of ten alternative specifications and higher in one; their secondary childcare is 9.6 minutes lower. Their employment rate is 1.4 percentage points lower overall but 2.2 points higher within the mother’s household generation. These are conditional associations, and grandmother care is associated with a large time cost for older women.</vt:lpwstr>
  </property>
  <property fmtid="{D5CDD505-2E9C-101B-9397-08002B2CF9AE}" pid="3" name="date">
    <vt:lpwstr/>
  </property>
</Properties>
</file>