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the Minutes Come From? Marriage and the Reallocation of</w:t>
      </w:r>
      <w:r>
        <w:t xml:space="preserve"> </w:t>
      </w:r>
      <w:r>
        <w:t xml:space="preserve">Women’s and Men’s Days in India</w:t>
      </w:r>
    </w:p>
    <w:p>
      <w:pPr>
        <w:pStyle w:val="Author"/>
      </w:pPr>
      <w:r>
        <w:t xml:space="preserve">Manuscript anonymised for review</w:t>
      </w:r>
    </w:p>
    <w:p>
      <w:pPr>
        <w:pStyle w:val="Date"/>
      </w:pPr>
      <w:r>
        <w:t xml:space="preserve">October 2026</w:t>
      </w:r>
    </w:p>
    <w:p>
      <w:pPr>
        <w:pStyle w:val="AbstractTitle"/>
      </w:pPr>
      <w:r>
        <w:t xml:space="preserve">Abstract</w:t>
      </w:r>
    </w:p>
    <w:p>
      <w:pPr>
        <w:pStyle w:val="Abstract"/>
      </w:pPr>
      <w:r>
        <w:rPr>
          <w:b/>
          <w:bCs/>
        </w:rPr>
        <w:t xml:space="preserve">Objective:</w:t>
      </w:r>
      <w:r>
        <w:t xml:space="preserve"> </w:t>
      </w:r>
      <w:r>
        <w:t xml:space="preserve">This study asks where, within the fixed day, the additional unpaid work that marriage brings to Indian women comes from, and how this differs by co-residence with parents-in-law and spouses’ relative resources and ages.</w:t>
      </w:r>
    </w:p>
    <w:p>
      <w:pPr>
        <w:pStyle w:val="Abstract"/>
      </w:pPr>
      <w:r>
        <w:rPr>
          <w:b/>
          <w:bCs/>
        </w:rPr>
        <w:t xml:space="preserve">Background:</w:t>
      </w:r>
      <w:r>
        <w:t xml:space="preserve"> </w:t>
      </w:r>
      <w:r>
        <w:t xml:space="preserve">Studies of marriage and time use usually examine one outcome at a time, yet a day has 1,440 minutes, so gains and losses across activities must sum to zero.</w:t>
      </w:r>
    </w:p>
    <w:p>
      <w:pPr>
        <w:pStyle w:val="Abstract"/>
      </w:pPr>
      <w:r>
        <w:rPr>
          <w:b/>
          <w:bCs/>
        </w:rPr>
        <w:t xml:space="preserve">Method:</w:t>
      </w:r>
      <w:r>
        <w:t xml:space="preserve"> </w:t>
      </w:r>
      <w:r>
        <w:t xml:space="preserve">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w:t>
      </w:r>
    </w:p>
    <w:p>
      <w:pPr>
        <w:pStyle w:val="Abstract"/>
      </w:pPr>
      <w:r>
        <w:rPr>
          <w:b/>
          <w:bCs/>
        </w:rPr>
        <w:t xml:space="preserve">Results:</w:t>
      </w:r>
      <w:r>
        <w:t xml:space="preserve"> </w:t>
      </w:r>
      <w:r>
        <w:t xml:space="preserve">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w:t>
      </w:r>
    </w:p>
    <w:p>
      <w:pPr>
        <w:pStyle w:val="Abstract"/>
      </w:pPr>
      <w:r>
        <w:rPr>
          <w:b/>
          <w:bCs/>
        </w:rPr>
        <w:t xml:space="preserve">Conclusion:</w:t>
      </w:r>
      <w:r>
        <w:t xml:space="preserve"> </w:t>
      </w:r>
      <w:r>
        <w:t xml:space="preserve">Marriage reorganises Indian women’s days far more than men’s, and a full time-budget accounting shows which activities absorb the change.</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reorganises time. In diary studies from high-income countries,</w:t>
      </w:r>
      <w:r>
        <w:t xml:space="preserve"> </w:t>
      </w:r>
      <w:r>
        <w:t xml:space="preserve">married women do more housework than women in other living arrangements,</w:t>
      </w:r>
      <w:r>
        <w:t xml:space="preserve"> </w:t>
      </w:r>
      <w:r>
        <w:t xml:space="preserve">and the gender gap in housework is largest among the married</w:t>
      </w:r>
      <w:r>
        <w:t xml:space="preserve"> </w:t>
      </w:r>
      <w:r>
        <w:t xml:space="preserve">(;</w:t>
      </w:r>
      <w:r>
        <w:t xml:space="preserve"> </w:t>
      </w:r>
      <w:r>
        <w:t xml:space="preserve">). Men’s</w:t>
      </w:r>
      <w:r>
        <w:t xml:space="preserve"> </w:t>
      </w:r>
      <w:r>
        <w:t xml:space="preserve">housework, in contrast, falls or stays flat when they enter a union</w:t>
      </w:r>
      <w:r>
        <w:t xml:space="preserve"> </w:t>
      </w:r>
      <w:r>
        <w:t xml:space="preserve">(;</w:t>
      </w:r>
      <w:r>
        <w:t xml:space="preserve"> </w:t>
      </w:r>
      <w:r>
        <w:t xml:space="preserve">). Explanations range</w:t>
      </w:r>
      <w:r>
        <w:t xml:space="preserve"> </w:t>
      </w:r>
      <w:r>
        <w:t xml:space="preserve">from specialisation within the household</w:t>
      </w:r>
      <w:r>
        <w:t xml:space="preserve"> </w:t>
      </w:r>
      <w:r>
        <w:t xml:space="preserve">(,</w:t>
      </w:r>
      <w:r>
        <w:t xml:space="preserve"> </w:t>
      </w:r>
      <w:r>
        <w:t xml:space="preserve">) and bargaining over the</w:t>
      </w:r>
      <w:r>
        <w:t xml:space="preserve"> </w:t>
      </w:r>
      <w:r>
        <w:t xml:space="preserve">division of labour (; )</w:t>
      </w:r>
      <w:r>
        <w:t xml:space="preserve"> </w:t>
      </w:r>
      <w:r>
        <w:t xml:space="preserve">to the performance of gender in everyday interaction</w:t>
      </w:r>
      <w:r>
        <w:t xml:space="preserve"> </w:t>
      </w:r>
      <w:r>
        <w:t xml:space="preserve">(;</w:t>
      </w:r>
      <w:r>
        <w:t xml:space="preserve"> </w:t>
      </w:r>
      <w:r>
        <w:t xml:space="preserve">;</w:t>
      </w:r>
      <w:r>
        <w:t xml:space="preserve"> </w:t>
      </w:r>
      <w:r>
        <w:t xml:space="preserve">).</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w:t>
      </w:r>
      <w:r>
        <w:t xml:space="preserve"> </w:t>
      </w:r>
      <w:r>
        <w:t xml:space="preserve">):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w:t>
      </w:r>
      <w:r>
        <w:t xml:space="preserve"> </w:t>
      </w:r>
      <w:r>
        <w:t xml:space="preserve">;</w:t>
      </w:r>
      <w:r>
        <w:t xml:space="preserve"> </w:t>
      </w:r>
      <w:r>
        <w:t xml:space="preserve">). For most</w:t>
      </w:r>
      <w:r>
        <w:t xml:space="preserve"> </w:t>
      </w:r>
      <w:r>
        <w:t xml:space="preserve">Indian women, marriage is the transition that sets the terms of adult</w:t>
      </w:r>
      <w:r>
        <w:t xml:space="preserve"> </w:t>
      </w:r>
      <w:r>
        <w:t xml:space="preserve">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w:t>
      </w:r>
      <w:r>
        <w:t xml:space="preserve"> </w:t>
      </w:r>
      <w:r>
        <w:t xml:space="preserve">),</w:t>
      </w:r>
      <w:r>
        <w:t xml:space="preserve"> </w:t>
      </w:r>
      <w:r>
        <w:t xml:space="preserve">sleep (;</w:t>
      </w:r>
      <w:r>
        <w:t xml:space="preserve"> </w:t>
      </w:r>
      <w:r>
        <w:t xml:space="preserve">), free time</w:t>
      </w:r>
      <w:r>
        <w:t xml:space="preserve"> </w:t>
      </w:r>
      <w:r>
        <w:t xml:space="preserve">(), exercise</w:t>
      </w:r>
      <w:r>
        <w:t xml:space="preserve"> </w:t>
      </w:r>
      <w:r>
        <w:t xml:space="preserve">() and</w:t>
      </w:r>
      <w:r>
        <w:t xml:space="preserve"> </w:t>
      </w:r>
      <w:r>
        <w:t xml:space="preserve">social ties ().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This paper estimates them</w:t>
      </w:r>
      <w:r>
        <w:t xml:space="preserve"> </w:t>
      </w:r>
      <w:r>
        <w:t xml:space="preserve">together. I decompose the married–never-married difference into all</w:t>
      </w:r>
      <w:r>
        <w:t xml:space="preserve"> </w:t>
      </w:r>
      <w:r>
        <w:t xml:space="preserve">nine divisions of the International Classification of Activities for</w:t>
      </w:r>
      <w:r>
        <w:t xml:space="preserve"> </w:t>
      </w:r>
      <w:r>
        <w:t xml:space="preserve">Time-Use Statistics 2016 (ICATUS 2016,</w:t>
      </w:r>
      <w:r>
        <w:t xml:space="preserve"> </w:t>
      </w:r>
      <w:r>
        <w:t xml:space="preserve">).</w:t>
      </w:r>
      <w:r>
        <w:t xml:space="preserve"> </w:t>
      </w:r>
      <w:r>
        <w:t xml:space="preserve">The divisions partition the day, so the components sum to zero by</w:t>
      </w:r>
      <w:r>
        <w:t xml:space="preserve"> </w:t>
      </w:r>
      <w:r>
        <w:t xml:space="preserve">construction, and sub-rows for sleep, socialising, exercise and</w:t>
      </w:r>
      <w:r>
        <w:t xml:space="preserve"> </w:t>
      </w:r>
      <w:r>
        <w:t xml:space="preserve">religious practice show where these commonly studied outcomes sit within</w:t>
      </w:r>
      <w:r>
        <w:t xml:space="preserve"> </w:t>
      </w:r>
      <w:r>
        <w:t xml:space="preserve">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w:t>
      </w:r>
      <w:r>
        <w:t xml:space="preserve"> </w:t>
      </w:r>
      <w:r>
        <w:t xml:space="preserve">compute bias-adjusted coefficients and breakdown values in the spirit of</w:t>
      </w:r>
      <w:r>
        <w:t xml:space="preserve"> </w:t>
      </w:r>
      <w:r>
        <w:t xml:space="preserve">Oster (); and trace how the</w:t>
      </w:r>
      <w:r>
        <w:t xml:space="preserve"> </w:t>
      </w:r>
      <w:r>
        <w:t xml:space="preserve">gap changes with age as the never-married become more selected. Second,</w:t>
      </w:r>
      <w:r>
        <w:t xml:space="preserve"> </w:t>
      </w:r>
      <w:r>
        <w:t xml:space="preserve">it uses household structure to examine patrilocality directly. Comparing</w:t>
      </w:r>
      <w:r>
        <w:t xml:space="preserve"> </w:t>
      </w:r>
      <w:r>
        <w:t xml:space="preserve">daughters-in-law of the head with wives who head their own household (or</w:t>
      </w:r>
      <w:r>
        <w:t xml:space="preserve"> </w:t>
      </w:r>
      <w:r>
        <w:t xml:space="preserve">whose husband does) separates two accounts of the joint family: one in</w:t>
      </w:r>
      <w:r>
        <w:t xml:space="preserve"> </w:t>
      </w:r>
      <w:r>
        <w:t xml:space="preserve">which the mother-in-law shares domestic work, and one in which the</w:t>
      </w:r>
      <w:r>
        <w:t xml:space="preserve"> </w:t>
      </w:r>
      <w:r>
        <w:t xml:space="preserve">junior wife carries the heaviest load</w:t>
      </w:r>
      <w:r>
        <w:t xml:space="preserve"> </w:t>
      </w:r>
      <w:r>
        <w:t xml:space="preserve">().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(SE 2.5) more unpaid</w:t>
      </w:r>
      <w:r>
        <w:t xml:space="preserve"> </w:t>
      </w:r>
      <w:r>
        <w:t xml:space="preserve">domestic and care work per day than never-married women of the same age,</w:t>
      </w:r>
      <w:r>
        <w:t xml:space="preserve"> </w:t>
      </w:r>
      <w:r>
        <w:t xml:space="preserve">education, caste, religion and state. The corresponding difference for</w:t>
      </w:r>
      <w:r>
        <w:t xml:space="preserve"> </w:t>
      </w:r>
      <w:r>
        <w:t xml:space="preserve">men is 26.2 minutes (SE 0.9) more, and the gendered difference in a</w:t>
      </w:r>
      <w:r>
        <w:t xml:space="preserve"> </w:t>
      </w:r>
      <w:r>
        <w:t xml:space="preserve">pooled model is 261.9 minutes (SE 2.6). For women, the largest</w:t>
      </w:r>
      <w:r>
        <w:t xml:space="preserve"> </w:t>
      </w:r>
      <w:r>
        <w:t xml:space="preserve">offsetting reductions are in learning (119 minutes) and employment</w:t>
      </w:r>
      <w:r>
        <w:t xml:space="preserve"> </w:t>
      </w:r>
      <w:r>
        <w:t xml:space="preserve">(incl. travel) (85 minutes). Married women slept 9 minutes less than</w:t>
      </w:r>
      <w:r>
        <w:t xml:space="preserve"> </w:t>
      </w:r>
      <w:r>
        <w:t xml:space="preserve">never-married women. Among linked spouses, wives’ unpaid work exceeds</w:t>
      </w:r>
      <w:r>
        <w:t xml:space="preserve"> </w:t>
      </w:r>
      <w:r>
        <w:t xml:space="preserve">husbands’ by 366.9 minutes (SE 1.1) a day, and husbands’ paid work</w:t>
      </w:r>
      <w:r>
        <w:t xml:space="preserve"> </w:t>
      </w:r>
      <w:r>
        <w:t xml:space="preserve">exceeds wives’ by 336.4 minutes (SE 1.5).</w:t>
      </w:r>
    </w:p>
    <w:bookmarkEnd w:id="9"/>
    <w:bookmarkStart w:id="14" w:name="background"/>
    <w:p>
      <w:pPr>
        <w:pStyle w:val="Heading1"/>
      </w:pPr>
      <w:r>
        <w:t xml:space="preserve">Background</w:t>
      </w:r>
    </w:p>
    <w:bookmarkStart w:id="10" w:name="X0dac2ea29f4428eb6a040cbd1dfcf94d3973794"/>
    <w:p>
      <w:pPr>
        <w:pStyle w:val="Heading2"/>
      </w:pPr>
      <w:r>
        <w:t xml:space="preserve">Marriage and the division of household</w:t>
      </w:r>
      <w:r>
        <w:t xml:space="preserve"> </w:t>
      </w:r>
      <w:r>
        <w:t xml:space="preserve">labour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 and that women’s housework responds more than men’s to union and</w:t>
      </w:r>
      <w:r>
        <w:t xml:space="preserve"> </w:t>
      </w:r>
      <w:r>
        <w:t xml:space="preserve">parenthood transitions (; ).</w:t>
      </w:r>
      <w:r>
        <w:t xml:space="preserve"> </w:t>
      </w:r>
      <w:r>
        <w:t xml:space="preserve">Trend studies document a narrowing of husbands’ and wives’ housework</w:t>
      </w:r>
      <w:r>
        <w:t xml:space="preserve"> </w:t>
      </w:r>
      <w:r>
        <w:t xml:space="preserve">since the 1960s, but no convergence to equality</w:t>
      </w:r>
      <w:r>
        <w:t xml:space="preserve"> </w:t>
      </w:r>
      <w:r>
        <w:t xml:space="preserve">(;</w:t>
      </w:r>
      <w:r>
        <w:t xml:space="preserve"> </w:t>
      </w:r>
      <w:r>
        <w:t xml:space="preserve">;</w:t>
      </w:r>
      <w:r>
        <w:t xml:space="preserve"> </w:t>
      </w:r>
      <w:r>
        <w:t xml:space="preserve">). Cross-national studies</w:t>
      </w:r>
      <w:r>
        <w:t xml:space="preserve"> </w:t>
      </w:r>
      <w:r>
        <w:t xml:space="preserve">show that the gap is larger where macro-level gender inequality is</w:t>
      </w:r>
      <w:r>
        <w:t xml:space="preserve"> </w:t>
      </w:r>
      <w:r>
        <w:t xml:space="preserve">greater and where policies support a male-breadwinner arrangement</w:t>
      </w:r>
      <w:r>
        <w:t xml:space="preserve"> </w:t>
      </w:r>
      <w:r>
        <w:t xml:space="preserve">(;</w:t>
      </w:r>
      <w:r>
        <w:t xml:space="preserve"> </w:t>
      </w:r>
      <w:r>
        <w:t xml:space="preserve">,</w:t>
      </w:r>
      <w:r>
        <w:t xml:space="preserve"> </w:t>
      </w:r>
      <w:r>
        <w:t xml:space="preserve">). Reviews of this literature agree</w:t>
      </w:r>
      <w:r>
        <w:t xml:space="preserve"> </w:t>
      </w:r>
      <w:r>
        <w:t xml:space="preserve">on the main correlates (relative resources, time availability and gender</w:t>
      </w:r>
      <w:r>
        <w:t xml:space="preserve"> </w:t>
      </w:r>
      <w:r>
        <w:t xml:space="preserve">ideology) but not on their relative weight</w:t>
      </w:r>
      <w:r>
        <w:t xml:space="preserve"> </w:t>
      </w:r>
      <w:r>
        <w:t xml:space="preserve">(;</w:t>
      </w:r>
      <w:r>
        <w:t xml:space="preserve"> </w:t>
      </w:r>
      <w:r>
        <w:t xml:space="preserve">;</w:t>
      </w:r>
      <w:r>
        <w:t xml:space="preserve"> </w:t>
      </w:r>
      <w:r>
        <w:t xml:space="preserve">;</w:t>
      </w:r>
      <w:r>
        <w:t xml:space="preserve"> </w:t>
      </w:r>
      <w:r>
        <w:t xml:space="preserve">).</w:t>
      </w:r>
    </w:p>
    <w:p>
      <w:pPr>
        <w:pStyle w:val="BodyText"/>
      </w:pPr>
      <w:r>
        <w:t xml:space="preserve">Two families of theory organise this work. The first is economic. In</w:t>
      </w:r>
      <w:r>
        <w:t xml:space="preserve"> </w:t>
      </w:r>
      <w:r>
        <w:t xml:space="preserve">Becker’s model of the household, spouses specialise according to</w:t>
      </w:r>
      <w:r>
        <w:t xml:space="preserve"> </w:t>
      </w:r>
      <w:r>
        <w:t xml:space="preserve">comparative advantage, and small initial differences in market</w:t>
      </w:r>
      <w:r>
        <w:t xml:space="preserve"> </w:t>
      </w:r>
      <w:r>
        <w:t xml:space="preserve">productivity, reinforced by investment in sex-specific human capital,</w:t>
      </w:r>
      <w:r>
        <w:t xml:space="preserve"> </w:t>
      </w:r>
      <w:r>
        <w:t xml:space="preserve">lead to complete specialisation (, ). Home production</w:t>
      </w:r>
      <w:r>
        <w:t xml:space="preserve"> </w:t>
      </w:r>
      <w:r>
        <w:t xml:space="preserve">competes with both market work and leisure</w:t>
      </w:r>
      <w:r>
        <w:t xml:space="preserve"> </w:t>
      </w:r>
      <w:r>
        <w:t xml:space="preserve">(;</w:t>
      </w:r>
      <w:r>
        <w:t xml:space="preserve"> </w:t>
      </w:r>
      <w:r>
        <w:t xml:space="preserve">). Bargaining models</w:t>
      </w:r>
      <w:r>
        <w:t xml:space="preserve"> </w:t>
      </w:r>
      <w:r>
        <w:t xml:space="preserve">replace the unitary household with spouses whose outcomes depend on</w:t>
      </w:r>
      <w:r>
        <w:t xml:space="preserve"> </w:t>
      </w:r>
      <w:r>
        <w:t xml:space="preserve">their threat points: divorce in Manser &amp; Brown</w:t>
      </w:r>
      <w:r>
        <w:t xml:space="preserve"> </w:t>
      </w:r>
      <w:r>
        <w:t xml:space="preserve">() and McElroy &amp; Horney</w:t>
      </w:r>
      <w:r>
        <w:t xml:space="preserve"> </w:t>
      </w:r>
      <w:r>
        <w:t xml:space="preserve">(), a non-cooperative marriage</w:t>
      </w:r>
      <w:r>
        <w:t xml:space="preserve"> </w:t>
      </w:r>
      <w:r>
        <w:t xml:space="preserve">governed by traditional roles in the</w:t>
      </w:r>
      <w:r>
        <w:t xml:space="preserve"> </w:t>
      </w:r>
      <w:r>
        <w:t xml:space="preserve">“separate spheres”</w:t>
      </w:r>
      <w:r>
        <w:t xml:space="preserve"> </w:t>
      </w:r>
      <w:r>
        <w:t xml:space="preserve">model of</w:t>
      </w:r>
      <w:r>
        <w:t xml:space="preserve"> </w:t>
      </w:r>
      <w:r>
        <w:t xml:space="preserve">Lundberg &amp; Pollak (), and a</w:t>
      </w:r>
      <w:r>
        <w:t xml:space="preserve"> </w:t>
      </w:r>
      <w:r>
        <w:t xml:space="preserve">general collective rule in Chiappori</w:t>
      </w:r>
      <w:r>
        <w:t xml:space="preserve"> </w:t>
      </w:r>
      <w:r>
        <w:t xml:space="preserve">(; see also</w:t>
      </w:r>
      <w:r>
        <w:t xml:space="preserve"> </w:t>
      </w:r>
      <w:r>
        <w:t xml:space="preserve">). In</w:t>
      </w:r>
      <w:r>
        <w:t xml:space="preserve"> </w:t>
      </w:r>
      <w:r>
        <w:t xml:space="preserve">bargaining models, a spouse’s earnings, education and outside options</w:t>
      </w:r>
      <w:r>
        <w:t xml:space="preserve"> </w:t>
      </w:r>
      <w:r>
        <w:t xml:space="preserve">buy relief from housework. Sociologists reach a similar prediction</w:t>
      </w:r>
      <w:r>
        <w:t xml:space="preserve"> </w:t>
      </w:r>
      <w:r>
        <w:t xml:space="preserve">through relative-resources theory</w:t>
      </w:r>
      <w:r>
        <w:t xml:space="preserve"> </w:t>
      </w:r>
      <w:r>
        <w:t xml:space="preserve">(). Feminist</w:t>
      </w:r>
      <w:r>
        <w:t xml:space="preserve"> </w:t>
      </w:r>
      <w:r>
        <w:t xml:space="preserve">economists have broadened the bargaining framework to include social</w:t>
      </w:r>
      <w:r>
        <w:t xml:space="preserve"> </w:t>
      </w:r>
      <w:r>
        <w:t xml:space="preserve">norms and the extra-household institutions that determine what women can</w:t>
      </w:r>
      <w:r>
        <w:t xml:space="preserve"> </w:t>
      </w:r>
      <w:r>
        <w:t xml:space="preserve">claim (;</w:t>
      </w:r>
      <w:r>
        <w:t xml:space="preserve"> </w:t>
      </w:r>
      <w:r>
        <w:t xml:space="preserve">).</w:t>
      </w:r>
    </w:p>
    <w:p>
      <w:pPr>
        <w:pStyle w:val="BodyText"/>
      </w:pPr>
      <w:r>
        <w:t xml:space="preserve">The second family treats housework as a way of performing gender. In the</w:t>
      </w:r>
      <w:r>
        <w:t xml:space="preserve"> </w:t>
      </w:r>
      <w:r>
        <w:t xml:space="preserve">“doing gender”</w:t>
      </w:r>
      <w:r>
        <w:t xml:space="preserve"> </w:t>
      </w:r>
      <w:r>
        <w:t xml:space="preserve">perspective, men and women accomplish their gender in</w:t>
      </w:r>
      <w:r>
        <w:t xml:space="preserve"> </w:t>
      </w:r>
      <w:r>
        <w:t xml:space="preserve">everyday interaction, and the division of housework is a central arena</w:t>
      </w:r>
      <w:r>
        <w:t xml:space="preserve"> </w:t>
      </w:r>
      <w:r>
        <w:t xml:space="preserve">for doing so ().</w:t>
      </w:r>
      <w:r>
        <w:t xml:space="preserve"> </w:t>
      </w:r>
      <w:r>
        <w:t xml:space="preserve">Brines () found that economically</w:t>
      </w:r>
      <w:r>
        <w:t xml:space="preserve"> </w:t>
      </w:r>
      <w:r>
        <w:t xml:space="preserve">dependent husbands did less housework, not more, as resource theory</w:t>
      </w:r>
      <w:r>
        <w:t xml:space="preserve"> </w:t>
      </w:r>
      <w:r>
        <w:t xml:space="preserve">would predict. Later work called this pattern gender display or deviance</w:t>
      </w:r>
      <w:r>
        <w:t xml:space="preserve"> </w:t>
      </w:r>
      <w:r>
        <w:t xml:space="preserve">neutralisation (; ).</w:t>
      </w:r>
      <w:r>
        <w:t xml:space="preserve"> </w:t>
      </w:r>
      <w:r>
        <w:t xml:space="preserve">Bittman et al. () found that</w:t>
      </w:r>
      <w:r>
        <w:t xml:space="preserve"> </w:t>
      </w:r>
      <w:r>
        <w:t xml:space="preserve">wives’ housework falls as their share of earnings rises toward equality,</w:t>
      </w:r>
      <w:r>
        <w:t xml:space="preserve"> </w:t>
      </w:r>
      <w:r>
        <w:t xml:space="preserve">but that in some settings the relationship reverses once wives out-earn</w:t>
      </w:r>
      <w:r>
        <w:t xml:space="preserve"> </w:t>
      </w:r>
      <w:r>
        <w:t xml:space="preserve">their husbands. Akerlof &amp; Kranton</w:t>
      </w:r>
      <w:r>
        <w:t xml:space="preserve"> </w:t>
      </w:r>
      <w:r>
        <w:t xml:space="preserve">() formalised the idea in</w:t>
      </w:r>
      <w:r>
        <w:t xml:space="preserve"> </w:t>
      </w:r>
      <w:r>
        <w:t xml:space="preserve">economics: people lose utility when they act against the prescriptions</w:t>
      </w:r>
      <w:r>
        <w:t xml:space="preserve"> </w:t>
      </w:r>
      <w:r>
        <w:t xml:space="preserve">of their gender category. Bertrand et al.</w:t>
      </w:r>
      <w:r>
        <w:t xml:space="preserve"> </w:t>
      </w:r>
      <w:r>
        <w:t xml:space="preserve">() find that American wives who</w:t>
      </w:r>
      <w:r>
        <w:t xml:space="preserve"> </w:t>
      </w:r>
      <w:r>
        <w:t xml:space="preserve">out-earn their husbands do more home production than their earnings</w:t>
      </w:r>
      <w:r>
        <w:t xml:space="preserve"> </w:t>
      </w:r>
      <w:r>
        <w:t xml:space="preserve">would predict. The evidence is contested. Gupta</w:t>
      </w:r>
      <w:r>
        <w:t xml:space="preserve"> </w:t>
      </w:r>
      <w:r>
        <w:t xml:space="preserve">() argues that women’s absolute</w:t>
      </w:r>
      <w:r>
        <w:t xml:space="preserve"> </w:t>
      </w:r>
      <w:r>
        <w:t xml:space="preserve">earnings, not their earnings relative to their husbands’, predict their</w:t>
      </w:r>
      <w:r>
        <w:t xml:space="preserve"> </w:t>
      </w:r>
      <w:r>
        <w:t xml:space="preserve">housework. Killewald &amp; Gough ()</w:t>
      </w:r>
      <w:r>
        <w:t xml:space="preserve"> </w:t>
      </w:r>
      <w:r>
        <w:t xml:space="preserve">show that the relationship with wives’ earnings is strongly non-linear,</w:t>
      </w:r>
      <w:r>
        <w:t xml:space="preserve"> </w:t>
      </w:r>
      <w:r>
        <w:t xml:space="preserve">and Schneider () finds evidence</w:t>
      </w:r>
      <w:r>
        <w:t xml:space="preserve"> </w:t>
      </w:r>
      <w:r>
        <w:t xml:space="preserve">of gender performance for both husbands and wives. Structural accounts</w:t>
      </w:r>
      <w:r>
        <w:t xml:space="preserve"> </w:t>
      </w:r>
      <w:r>
        <w:t xml:space="preserve">locate gender at several levels at once, in individual identities, in</w:t>
      </w:r>
      <w:r>
        <w:t xml:space="preserve"> </w:t>
      </w:r>
      <w:r>
        <w:t xml:space="preserve">interaction and in institutions</w:t>
      </w:r>
      <w:r>
        <w:t xml:space="preserve"> </w:t>
      </w:r>
      <w:r>
        <w:t xml:space="preserve">(;</w:t>
      </w:r>
      <w:r>
        <w:t xml:space="preserve"> </w:t>
      </w:r>
      <w:r>
        <w:t xml:space="preserve">), which is one reason</w:t>
      </w:r>
      <w:r>
        <w:t xml:space="preserve"> </w:t>
      </w:r>
      <w:r>
        <w:t xml:space="preserve">couple-level resource effects may be weak where institutional</w:t>
      </w:r>
      <w:r>
        <w:t xml:space="preserve"> </w:t>
      </w:r>
      <w:r>
        <w:t xml:space="preserve">constraints are strong.</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w:t>
      </w:r>
      <w:r>
        <w:t xml:space="preserve"> </w:t>
      </w:r>
      <w:r>
        <w:t xml:space="preserve">;</w:t>
      </w:r>
      <w:r>
        <w:t xml:space="preserve"> </w:t>
      </w:r>
      <w:r>
        <w:t xml:space="preserve">). Aguiar &amp;</w:t>
      </w:r>
      <w:r>
        <w:t xml:space="preserve"> </w:t>
      </w:r>
      <w:r>
        <w:t xml:space="preserve">Hurst () and Gimenez-Nadal &amp;</w:t>
      </w:r>
      <w:r>
        <w:t xml:space="preserve"> </w:t>
      </w:r>
      <w:r>
        <w:t xml:space="preserve">Sevilla () use complete time</w:t>
      </w:r>
      <w:r>
        <w:t xml:space="preserve"> </w:t>
      </w:r>
      <w:r>
        <w:t xml:space="preserve">budgets to trace substitution between market work, home production and</w:t>
      </w:r>
      <w:r>
        <w:t xml:space="preserve"> </w:t>
      </w:r>
      <w:r>
        <w:t xml:space="preserve">leisure. Burda et al. () show that in</w:t>
      </w:r>
      <w:r>
        <w:t xml:space="preserve"> </w:t>
      </w:r>
      <w:r>
        <w:t xml:space="preserve">rich countries men and women do roughly the same total amount of paid</w:t>
      </w:r>
      <w:r>
        <w:t xml:space="preserve"> </w:t>
      </w:r>
      <w:r>
        <w:t xml:space="preserve">and unpaid work, while in poorer countries women do more. Marriage could</w:t>
      </w:r>
      <w:r>
        <w:t xml:space="preserve"> </w:t>
      </w:r>
      <w:r>
        <w:t xml:space="preserve">therefore raise women’s total work, or it could shift work from the</w:t>
      </w:r>
      <w:r>
        <w:t xml:space="preserve"> </w:t>
      </w:r>
      <w:r>
        <w:t xml:space="preserve">market to the home with little change in total work. Only a full</w:t>
      </w:r>
      <w:r>
        <w:t xml:space="preserve"> </w:t>
      </w:r>
      <w:r>
        <w:t xml:space="preserve">accounting distinguishes the two.</w:t>
      </w:r>
    </w:p>
    <w:p>
      <w:pPr>
        <w:pStyle w:val="BodyText"/>
      </w:pPr>
      <w:r>
        <w:t xml:space="preserve">Free time differs in quality as well as quantity. Women’s leisure is</w:t>
      </w:r>
      <w:r>
        <w:t xml:space="preserve"> </w:t>
      </w:r>
      <w:r>
        <w:t xml:space="preserve">more often fragmented or combined with care</w:t>
      </w:r>
      <w:r>
        <w:t xml:space="preserve"> </w:t>
      </w:r>
      <w:r>
        <w:t xml:space="preserve">(;</w:t>
      </w:r>
      <w:r>
        <w:t xml:space="preserve"> </w:t>
      </w:r>
      <w:r>
        <w:t xml:space="preserve">). Marriage</w:t>
      </w:r>
      <w:r>
        <w:t xml:space="preserve"> </w:t>
      </w:r>
      <w:r>
        <w:t xml:space="preserve">may also reshape social life. Coser</w:t>
      </w:r>
      <w:r>
        <w:t xml:space="preserve"> </w:t>
      </w:r>
      <w:r>
        <w:t xml:space="preserve">() described institutions that claim</w:t>
      </w:r>
      <w:r>
        <w:t xml:space="preserve"> </w:t>
      </w:r>
      <w:r>
        <w:t xml:space="preserve">undivided commitment as</w:t>
      </w:r>
      <w:r>
        <w:t xml:space="preserve"> </w:t>
      </w:r>
      <w:r>
        <w:t xml:space="preserve">“greedy”</w:t>
      </w:r>
      <w:r>
        <w:t xml:space="preserve">, and Sarkisian &amp; Gerstel</w:t>
      </w:r>
      <w:r>
        <w:t xml:space="preserve"> </w:t>
      </w:r>
      <w:r>
        <w:t xml:space="preserve">() find that married</w:t>
      </w:r>
      <w:r>
        <w:t xml:space="preserve"> </w:t>
      </w:r>
      <w:r>
        <w:t xml:space="preserve">Americans have fewer ties to kin, friends and neighbours than the</w:t>
      </w:r>
      <w:r>
        <w:t xml:space="preserve"> </w:t>
      </w:r>
      <w:r>
        <w:t xml:space="preserve">never-married. In this view, social time, not paid work, is what</w:t>
      </w:r>
      <w:r>
        <w:t xml:space="preserve"> </w:t>
      </w:r>
      <w:r>
        <w:t xml:space="preserve">marriage takes away.</w:t>
      </w:r>
    </w:p>
    <w:bookmarkEnd w:id="11"/>
    <w:bookmarkStart w:id="12" w:name="sleep-health-behaviour-and-marriage"/>
    <w:p>
      <w:pPr>
        <w:pStyle w:val="Heading2"/>
      </w:pPr>
      <w:r>
        <w:t xml:space="preserve">Sleep, health behaviour and</w:t>
      </w:r>
      <w:r>
        <w:t xml:space="preserve"> </w:t>
      </w:r>
      <w:r>
        <w:t xml:space="preserve">marriage</w:t>
      </w:r>
    </w:p>
    <w:p>
      <w:pPr>
        <w:pStyle w:val="FirstParagraph"/>
      </w:pPr>
      <w:r>
        <w:t xml:space="preserve">Sleep is the largest single use of time, and it is not fixed. Biddle &amp;</w:t>
      </w:r>
      <w:r>
        <w:t xml:space="preserve"> </w:t>
      </w:r>
      <w:r>
        <w:t xml:space="preserve">Hamermesh ()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 Gender matters</w:t>
      </w:r>
      <w:r>
        <w:t xml:space="preserve"> </w:t>
      </w:r>
      <w:r>
        <w:t xml:space="preserve">for sleep as well. Women’s sleep is more often interrupted by caregiving</w:t>
      </w:r>
      <w:r>
        <w:t xml:space="preserve"> </w:t>
      </w:r>
      <w:r>
        <w:t xml:space="preserve">(), and</w:t>
      </w:r>
      <w:r>
        <w:t xml:space="preserve"> </w:t>
      </w:r>
      <w:r>
        <w:t xml:space="preserve">qualitative studies describe a</w:t>
      </w:r>
      <w:r>
        <w:t xml:space="preserve"> </w:t>
      </w:r>
      <w:r>
        <w:t xml:space="preserve">“fourth shift”</w:t>
      </w:r>
      <w:r>
        <w:t xml:space="preserve"> </w:t>
      </w:r>
      <w:r>
        <w:t xml:space="preserve">of night-time care that</w:t>
      </w:r>
      <w:r>
        <w:t xml:space="preserve"> </w:t>
      </w:r>
      <w:r>
        <w:t xml:space="preserve">mothers rather than fathers carry (; ).</w:t>
      </w:r>
      <w:r>
        <w:t xml:space="preserve"> </w:t>
      </w:r>
      <w:r>
        <w:t xml:space="preserve">Self-reported sleep problems follow both gender and socio-economic</w:t>
      </w:r>
      <w:r>
        <w:t xml:space="preserve"> </w:t>
      </w:r>
      <w:r>
        <w:t xml:space="preserve">position (). If</w:t>
      </w:r>
      <w:r>
        <w:t xml:space="preserve"> </w:t>
      </w:r>
      <w:r>
        <w:t xml:space="preserve">marriage adds morning and evening domestic tasks (cooking before others</w:t>
      </w:r>
      <w:r>
        <w:t xml:space="preserve"> </w:t>
      </w:r>
      <w:r>
        <w:t xml:space="preserve">wake, cleaning up after others eat), sleep is a plausible margin of</w:t>
      </w:r>
      <w:r>
        <w:t xml:space="preserve"> </w:t>
      </w:r>
      <w:r>
        <w:t xml:space="preserve">adjustment.</w:t>
      </w:r>
    </w:p>
    <w:p>
      <w:pPr>
        <w:pStyle w:val="BodyText"/>
      </w:pPr>
      <w:r>
        <w:t xml:space="preserve">Marriage is also associated with health behaviour. Spouses monitor and</w:t>
      </w:r>
      <w:r>
        <w:t xml:space="preserve"> </w:t>
      </w:r>
      <w:r>
        <w:t xml:space="preserve">regulate each other’s health behaviour</w:t>
      </w:r>
      <w:r>
        <w:t xml:space="preserve"> </w:t>
      </w:r>
      <w:r>
        <w:t xml:space="preserve">(,</w:t>
      </w:r>
      <w:r>
        <w:t xml:space="preserve"> </w:t>
      </w:r>
      <w:r>
        <w:t xml:space="preserve">), and the married have better</w:t>
      </w:r>
      <w:r>
        <w:t xml:space="preserve"> </w:t>
      </w:r>
      <w:r>
        <w:t xml:space="preserve">health and longer lives in many settings</w:t>
      </w:r>
      <w:r>
        <w:t xml:space="preserve"> </w:t>
      </w:r>
      <w:r>
        <w:t xml:space="preserve">(;</w:t>
      </w:r>
      <w:r>
        <w:t xml:space="preserve"> </w:t>
      </w:r>
      <w:r>
        <w:t xml:space="preserve">). How much of this is a</w:t>
      </w:r>
      <w:r>
        <w:t xml:space="preserve"> </w:t>
      </w:r>
      <w:r>
        <w:t xml:space="preserve">causal effect of marriage and how much is selection of the healthy into</w:t>
      </w:r>
      <w:r>
        <w:t xml:space="preserve"> </w:t>
      </w:r>
      <w:r>
        <w:t xml:space="preserve">marriage is a long-standing problem</w:t>
      </w:r>
      <w:r>
        <w:t xml:space="preserve"> </w:t>
      </w:r>
      <w:r>
        <w:t xml:space="preserve">(). Time-diary evidence</w:t>
      </w:r>
      <w:r>
        <w:t xml:space="preserve"> </w:t>
      </w:r>
      <w:r>
        <w:t xml:space="preserve">on exercise shows that marriage, parenthood and employment relate</w:t>
      </w:r>
      <w:r>
        <w:t xml:space="preserve"> </w:t>
      </w:r>
      <w:r>
        <w:t xml:space="preserve">differently to men’s and women’s exercise time</w:t>
      </w:r>
      <w:r>
        <w:t xml:space="preserve"> </w:t>
      </w:r>
      <w:r>
        <w:t xml:space="preserve">(). In a</w:t>
      </w:r>
      <w:r>
        <w:t xml:space="preserve"> </w:t>
      </w:r>
      <w:r>
        <w:t xml:space="preserve">time-budget framework, sleep, exercise and personal care are components</w:t>
      </w:r>
      <w:r>
        <w:t xml:space="preserve"> </w:t>
      </w:r>
      <w:r>
        <w:t xml:space="preserve">of division 9 (self-care) and division 8 (leisure and sport),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w:t>
      </w:r>
      <w:r>
        <w:t xml:space="preserve"> </w:t>
      </w:r>
      <w:r>
        <w:t xml:space="preserve">). In a joint</w:t>
      </w:r>
      <w:r>
        <w:t xml:space="preserve"> </w:t>
      </w:r>
      <w:r>
        <w:t xml:space="preserve">household, the new wife is junior to her mother-in-law. Kandiyoti</w:t>
      </w:r>
      <w:r>
        <w:t xml:space="preserve"> </w:t>
      </w:r>
      <w:r>
        <w:t xml:space="preserve">()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w:t>
      </w:r>
      <w:r>
        <w:t xml:space="preserve"> </w:t>
      </w:r>
      <w:r>
        <w:t xml:space="preserve">), and</w:t>
      </w:r>
      <w:r>
        <w:t xml:space="preserve"> </w:t>
      </w:r>
      <w:r>
        <w:t xml:space="preserve">that mothers-in-law restrict daughters-in-law’s mobility and social</w:t>
      </w:r>
      <w:r>
        <w:t xml:space="preserve"> </w:t>
      </w:r>
      <w:r>
        <w:t xml:space="preserve">contacts outside the household</w:t>
      </w:r>
      <w:r>
        <w:t xml:space="preserve"> </w:t>
      </w:r>
      <w:r>
        <w:t xml:space="preserve">(). Regional</w:t>
      </w:r>
      <w:r>
        <w:t xml:space="preserve"> </w:t>
      </w:r>
      <w:r>
        <w:t xml:space="preserve">differences in women’s autonomy are large and are not explained by</w:t>
      </w:r>
      <w:r>
        <w:t xml:space="preserve"> </w:t>
      </w:r>
      <w:r>
        <w:t xml:space="preserve">religion alone (). Joint residence could reduce a young wife’s domestic load if</w:t>
      </w:r>
      <w:r>
        <w:t xml:space="preserve"> </w:t>
      </w:r>
      <w:r>
        <w:t xml:space="preserve">senior women share the cooking and cleaning, or increase it if the</w:t>
      </w:r>
      <w:r>
        <w:t xml:space="preserve"> </w:t>
      </w:r>
      <w:r>
        <w:t xml:space="preserve">junior wife does the heaviest work. Its effect is an empirical question</w:t>
      </w:r>
      <w:r>
        <w:t xml:space="preserve"> </w:t>
      </w:r>
      <w:r>
        <w:t xml:space="preserve">that the household roster can address.</w:t>
      </w:r>
    </w:p>
    <w:p>
      <w:pPr>
        <w:pStyle w:val="BodyText"/>
      </w:pPr>
      <w:r>
        <w:t xml:space="preserve">The second is the timing and form of marriage. Most marriages are</w:t>
      </w:r>
      <w:r>
        <w:t xml:space="preserve"> </w:t>
      </w:r>
      <w:r>
        <w:t xml:space="preserve">arranged by families, though women’s role in choosing their husbands has</w:t>
      </w:r>
      <w:r>
        <w:t xml:space="preserve"> </w:t>
      </w:r>
      <w:r>
        <w:t xml:space="preserve">grown ().</w:t>
      </w:r>
      <w:r>
        <w:t xml:space="preserve"> </w:t>
      </w:r>
      <w:r>
        <w:t xml:space="preserve">Age at marriage reflects the gender scripts of the community</w:t>
      </w:r>
      <w:r>
        <w:t xml:space="preserve"> </w:t>
      </w:r>
      <w:r>
        <w:t xml:space="preserve">(). Labour-market</w:t>
      </w:r>
      <w:r>
        <w:t xml:space="preserve"> </w:t>
      </w:r>
      <w:r>
        <w:t xml:space="preserve">opportunity can delay marriage (), and in Bangladesh later marriage raises girls’ schooling</w:t>
      </w:r>
      <w:r>
        <w:t xml:space="preserve"> </w:t>
      </w:r>
      <w:r>
        <w:t xml:space="preserve">(). Because marriage</w:t>
      </w:r>
      <w:r>
        <w:t xml:space="preserve"> </w:t>
      </w:r>
      <w:r>
        <w:t xml:space="preserve">timing reflects education, family resources and work prospects, the</w:t>
      </w:r>
      <w:r>
        <w:t xml:space="preserve"> </w:t>
      </w:r>
      <w:r>
        <w:t xml:space="preserve">women who remain unmarried in their late twenties and thirties are a</w:t>
      </w:r>
      <w:r>
        <w:t xml:space="preserve"> </w:t>
      </w:r>
      <w:r>
        <w:t xml:space="preserve">selected group. This is the main threat to any comparison of married and</w:t>
      </w:r>
      <w:r>
        <w:t xml:space="preserve"> </w:t>
      </w:r>
      <w:r>
        <w:t xml:space="preserve">never-married women.</w:t>
      </w:r>
    </w:p>
    <w:p>
      <w:pPr>
        <w:pStyle w:val="BodyText"/>
      </w:pPr>
      <w:r>
        <w:t xml:space="preserve">The third is women’s employment. Women’s labour force participation in</w:t>
      </w:r>
      <w:r>
        <w:t xml:space="preserve"> </w:t>
      </w:r>
      <w:r>
        <w:t xml:space="preserve">India is low by international standards and fell for much of the 2000s</w:t>
      </w:r>
      <w:r>
        <w:t xml:space="preserve"> </w:t>
      </w:r>
      <w:r>
        <w:t xml:space="preserve">and 2010s, with a particularly marked decline among married women in</w:t>
      </w:r>
      <w:r>
        <w:t xml:space="preserve"> </w:t>
      </w:r>
      <w:r>
        <w:t xml:space="preserve">rural areas (;</w:t>
      </w:r>
      <w:r>
        <w:t xml:space="preserve"> </w:t>
      </w:r>
      <w:r>
        <w:t xml:space="preserve">;</w:t>
      </w:r>
      <w:r>
        <w:t xml:space="preserve"> </w:t>
      </w:r>
      <w:r>
        <w:t xml:space="preserve">). Proposed</w:t>
      </w:r>
      <w:r>
        <w:t xml:space="preserve"> </w:t>
      </w:r>
      <w:r>
        <w:t xml:space="preserve">explanations include rising household incomes, the structure of labour</w:t>
      </w:r>
      <w:r>
        <w:t xml:space="preserve"> </w:t>
      </w:r>
      <w:r>
        <w:t xml:space="preserve">demand, the status costs of women’s market work, and social norms about</w:t>
      </w:r>
      <w:r>
        <w:t xml:space="preserve"> </w:t>
      </w:r>
      <w:r>
        <w:t xml:space="preserve">women’s mobility and work outside the home</w:t>
      </w:r>
      <w:r>
        <w:t xml:space="preserve"> </w:t>
      </w:r>
      <w:r>
        <w:t xml:space="preserve">(;</w:t>
      </w:r>
      <w:r>
        <w:t xml:space="preserve"> </w:t>
      </w:r>
      <w:r>
        <w:t xml:space="preserve">;</w:t>
      </w:r>
      <w:r>
        <w:t xml:space="preserve"> </w:t>
      </w:r>
      <w:r>
        <w:t xml:space="preserve">;</w:t>
      </w:r>
      <w:r>
        <w:t xml:space="preserve"> </w:t>
      </w:r>
      <w:r>
        <w:t xml:space="preserve">). Time-use</w:t>
      </w:r>
      <w:r>
        <w:t xml:space="preserve"> </w:t>
      </w:r>
      <w:r>
        <w:t xml:space="preserve">data show that Indian women carry most of the unpaid work and much of</w:t>
      </w:r>
      <w:r>
        <w:t xml:space="preserve"> </w:t>
      </w:r>
      <w:r>
        <w:t xml:space="preserve">the unrecorded production for own use</w:t>
      </w:r>
      <w:r>
        <w:t xml:space="preserve"> </w:t>
      </w:r>
      <w:r>
        <w:t xml:space="preserve">(). Family</w:t>
      </w:r>
      <w:r>
        <w:t xml:space="preserve"> </w:t>
      </w:r>
      <w:r>
        <w:t xml:space="preserve">structure also shapes women’s employment</w:t>
      </w:r>
      <w:r>
        <w:t xml:space="preserve"> </w:t>
      </w:r>
      <w:r>
        <w:t xml:space="preserve">(). If</w:t>
      </w:r>
      <w:r>
        <w:t xml:space="preserve"> </w:t>
      </w:r>
      <w:r>
        <w:t xml:space="preserve">marriage moves women out of paid work and into domestic work, the time</w:t>
      </w:r>
      <w:r>
        <w:t xml:space="preserve"> </w:t>
      </w:r>
      <w:r>
        <w:t xml:space="preserve">budget will show it directly. If instead marriage adds domestic work on</w:t>
      </w:r>
      <w:r>
        <w:t xml:space="preserve"> </w:t>
      </w:r>
      <w:r>
        <w:t xml:space="preserve">top of existing activities, leisure, social time or sleep must absorb</w:t>
      </w:r>
      <w:r>
        <w:t xml:space="preserve"> </w:t>
      </w:r>
      <w:r>
        <w:t xml:space="preserve">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Specialisation,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Specialisation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 ),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 ),</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w:t>
      </w:r>
      <w:r>
        <w:t xml:space="preserve"> </w:t>
      </w:r>
      <w:r>
        <w:t xml:space="preserve">Doing-gender accounts predict weaker, or non-monotonic, associations</w:t>
      </w:r>
      <w:r>
        <w:t xml:space="preserve"> </w:t>
      </w:r>
      <w:r>
        <w:t xml:space="preserve">with the wife’s relative position</w:t>
      </w:r>
      <w:r>
        <w:t xml:space="preserve"> </w:t>
      </w:r>
      <w:r>
        <w:t xml:space="preserve">(;</w:t>
      </w:r>
      <w:r>
        <w:t xml:space="preserve"> </w:t>
      </w:r>
      <w:r>
        <w:t xml:space="preserve">).</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The Time Use Survey 2024, conducted by India’s National Statistics</w:t>
      </w:r>
      <w:r>
        <w:t xml:space="preserve"> </w:t>
      </w:r>
      <w:r>
        <w:t xml:space="preserve">Office from January to December 2024, records the activities of every</w:t>
      </w:r>
      <w:r>
        <w:t xml:space="preserve"> </w:t>
      </w:r>
      <w:r>
        <w:t xml:space="preserve">household member aged six and above over the 24 hours from 4:00 a.m. on</w:t>
      </w:r>
      <w:r>
        <w:t xml:space="preserve"> </w:t>
      </w:r>
      <w:r>
        <w:t xml:space="preserve">the day before the interview (). Activities are coded to the three-digit level</w:t>
      </w:r>
      <w:r>
        <w:t xml:space="preserve"> </w:t>
      </w:r>
      <w:r>
        <w:t xml:space="preserve">of ICATUS 2016 (). Where activities overlap, the survey flags one as the</w:t>
      </w:r>
      <w:r>
        <w:t xml:space="preserve"> </w:t>
      </w:r>
      <w:r>
        <w:t xml:space="preserve">major activity. I use every activity record (10,211,478 records from</w:t>
      </w:r>
      <w:r>
        <w:t xml:space="preserve"> </w:t>
      </w:r>
      <w:r>
        <w:t xml:space="preserve">450,457 diaries in 139,487 households) and aggregate major activities to</w:t>
      </w:r>
      <w:r>
        <w:t xml:space="preserve"> </w:t>
      </w:r>
      <w:r>
        <w:t xml:space="preserve">the person-day, so all but 5 of the 450,457 diaries partition exactly</w:t>
      </w:r>
      <w:r>
        <w:t xml:space="preserve"> </w:t>
      </w:r>
      <w:r>
        <w:t xml:space="preserve">1,440 minutes. The roster lists 454,192 persons aged six and above;</w:t>
      </w:r>
      <w:r>
        <w:t xml:space="preserve"> </w:t>
      </w:r>
      <w:r>
        <w:t xml:space="preserve">3,735 of them have no diary records in the file, which leaves the</w:t>
      </w:r>
      <w:r>
        <w:t xml:space="preserve"> </w:t>
      </w:r>
      <w:r>
        <w:t xml:space="preserve">450,457 diaries, and the 49 diaries of third-gender respondents are</w:t>
      </w:r>
      <w:r>
        <w:t xml:space="preserve"> </w:t>
      </w:r>
      <w:r>
        <w:t xml:space="preserve">excluded from the comparisons of women and men. Some diaries are</w:t>
      </w:r>
      <w:r>
        <w:t xml:space="preserve"> </w:t>
      </w:r>
      <w:r>
        <w:t xml:space="preserve">reported by another household member; I control for proxy reporting and</w:t>
      </w:r>
      <w:r>
        <w:t xml:space="preserve"> </w:t>
      </w:r>
      <w:r>
        <w:t xml:space="preserve">drop proxy diaries in a robustness check. All estimates use the survey</w:t>
      </w:r>
      <w:r>
        <w:t xml:space="preserve"> </w:t>
      </w:r>
      <w:r>
        <w:t xml:space="preserve">multipliers, and standard errors are clustered on the first-stage unit,</w:t>
      </w:r>
      <w:r>
        <w:t xml:space="preserve"> </w:t>
      </w:r>
      <w:r>
        <w:t xml:space="preserve">the primary sampling unit (; ).</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socialising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socialising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 since</w:t>
      </w:r>
      <w:r>
        <w:t xml:space="preserve"> </w:t>
      </w:r>
      <w:r>
        <w:t xml:space="preserve">at marriage a woman usually moves into a different and often larger</w:t>
      </w:r>
      <w:r>
        <w:t xml:space="preserve"> </w:t>
      </w:r>
      <w:r>
        <w:t xml:space="preserve">household, and controlling for them would remove part of the association</w:t>
      </w:r>
      <w:r>
        <w:t xml:space="preserve"> </w:t>
      </w:r>
      <w:r>
        <w:t xml:space="preserve">I want to measure. They enter an extended specification as a robustness</w:t>
      </w:r>
      <w:r>
        <w:t xml:space="preserve"> </w:t>
      </w:r>
      <w:r>
        <w:t xml:space="preserve">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 The weights are</w:t>
      </w:r>
      <w:r>
        <w:t xml:space="preserve"> </w:t>
      </w:r>
      <w:r>
        <w:t xml:space="preserve">the odds of being married from a logit on single-year age, state,</w:t>
      </w:r>
      <w:r>
        <w:t xml:space="preserve"> </w:t>
      </w:r>
      <w:r>
        <w:t xml:space="preserve">education, urban residence, caste and religion</w:t>
      </w:r>
      <w:r>
        <w:t xml:space="preserve"> </w:t>
      </w:r>
      <w:r>
        <w:t xml:space="preserve">(;</w:t>
      </w:r>
      <w:r>
        <w:t xml:space="preserve"> </w:t>
      </w:r>
      <w:r>
        <w:t xml:space="preserve">),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w:t>
      </w:r>
      <w:r>
        <w:t xml:space="preserve"> </w:t>
      </w:r>
      <w:r>
        <w:t xml:space="preserve">).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labour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47"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W w:type="auto" w:w="0"/>
        <w:tblLook w:firstRow="1" w:lastRow="0" w:firstColumn="0" w:lastColumn="0" w:noHBand="0" w:noVBand="0" w:val="0020"/>
        <w:tblCaption w:val="Weighted means by sex and marital status, ages 20–39"/>
      </w:tblPr>
      <w:tblGrid>
        <w:gridCol w:w="1584"/>
        <w:gridCol w:w="1584"/>
        <w:gridCol w:w="1584"/>
        <w:gridCol w:w="1584"/>
        <w:gridCol w:w="1584"/>
      </w:tblGrid>
      <w:tr>
        <w:trPr>
          <w:tblHeader w:val="on"/>
        </w:trPr>
        <w:tc>
          <w:tcPr/>
          <w:p>
            <w:pPr>
              <w:pStyle w:val="Compact"/>
            </w:pPr>
          </w:p>
        </w:tc>
        <w:tc>
          <w:tcPr/>
          <w:p>
            <w:pPr>
              <w:pStyle w:val="Compact"/>
              <w:jc w:val="right"/>
            </w:pPr>
            <w:r>
              <w:t xml:space="preserve">Women, never married</w:t>
            </w:r>
          </w:p>
        </w:tc>
        <w:tc>
          <w:tcPr/>
          <w:p>
            <w:pPr>
              <w:pStyle w:val="Compact"/>
              <w:jc w:val="right"/>
            </w:pPr>
            <w:r>
              <w:t xml:space="preserve">Women, married</w:t>
            </w:r>
          </w:p>
        </w:tc>
        <w:tc>
          <w:tcPr/>
          <w:p>
            <w:pPr>
              <w:pStyle w:val="Compact"/>
              <w:jc w:val="right"/>
            </w:pPr>
            <w:r>
              <w:t xml:space="preserve">Men, never married</w:t>
            </w:r>
          </w:p>
        </w:tc>
        <w:tc>
          <w:tcPr/>
          <w:p>
            <w:pPr>
              <w:pStyle w:val="Compact"/>
              <w:jc w:val="right"/>
            </w:pPr>
            <w:r>
              <w:t xml:space="preserve">Men, married</w:t>
            </w:r>
          </w:p>
        </w:tc>
      </w:tr>
      <w:tr>
        <w:tc>
          <w:tcPr/>
          <w:p>
            <w:pPr>
              <w:pStyle w:val="Compact"/>
              <w:jc w:val="left"/>
            </w:pPr>
            <w:r>
              <w:t xml:space="preserve">Employment (incl. travel), min</w:t>
            </w:r>
          </w:p>
        </w:tc>
        <w:tc>
          <w:tcPr/>
          <w:p>
            <w:pPr>
              <w:pStyle w:val="Compact"/>
              <w:jc w:val="right"/>
            </w:pPr>
            <w:r>
              <w:t xml:space="preserve">120</w:t>
            </w:r>
          </w:p>
        </w:tc>
        <w:tc>
          <w:tcPr/>
          <w:p>
            <w:pPr>
              <w:pStyle w:val="Compact"/>
              <w:jc w:val="right"/>
            </w:pPr>
            <w:r>
              <w:t xml:space="preserve">70</w:t>
            </w:r>
          </w:p>
        </w:tc>
        <w:tc>
          <w:tcPr/>
          <w:p>
            <w:pPr>
              <w:pStyle w:val="Compact"/>
              <w:jc w:val="right"/>
            </w:pPr>
            <w:r>
              <w:t xml:space="preserve">323</w:t>
            </w:r>
          </w:p>
        </w:tc>
        <w:tc>
          <w:tcPr/>
          <w:p>
            <w:pPr>
              <w:pStyle w:val="Compact"/>
              <w:jc w:val="right"/>
            </w:pPr>
            <w:r>
              <w:t xml:space="preserve">452</w:t>
            </w:r>
          </w:p>
        </w:tc>
      </w:tr>
      <w:tr>
        <w:tc>
          <w:tcPr/>
          <w:p>
            <w:pPr>
              <w:pStyle w:val="Compact"/>
              <w:jc w:val="left"/>
            </w:pPr>
            <w:r>
              <w:t xml:space="preserve">Own-use production of goods, min</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19</w:t>
            </w:r>
          </w:p>
        </w:tc>
      </w:tr>
      <w:tr>
        <w:tc>
          <w:tcPr/>
          <w:p>
            <w:pPr>
              <w:pStyle w:val="Compact"/>
              <w:jc w:val="left"/>
            </w:pPr>
            <w:r>
              <w:t xml:space="preserve">Unpaid domestic services, min</w:t>
            </w:r>
          </w:p>
        </w:tc>
        <w:tc>
          <w:tcPr/>
          <w:p>
            <w:pPr>
              <w:pStyle w:val="Compact"/>
              <w:jc w:val="right"/>
            </w:pPr>
            <w:r>
              <w:t xml:space="preserve">164</w:t>
            </w:r>
          </w:p>
        </w:tc>
        <w:tc>
          <w:tcPr/>
          <w:p>
            <w:pPr>
              <w:pStyle w:val="Compact"/>
              <w:jc w:val="right"/>
            </w:pPr>
            <w:r>
              <w:t xml:space="preserve">356</w:t>
            </w:r>
          </w:p>
        </w:tc>
        <w:tc>
          <w:tcPr/>
          <w:p>
            <w:pPr>
              <w:pStyle w:val="Compact"/>
              <w:jc w:val="right"/>
            </w:pPr>
            <w:r>
              <w:t xml:space="preserve">29</w:t>
            </w:r>
          </w:p>
        </w:tc>
        <w:tc>
          <w:tcPr/>
          <w:p>
            <w:pPr>
              <w:pStyle w:val="Compact"/>
              <w:jc w:val="right"/>
            </w:pPr>
            <w:r>
              <w:t xml:space="preserve">26</w:t>
            </w:r>
          </w:p>
        </w:tc>
      </w:tr>
      <w:tr>
        <w:tc>
          <w:tcPr/>
          <w:p>
            <w:pPr>
              <w:pStyle w:val="Compact"/>
              <w:jc w:val="left"/>
            </w:pPr>
            <w:r>
              <w:t xml:space="preserve">Unpaid caregiving, min</w:t>
            </w:r>
          </w:p>
        </w:tc>
        <w:tc>
          <w:tcPr/>
          <w:p>
            <w:pPr>
              <w:pStyle w:val="Compact"/>
              <w:jc w:val="right"/>
            </w:pPr>
            <w:r>
              <w:t xml:space="preserve">5</w:t>
            </w:r>
          </w:p>
        </w:tc>
        <w:tc>
          <w:tcPr/>
          <w:p>
            <w:pPr>
              <w:pStyle w:val="Compact"/>
              <w:jc w:val="right"/>
            </w:pPr>
            <w:r>
              <w:t xml:space="preserve">103</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Learning, min</w:t>
            </w:r>
          </w:p>
        </w:tc>
        <w:tc>
          <w:tcPr/>
          <w:p>
            <w:pPr>
              <w:pStyle w:val="Compact"/>
              <w:jc w:val="right"/>
            </w:pPr>
            <w:r>
              <w:t xml:space="preserve">154</w:t>
            </w:r>
          </w:p>
        </w:tc>
        <w:tc>
          <w:tcPr/>
          <w:p>
            <w:pPr>
              <w:pStyle w:val="Compact"/>
              <w:jc w:val="right"/>
            </w:pPr>
            <w:r>
              <w:t xml:space="preserve">2</w:t>
            </w:r>
          </w:p>
        </w:tc>
        <w:tc>
          <w:tcPr/>
          <w:p>
            <w:pPr>
              <w:pStyle w:val="Compact"/>
              <w:jc w:val="right"/>
            </w:pPr>
            <w:r>
              <w:t xml:space="preserve">92</w:t>
            </w:r>
          </w:p>
        </w:tc>
        <w:tc>
          <w:tcPr/>
          <w:p>
            <w:pPr>
              <w:pStyle w:val="Compact"/>
              <w:jc w:val="right"/>
            </w:pPr>
            <w:r>
              <w:t xml:space="preserve">2</w:t>
            </w:r>
          </w:p>
        </w:tc>
      </w:tr>
      <w:tr>
        <w:tc>
          <w:tcPr/>
          <w:p>
            <w:pPr>
              <w:pStyle w:val="Compact"/>
              <w:jc w:val="left"/>
            </w:pPr>
            <w:r>
              <w:t xml:space="preserve">Socialising, community, religion, min</w:t>
            </w:r>
          </w:p>
        </w:tc>
        <w:tc>
          <w:tcPr/>
          <w:p>
            <w:pPr>
              <w:pStyle w:val="Compact"/>
              <w:jc w:val="right"/>
            </w:pPr>
            <w:r>
              <w:t xml:space="preserve">91</w:t>
            </w:r>
          </w:p>
        </w:tc>
        <w:tc>
          <w:tcPr/>
          <w:p>
            <w:pPr>
              <w:pStyle w:val="Compact"/>
              <w:jc w:val="right"/>
            </w:pPr>
            <w:r>
              <w:t xml:space="preserve">90</w:t>
            </w:r>
          </w:p>
        </w:tc>
        <w:tc>
          <w:tcPr/>
          <w:p>
            <w:pPr>
              <w:pStyle w:val="Compact"/>
              <w:jc w:val="right"/>
            </w:pPr>
            <w:r>
              <w:t xml:space="preserve">96</w:t>
            </w:r>
          </w:p>
        </w:tc>
        <w:tc>
          <w:tcPr/>
          <w:p>
            <w:pPr>
              <w:pStyle w:val="Compact"/>
              <w:jc w:val="right"/>
            </w:pPr>
            <w:r>
              <w:t xml:space="preserve">87</w:t>
            </w:r>
          </w:p>
        </w:tc>
      </w:tr>
      <w:tr>
        <w:tc>
          <w:tcPr/>
          <w:p>
            <w:pPr>
              <w:pStyle w:val="Compact"/>
              <w:jc w:val="left"/>
            </w:pPr>
            <w:r>
              <w:t xml:space="preserve">Culture, leisure, media, sport, min</w:t>
            </w:r>
          </w:p>
        </w:tc>
        <w:tc>
          <w:tcPr/>
          <w:p>
            <w:pPr>
              <w:pStyle w:val="Compact"/>
              <w:jc w:val="right"/>
            </w:pPr>
            <w:r>
              <w:t xml:space="preserve">169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118</w:t>
            </w:r>
          </w:p>
        </w:tc>
      </w:tr>
      <w:tr>
        <w:tc>
          <w:tcPr/>
          <w:p>
            <w:pPr>
              <w:pStyle w:val="Compact"/>
              <w:jc w:val="left"/>
            </w:pPr>
            <w:r>
              <w:t xml:space="preserve">Self-care incl. sleep, min</w:t>
            </w:r>
          </w:p>
        </w:tc>
        <w:tc>
          <w:tcPr/>
          <w:p>
            <w:pPr>
              <w:pStyle w:val="Compact"/>
              <w:jc w:val="right"/>
            </w:pPr>
            <w:r>
              <w:t xml:space="preserve">723</w:t>
            </w:r>
          </w:p>
        </w:tc>
        <w:tc>
          <w:tcPr/>
          <w:p>
            <w:pPr>
              <w:pStyle w:val="Compact"/>
              <w:jc w:val="right"/>
            </w:pPr>
            <w:r>
              <w:t xml:space="preserve">684</w:t>
            </w:r>
          </w:p>
        </w:tc>
        <w:tc>
          <w:tcPr/>
          <w:p>
            <w:pPr>
              <w:pStyle w:val="Compact"/>
              <w:jc w:val="right"/>
            </w:pPr>
            <w:r>
              <w:t xml:space="preserve">709</w:t>
            </w:r>
          </w:p>
        </w:tc>
        <w:tc>
          <w:tcPr/>
          <w:p>
            <w:pPr>
              <w:pStyle w:val="Compact"/>
              <w:jc w:val="right"/>
            </w:pPr>
            <w:r>
              <w:t xml:space="preserve">699</w:t>
            </w:r>
          </w:p>
        </w:tc>
      </w:tr>
      <w:tr>
        <w:tc>
          <w:tcPr/>
          <w:p>
            <w:pPr>
              <w:pStyle w:val="Compact"/>
              <w:jc w:val="left"/>
            </w:pPr>
            <w:r>
              <w:t xml:space="preserve">of which: sleep, min</w:t>
            </w:r>
          </w:p>
        </w:tc>
        <w:tc>
          <w:tcPr/>
          <w:p>
            <w:pPr>
              <w:pStyle w:val="Compact"/>
              <w:jc w:val="right"/>
            </w:pPr>
            <w:r>
              <w:t xml:space="preserve">544</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515</w:t>
            </w:r>
          </w:p>
        </w:tc>
      </w:tr>
      <w:tr>
        <w:tc>
          <w:tcPr/>
          <w:p>
            <w:pPr>
              <w:pStyle w:val="Compact"/>
              <w:jc w:val="left"/>
            </w:pPr>
            <w:r>
              <w:t xml:space="preserve">Age, years</w:t>
            </w:r>
          </w:p>
        </w:tc>
        <w:tc>
          <w:tcPr/>
          <w:p>
            <w:pPr>
              <w:pStyle w:val="Compact"/>
              <w:jc w:val="right"/>
            </w:pPr>
            <w:r>
              <w:t xml:space="preserve">23.4</w:t>
            </w:r>
          </w:p>
        </w:tc>
        <w:tc>
          <w:tcPr/>
          <w:p>
            <w:pPr>
              <w:pStyle w:val="Compact"/>
              <w:jc w:val="right"/>
            </w:pPr>
            <w:r>
              <w:t xml:space="preserve">29.8</w:t>
            </w:r>
          </w:p>
        </w:tc>
        <w:tc>
          <w:tcPr/>
          <w:p>
            <w:pPr>
              <w:pStyle w:val="Compact"/>
              <w:jc w:val="right"/>
            </w:pPr>
            <w:r>
              <w:t xml:space="preserve">24.8</w:t>
            </w:r>
          </w:p>
        </w:tc>
        <w:tc>
          <w:tcPr/>
          <w:p>
            <w:pPr>
              <w:pStyle w:val="Compact"/>
              <w:jc w:val="right"/>
            </w:pPr>
            <w:r>
              <w:t xml:space="preserve">31.7</w:t>
            </w:r>
          </w:p>
        </w:tc>
      </w:tr>
      <w:tr>
        <w:tc>
          <w:tcPr/>
          <w:p>
            <w:pPr>
              <w:pStyle w:val="Compact"/>
              <w:jc w:val="left"/>
            </w:pPr>
            <w:r>
              <w:t xml:space="preserve">Employed (usual status)</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68%</w:t>
            </w:r>
          </w:p>
        </w:tc>
        <w:tc>
          <w:tcPr/>
          <w:p>
            <w:pPr>
              <w:pStyle w:val="Compact"/>
              <w:jc w:val="right"/>
            </w:pPr>
            <w:r>
              <w:t xml:space="preserve">98%</w:t>
            </w:r>
          </w:p>
        </w:tc>
      </w:tr>
      <w:tr>
        <w:tc>
          <w:tcPr/>
          <w:p>
            <w:pPr>
              <w:pStyle w:val="Compact"/>
              <w:jc w:val="left"/>
            </w:pPr>
            <w:r>
              <w:t xml:space="preserve">Current student</w:t>
            </w:r>
          </w:p>
        </w:tc>
        <w:tc>
          <w:tcPr/>
          <w:p>
            <w:pPr>
              <w:pStyle w:val="Compact"/>
              <w:jc w:val="right"/>
            </w:pPr>
            <w:r>
              <w:t xml:space="preserve">32%</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w:t>
            </w:r>
          </w:p>
        </w:tc>
      </w:tr>
      <w:tr>
        <w:tc>
          <w:tcPr/>
          <w:p>
            <w:pPr>
              <w:pStyle w:val="Compact"/>
              <w:jc w:val="left"/>
            </w:pPr>
            <w:r>
              <w:t xml:space="preserve">Graduate</w:t>
            </w:r>
          </w:p>
        </w:tc>
        <w:tc>
          <w:tcPr/>
          <w:p>
            <w:pPr>
              <w:pStyle w:val="Compact"/>
              <w:jc w:val="right"/>
            </w:pPr>
            <w:r>
              <w:t xml:space="preserve">45%</w:t>
            </w:r>
          </w:p>
        </w:tc>
        <w:tc>
          <w:tcPr/>
          <w:p>
            <w:pPr>
              <w:pStyle w:val="Compact"/>
              <w:jc w:val="right"/>
            </w:pPr>
            <w:r>
              <w:t xml:space="preserve">16%</w:t>
            </w:r>
          </w:p>
        </w:tc>
        <w:tc>
          <w:tcPr/>
          <w:p>
            <w:pPr>
              <w:pStyle w:val="Compact"/>
              <w:jc w:val="right"/>
            </w:pPr>
            <w:r>
              <w:t xml:space="preserve">32%</w:t>
            </w:r>
          </w:p>
        </w:tc>
        <w:tc>
          <w:tcPr/>
          <w:p>
            <w:pPr>
              <w:pStyle w:val="Compact"/>
              <w:jc w:val="right"/>
            </w:pPr>
            <w:r>
              <w:t xml:space="preserve">20%</w:t>
            </w:r>
          </w:p>
        </w:tc>
      </w:tr>
      <w:tr>
        <w:tc>
          <w:tcPr/>
          <w:p>
            <w:pPr>
              <w:pStyle w:val="Compact"/>
              <w:jc w:val="left"/>
            </w:pPr>
            <w:r>
              <w:t xml:space="preserve">Urban</w:t>
            </w:r>
          </w:p>
        </w:tc>
        <w:tc>
          <w:tcPr/>
          <w:p>
            <w:pPr>
              <w:pStyle w:val="Compact"/>
              <w:jc w:val="right"/>
            </w:pPr>
            <w:r>
              <w:t xml:space="preserve">43%</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31%</w:t>
            </w:r>
          </w:p>
        </w:tc>
      </w:tr>
      <w:tr>
        <w:tc>
          <w:tcPr/>
          <w:p>
            <w:pPr>
              <w:pStyle w:val="Compact"/>
              <w:jc w:val="left"/>
            </w:pPr>
            <w:r>
              <w:t xml:space="preserve">Diaries (N)</w:t>
            </w:r>
          </w:p>
        </w:tc>
        <w:tc>
          <w:tcPr/>
          <w:p>
            <w:pPr>
              <w:pStyle w:val="Compact"/>
              <w:jc w:val="right"/>
            </w:pPr>
            <w:r>
              <w:t xml:space="preserve">13,940</w:t>
            </w:r>
          </w:p>
        </w:tc>
        <w:tc>
          <w:tcPr/>
          <w:p>
            <w:pPr>
              <w:pStyle w:val="Compact"/>
              <w:jc w:val="right"/>
            </w:pPr>
            <w:r>
              <w:t xml:space="preserve">74,397</w:t>
            </w:r>
          </w:p>
        </w:tc>
        <w:tc>
          <w:tcPr/>
          <w:p>
            <w:pPr>
              <w:pStyle w:val="Compact"/>
              <w:jc w:val="right"/>
            </w:pPr>
            <w:r>
              <w:t xml:space="preserve">31,598</w:t>
            </w:r>
          </w:p>
        </w:tc>
        <w:tc>
          <w:tcPr/>
          <w:p>
            <w:pPr>
              <w:pStyle w:val="Compact"/>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8"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W w:type="auto" w:w="0"/>
        <w:tblLook w:firstRow="1" w:lastRow="0" w:firstColumn="0" w:lastColumn="0" w:noHBand="0" w:noVBand="0" w:val="0020"/>
        <w:tblCaption w:val="Married minus never-married, minutes per day, ages 20–39"/>
      </w:tblPr>
      <w:tblGrid>
        <w:gridCol w:w="2640"/>
        <w:gridCol w:w="2640"/>
        <w:gridCol w:w="2640"/>
      </w:tblGrid>
      <w:tr>
        <w:trPr>
          <w:tblHeader w:val="on"/>
        </w:trPr>
        <w:tc>
          <w:tcPr/>
          <w:p>
            <w:pPr>
              <w:pStyle w:val="Compact"/>
              <w:jc w:val="left"/>
            </w:pPr>
            <w:r>
              <w:t xml:space="preserve">Activity</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69.4*** (2.7)</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2.4*** (0.6)</w:t>
            </w: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-5.5*** (0.8)</w:t>
            </w: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31.7*** (0.5)</w:t>
            </w: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-0.8*** (0.2)</w:t>
            </w: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-36.1*** (1.2)</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-11.0*** (1.2)</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-42.2*** (1.3)</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-7.9*** (1.3)</w:t>
            </w:r>
          </w:p>
        </w:tc>
      </w:tr>
      <w:tr>
        <w:tc>
          <w:tcPr/>
          <w:p>
            <w:pPr>
              <w:pStyle w:val="Compact"/>
              <w:jc w:val="left"/>
            </w:pPr>
            <w:r>
              <w:t xml:space="preserve">Sum of the nine divisions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-8.7*** (1.1)</w:t>
            </w:r>
          </w:p>
        </w:tc>
      </w:tr>
      <w:tr>
        <w:tc>
          <w:tcPr/>
          <w:p>
            <w:pPr>
              <w:pStyle w:val="Compact"/>
              <w:jc w:val="left"/>
            </w:pPr>
            <w:r>
              <w:t xml:space="preserve">of which: socialising</w:t>
            </w:r>
          </w:p>
        </w:tc>
        <w:tc>
          <w:tcPr/>
          <w:p>
            <w:pPr>
              <w:pStyle w:val="Compact"/>
              <w:jc w:val="right"/>
            </w:pPr>
            <w:r>
              <w:t xml:space="preserve">-8.8*** (1.1)</w:t>
            </w:r>
          </w:p>
        </w:tc>
        <w:tc>
          <w:tcPr/>
          <w:p>
            <w:pPr>
              <w:pStyle w:val="Compact"/>
              <w:jc w:val="right"/>
            </w:pPr>
            <w:r>
              <w:t xml:space="preserve">-11.8*** (1.0)</w:t>
            </w:r>
          </w:p>
        </w:tc>
      </w:tr>
      <w:tr>
        <w:tc>
          <w:tcPr/>
          <w:p>
            <w:pPr>
              <w:pStyle w:val="Compact"/>
              <w:jc w:val="left"/>
            </w:pPr>
            <w:r>
              <w:t xml:space="preserve">of which: exercise and sport</w:t>
            </w:r>
          </w:p>
        </w:tc>
        <w:tc>
          <w:tcPr/>
          <w:p>
            <w:pPr>
              <w:pStyle w:val="Compact"/>
              <w:jc w:val="right"/>
            </w:pPr>
            <w:r>
              <w:t xml:space="preserve">-2.2*** (0.2)</w:t>
            </w:r>
          </w:p>
        </w:tc>
        <w:tc>
          <w:tcPr/>
          <w:p>
            <w:pPr>
              <w:pStyle w:val="Compact"/>
              <w:jc w:val="right"/>
            </w:pPr>
            <w:r>
              <w:t xml:space="preserve">-3.5*** (0.3)</w:t>
            </w:r>
          </w:p>
        </w:tc>
      </w:tr>
      <w:tr>
        <w:tc>
          <w:tcPr/>
          <w:p>
            <w:pPr>
              <w:pStyle w:val="Compact"/>
              <w:jc w:val="left"/>
            </w:pPr>
            <w:r>
              <w:t xml:space="preserve">of which: religious practice</w:t>
            </w:r>
          </w:p>
        </w:tc>
        <w:tc>
          <w:tcPr/>
          <w:p>
            <w:pPr>
              <w:pStyle w:val="Compact"/>
              <w:jc w:val="right"/>
            </w:pPr>
            <w:r>
              <w:t xml:space="preserve">2.7*** (0.5)</w:t>
            </w:r>
          </w:p>
        </w:tc>
        <w:tc>
          <w:tcPr/>
          <w:p>
            <w:pPr>
              <w:pStyle w:val="Compact"/>
              <w:jc w:val="right"/>
            </w:pPr>
            <w:r>
              <w:t xml:space="preserve">0.5 (0.4)</w:t>
            </w:r>
          </w:p>
        </w:tc>
      </w:tr>
      <w:tr>
        <w:tc>
          <w:tcPr/>
          <w:p>
            <w:pPr>
              <w:pStyle w:val="Compact"/>
              <w:jc w:val="left"/>
            </w:pPr>
            <w:r>
              <w:t xml:space="preserve">of which: mass media</w:t>
            </w:r>
          </w:p>
        </w:tc>
        <w:tc>
          <w:tcPr/>
          <w:p>
            <w:pPr>
              <w:pStyle w:val="Compact"/>
              <w:jc w:val="right"/>
            </w:pPr>
            <w:r>
              <w:t xml:space="preserve">-35.1*** (1.4)</w:t>
            </w:r>
          </w:p>
        </w:tc>
        <w:tc>
          <w:tcPr/>
          <w:p>
            <w:pPr>
              <w:pStyle w:val="Compact"/>
              <w:jc w:val="right"/>
            </w:pPr>
            <w:r>
              <w:t xml:space="preserve">-25.8*** (1.0)</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26.2*** (0.9)</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FSU-clustered standard errors in parentheses. The nine divisions partition the day, so their coefficients sum to zero. * p&lt;0.10, ** p&lt;0.05, *** p&lt;0.01.</w:t>
      </w:r>
    </w:p>
    <w:bookmarkStart w:id="27" w:name="fig:fig-decomp"/>
    <w:p>
      <w:pPr>
        <w:pStyle w:val="CaptionedFigure"/>
      </w:pPr>
      <w:r>
        <w:drawing>
          <wp:inline>
            <wp:extent cx="4800600" cy="2710927"/>
            <wp:effectExtent b="0" l="0" r="0" t="0"/>
            <wp:docPr descr="" title="" id="25" name="Picture"/>
            <a:graphic>
              <a:graphicData uri="http://schemas.openxmlformats.org/drawingml/2006/picture">
                <pic:pic>
                  <pic:nvPicPr>
                    <pic:cNvPr descr="/private/tmp/build_05/manuscript_files/figure-latex/fig-decomp-1.png" id="26" name="Picture"/>
                    <pic:cNvPicPr>
                      <a:picLocks noChangeArrowheads="1" noChangeAspect="1"/>
                    </pic:cNvPicPr>
                  </pic:nvPicPr>
                  <pic:blipFill>
                    <a:blip r:embed="rId24"/>
                    <a:stretch>
                      <a:fillRect/>
                    </a:stretch>
                  </pic:blipFill>
                  <pic:spPr bwMode="auto">
                    <a:xfrm>
                      <a:off x="0" y="0"/>
                      <a:ext cx="4800600" cy="2710927"/>
                    </a:xfrm>
                    <a:prstGeom prst="rect">
                      <a:avLst/>
                    </a:prstGeom>
                    <a:noFill/>
                    <a:ln w="9525">
                      <a:noFill/>
                      <a:headEnd/>
                      <a:tailEnd/>
                    </a:ln>
                  </pic:spPr>
                </pic:pic>
              </a:graphicData>
            </a:graphic>
          </wp:inline>
        </w:drawing>
      </w:r>
    </w:p>
    <w:p>
      <w:pPr>
        <w:pStyle w:val="ImageCaption"/>
      </w:pPr>
      <w:r>
        <w:t xml:space="preserve">Married minus never-married minutes per day by activity division, ages 20–39. Bars for each sex sum to zero; lines are 95% confidence intervals.</w:t>
      </w:r>
    </w:p>
    <w:bookmarkEnd w:id="27"/>
    <w:p>
      <w:pPr>
        <w:pStyle w:val="BodyText"/>
      </w:pPr>
      <w:r>
        <w:t xml:space="preserve">Table</w:t>
      </w:r>
      <w:r>
        <w:t xml:space="preserve"> </w:t>
      </w:r>
      <w:hyperlink w:anchor="tab:decomp">
        <w:r>
          <w:rPr>
            <w:rStyle w:val="Hyperlink"/>
          </w:rPr>
          <w:t xml:space="preserve">2</w:t>
        </w:r>
      </w:hyperlink>
      <w:r>
        <w:t xml:space="preserve"> </w:t>
      </w:r>
      <w:r>
        <w:t xml:space="preserve">and Figure</w:t>
      </w:r>
      <w:r>
        <w:t xml:space="preserve"> </w:t>
      </w:r>
      <w:hyperlink w:anchor="fig:fig-decomp">
        <w:r>
          <w:rPr>
            <w:rStyle w:val="Hyperlink"/>
          </w:rPr>
          <w:t xml:space="preserve">1</w:t>
        </w:r>
      </w:hyperlink>
      <w:r>
        <w:t xml:space="preserve"> </w:t>
      </w:r>
      <w:r>
        <w:t xml:space="preserve">report the</w:t>
      </w:r>
      <w:r>
        <w:t xml:space="preserve"> </w:t>
      </w:r>
      <w:r>
        <w:t xml:space="preserve">decomposition. Marriage is associated with 164.8 minutes (SE 2.3) more</w:t>
      </w:r>
      <w:r>
        <w:t xml:space="preserve"> </w:t>
      </w:r>
      <w:r>
        <w:t xml:space="preserve">unpaid domestic work and 114.9 minutes (SE 1.1) more caregiving for</w:t>
      </w:r>
      <w:r>
        <w:t xml:space="preserve"> </w:t>
      </w:r>
      <w:r>
        <w:t xml:space="preserve">women. For men the corresponding coefficients are -5.5 minutes (SE 0.8)</w:t>
      </w:r>
      <w:r>
        <w:t xml:space="preserve"> </w:t>
      </w:r>
      <w:r>
        <w:t xml:space="preserve">and 31.7 minutes (SE 0.5). In the pooled model, the married</w:t>
      </w:r>
      <w:r>
        <w:t xml:space="preserve"> </w:t>
      </w:r>
      <m:oMath>
        <m:r>
          <m:rPr>
            <m:sty m:val="p"/>
          </m:rPr>
          <m:t>×</m:t>
        </m:r>
      </m:oMath>
      <w:r>
        <w:t xml:space="preserve"> </w:t>
      </w:r>
      <w:r>
        <w:t xml:space="preserve">woman coefficient on unpaid work is 261.9 minutes (SE 2.6)</w:t>
      </w:r>
      <w:r>
        <w:t xml:space="preserve"> </w:t>
      </w:r>
      <w:r>
        <w:t xml:space="preserve">(statistically significant at the 1% level). The pattern supports H1:</w:t>
      </w:r>
      <w:r>
        <w:t xml:space="preserve"> </w:t>
      </w:r>
      <w:r>
        <w:t xml:space="preserve">marriage is associated with a much larger increase in women’s unpaid</w:t>
      </w:r>
      <w:r>
        <w:t xml:space="preserve"> </w:t>
      </w:r>
      <w:r>
        <w:t xml:space="preserve">work than in men’s.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socialising and leisure for 17%, and self-care for 10%.</w:t>
      </w:r>
      <w:r>
        <w:t xml:space="preserve"> </w:t>
      </w:r>
      <w:r>
        <w:t xml:space="preserve">Most of the offset comes from paid work and learning, which is closer to</w:t>
      </w:r>
      <w:r>
        <w:t xml:space="preserve"> </w:t>
      </w:r>
      <w:r>
        <w:t xml:space="preserve">the specialisation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than never-married women</w:t>
      </w:r>
      <w:r>
        <w:t xml:space="preserve"> </w:t>
      </w:r>
      <w:r>
        <w:t xml:space="preserve">(SE 1.4). The coefficients for socialising, exercise and sport, and</w:t>
      </w:r>
      <w:r>
        <w:t xml:space="preserve"> </w:t>
      </w:r>
      <w:r>
        <w:t xml:space="preserve">religious practice are -8.8 minutes (SE 1.1), -2.2 minutes (SE 0.2) and</w:t>
      </w:r>
      <w:r>
        <w:t xml:space="preserve"> </w:t>
      </w:r>
      <w:r>
        <w:t xml:space="preserve">2.7 minutes (SE 0.5). Sleep moves less than free time, as H2</w:t>
      </w:r>
      <w:r>
        <w:t xml:space="preserve"> </w:t>
      </w:r>
      <w:r>
        <w:t xml:space="preserve">anticipated. For men, the largest coefficient in absolute value is on</w:t>
      </w:r>
      <w:r>
        <w:t xml:space="preserve"> </w:t>
      </w:r>
      <w:r>
        <w:t xml:space="preserve">employment (incl. travel), at 69.4 minutes (SE 2.7).</w:t>
      </w:r>
    </w:p>
    <w:bookmarkEnd w:id="28"/>
    <w:bookmarkStart w:id="30" w:name="patrilocal-co-residence"/>
    <w:p>
      <w:pPr>
        <w:pStyle w:val="Heading2"/>
      </w:pPr>
      <w:r>
        <w:t xml:space="preserve">Patrilocal co-residence</w:t>
      </w:r>
    </w:p>
    <w:bookmarkStart w:id="29" w:name="tab:residence"/>
    <w:p>
      <w:pPr>
        <w:pStyle w:val="TableCaption"/>
      </w:pPr>
      <w:r>
        <w:t xml:space="preserve">Married minus never-married by residence type, minutes per day, ages 20–39</w:t>
      </w:r>
    </w:p>
    <w:tbl>
      <w:tblPr>
        <w:tblStyle w:val="Table"/>
        <w:tblW w:type="auto" w:w="0"/>
        <w:tblLook w:firstRow="1" w:lastRow="0" w:firstColumn="0" w:lastColumn="0" w:noHBand="0" w:noVBand="0" w:val="0020"/>
        <w:tblCaption w:val="Married minus never-married by residence type, minutes per day, ages 20–39"/>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Women</w:t>
            </w:r>
          </w:p>
        </w:tc>
        <w:tc>
          <w:tcPr>
            <w:gridSpan w:val="3"/>
          </w:tcPr>
          <w:p>
            <w:pPr>
              <w:pStyle w:val="Compact"/>
              <w:jc w:val="center"/>
            </w:pPr>
            <w:r>
              <w:t xml:space="preserve">Men</w:t>
            </w:r>
          </w:p>
        </w:tc>
      </w:tr>
      <w:tr>
        <w:tc>
          <w:tcPr/>
          <w:p>
            <w:pPr>
              <w:pStyle w:val="Compact"/>
              <w:jc w:val="left"/>
            </w:pPr>
            <w:r>
              <w:t xml:space="preserve">(l</w:t>
            </w:r>
            <w:r>
              <w:t xml:space="preserve">3pt</w:t>
            </w:r>
            <w:r>
              <w:t xml:space="preserve">r</w:t>
            </w:r>
            <w:r>
              <w:t xml:space="preserve">3pt</w:t>
            </w:r>
            <w:r>
              <w:t xml:space="preserve">)</w:t>
            </w:r>
            <w:r>
              <w:t xml:space="preserve">2-4</w:t>
            </w:r>
            <w:r>
              <w:t xml:space="preserve"> </w:t>
            </w:r>
            <w:r>
              <w:t xml:space="preserve">(l</w:t>
            </w:r>
            <w:r>
              <w:t xml:space="preserve">3pt</w:t>
            </w:r>
            <w:r>
              <w:t xml:space="preserve">r</w:t>
            </w:r>
            <w:r>
              <w:t xml:space="preserve">3pt</w:t>
            </w:r>
            <w:r>
              <w:t xml:space="preserve">)</w:t>
            </w:r>
            <w:r>
              <w:t xml:space="preserve">5-7</w:t>
            </w:r>
            <w:r>
              <w:t xml:space="preserve"> </w:t>
            </w:r>
            <w:r>
              <w:t xml:space="preserve">Activity</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Daughter-in-law</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Married son</w:t>
            </w:r>
          </w:p>
        </w:tc>
      </w:tr>
      <w:tr>
        <w:tc>
          <w:tcPr/>
          <w:p>
            <w:pPr>
              <w:pStyle w:val="Compact"/>
              <w:jc w:val="left"/>
            </w:pPr>
            <w:r>
              <w:t xml:space="preserve">Employment</w:t>
            </w:r>
          </w:p>
        </w:tc>
        <w:tc>
          <w:tcPr/>
          <w:p>
            <w:pPr>
              <w:pStyle w:val="Compact"/>
              <w:jc w:val="right"/>
            </w:pPr>
            <w:r>
              <w:t xml:space="preserve">-82.4*** (3.5)</w:t>
            </w:r>
          </w:p>
        </w:tc>
        <w:tc>
          <w:tcPr/>
          <w:p>
            <w:pPr>
              <w:pStyle w:val="Compact"/>
              <w:jc w:val="right"/>
            </w:pPr>
            <w:r>
              <w:t xml:space="preserve">-74.3*** (4.1)</w:t>
            </w:r>
          </w:p>
        </w:tc>
        <w:tc>
          <w:tcPr/>
          <w:p>
            <w:pPr>
              <w:pStyle w:val="Compact"/>
              <w:jc w:val="right"/>
            </w:pPr>
            <w:r>
              <w:t xml:space="preserve">-91.6*** (3.3)</w:t>
            </w:r>
          </w:p>
        </w:tc>
        <w:tc>
          <w:tcPr/>
          <w:p>
            <w:pPr>
              <w:pStyle w:val="Compact"/>
              <w:jc w:val="right"/>
            </w:pPr>
            <w:r>
              <w:t xml:space="preserve">75.5*** (2.9)</w:t>
            </w:r>
          </w:p>
        </w:tc>
        <w:tc>
          <w:tcPr/>
          <w:p>
            <w:pPr>
              <w:pStyle w:val="Compact"/>
              <w:jc w:val="right"/>
            </w:pPr>
            <w:r>
              <w:t xml:space="preserve">66.6*** (4.5)</w:t>
            </w:r>
          </w:p>
        </w:tc>
        <w:tc>
          <w:tcPr/>
          <w:p>
            <w:pPr>
              <w:pStyle w:val="Compact"/>
              <w:jc w:val="right"/>
            </w:pPr>
            <w:r>
              <w:t xml:space="preserve">65.8*** (2.9)</w:t>
            </w:r>
          </w:p>
        </w:tc>
      </w:tr>
      <w:tr>
        <w:tc>
          <w:tcPr/>
          <w:p>
            <w:pPr>
              <w:pStyle w:val="Compact"/>
              <w:jc w:val="left"/>
            </w:pPr>
            <w:r>
              <w:t xml:space="preserve">Own-use goods</w:t>
            </w:r>
          </w:p>
        </w:tc>
        <w:tc>
          <w:tcPr/>
          <w:p>
            <w:pPr>
              <w:pStyle w:val="Compact"/>
              <w:jc w:val="right"/>
            </w:pPr>
            <w:r>
              <w:t xml:space="preserve">3.1*** (0.8)</w:t>
            </w:r>
          </w:p>
        </w:tc>
        <w:tc>
          <w:tcPr/>
          <w:p>
            <w:pPr>
              <w:pStyle w:val="Compact"/>
              <w:jc w:val="right"/>
            </w:pPr>
            <w:r>
              <w:t xml:space="preserve">2.0* (1.1)</w:t>
            </w:r>
          </w:p>
        </w:tc>
        <w:tc>
          <w:tcPr/>
          <w:p>
            <w:pPr>
              <w:pStyle w:val="Compact"/>
              <w:jc w:val="right"/>
            </w:pPr>
            <w:r>
              <w:t xml:space="preserve">-4.3*** (0.7)</w:t>
            </w:r>
          </w:p>
        </w:tc>
        <w:tc>
          <w:tcPr/>
          <w:p>
            <w:pPr>
              <w:pStyle w:val="Compact"/>
              <w:jc w:val="right"/>
            </w:pPr>
            <w:r>
              <w:t xml:space="preserve">4.0*** (0.8)</w:t>
            </w:r>
          </w:p>
        </w:tc>
        <w:tc>
          <w:tcPr/>
          <w:p>
            <w:pPr>
              <w:pStyle w:val="Compact"/>
              <w:jc w:val="right"/>
            </w:pPr>
            <w:r>
              <w:t xml:space="preserve">4.3*** (1.5)</w:t>
            </w:r>
          </w:p>
        </w:tc>
        <w:tc>
          <w:tcPr/>
          <w:p>
            <w:pPr>
              <w:pStyle w:val="Compact"/>
              <w:jc w:val="right"/>
            </w:pPr>
            <w:r>
              <w:t xml:space="preserve">0.5 (0.7)</w:t>
            </w:r>
          </w:p>
        </w:tc>
      </w:tr>
      <w:tr>
        <w:tc>
          <w:tcPr/>
          <w:p>
            <w:pPr>
              <w:pStyle w:val="Compact"/>
              <w:jc w:val="left"/>
            </w:pPr>
            <w:r>
              <w:t xml:space="preserve">Domestic services</w:t>
            </w:r>
          </w:p>
        </w:tc>
        <w:tc>
          <w:tcPr/>
          <w:p>
            <w:pPr>
              <w:pStyle w:val="Compact"/>
              <w:jc w:val="right"/>
            </w:pPr>
            <w:r>
              <w:t xml:space="preserve">166.1*** (2.5)</w:t>
            </w:r>
          </w:p>
        </w:tc>
        <w:tc>
          <w:tcPr/>
          <w:p>
            <w:pPr>
              <w:pStyle w:val="Compact"/>
              <w:jc w:val="right"/>
            </w:pPr>
            <w:r>
              <w:t xml:space="preserve">176.7*** (3.1)</w:t>
            </w:r>
          </w:p>
        </w:tc>
        <w:tc>
          <w:tcPr/>
          <w:p>
            <w:pPr>
              <w:pStyle w:val="Compact"/>
              <w:jc w:val="right"/>
            </w:pPr>
            <w:r>
              <w:t xml:space="preserve">170.2*** (2.4)</w:t>
            </w:r>
          </w:p>
        </w:tc>
        <w:tc>
          <w:tcPr/>
          <w:p>
            <w:pPr>
              <w:pStyle w:val="Compact"/>
              <w:jc w:val="right"/>
            </w:pPr>
            <w:r>
              <w:t xml:space="preserve">-5.5*** (0.9)</w:t>
            </w:r>
          </w:p>
        </w:tc>
        <w:tc>
          <w:tcPr/>
          <w:p>
            <w:pPr>
              <w:pStyle w:val="Compact"/>
              <w:jc w:val="right"/>
            </w:pPr>
            <w:r>
              <w:t xml:space="preserve">-8.6*** (1.3)</w:t>
            </w:r>
          </w:p>
        </w:tc>
        <w:tc>
          <w:tcPr/>
          <w:p>
            <w:pPr>
              <w:pStyle w:val="Compact"/>
              <w:jc w:val="right"/>
            </w:pPr>
            <w:r>
              <w:t xml:space="preserve">-8.2*** (0.8)</w:t>
            </w:r>
          </w:p>
        </w:tc>
      </w:tr>
      <w:tr>
        <w:tc>
          <w:tcPr/>
          <w:p>
            <w:pPr>
              <w:pStyle w:val="Compact"/>
              <w:jc w:val="left"/>
            </w:pPr>
            <w:r>
              <w:t xml:space="preserve">Caregiving</w:t>
            </w:r>
          </w:p>
        </w:tc>
        <w:tc>
          <w:tcPr/>
          <w:p>
            <w:pPr>
              <w:pStyle w:val="Compact"/>
              <w:jc w:val="right"/>
            </w:pPr>
            <w:r>
              <w:t xml:space="preserve">118.1*** (1.3)</w:t>
            </w:r>
          </w:p>
        </w:tc>
        <w:tc>
          <w:tcPr/>
          <w:p>
            <w:pPr>
              <w:pStyle w:val="Compact"/>
              <w:jc w:val="right"/>
            </w:pPr>
            <w:r>
              <w:t xml:space="preserve">108.8*** (1.7)</w:t>
            </w:r>
          </w:p>
        </w:tc>
        <w:tc>
          <w:tcPr/>
          <w:p>
            <w:pPr>
              <w:pStyle w:val="Compact"/>
              <w:jc w:val="right"/>
            </w:pPr>
            <w:r>
              <w:t xml:space="preserve">113.6*** (1.3)</w:t>
            </w:r>
          </w:p>
        </w:tc>
        <w:tc>
          <w:tcPr/>
          <w:p>
            <w:pPr>
              <w:pStyle w:val="Compact"/>
              <w:jc w:val="right"/>
            </w:pPr>
            <w:r>
              <w:t xml:space="preserve">37.6*** (0.6)</w:t>
            </w:r>
          </w:p>
        </w:tc>
        <w:tc>
          <w:tcPr/>
          <w:p>
            <w:pPr>
              <w:pStyle w:val="Compact"/>
              <w:jc w:val="right"/>
            </w:pPr>
            <w:r>
              <w:t xml:space="preserve">28.3*** (1.0)</w:t>
            </w:r>
          </w:p>
        </w:tc>
        <w:tc>
          <w:tcPr/>
          <w:p>
            <w:pPr>
              <w:pStyle w:val="Compact"/>
              <w:jc w:val="right"/>
            </w:pPr>
            <w:r>
              <w:t xml:space="preserve">25.9*** (0.6)</w:t>
            </w:r>
          </w:p>
        </w:tc>
      </w:tr>
      <w:tr>
        <w:tc>
          <w:tcPr/>
          <w:p>
            <w:pPr>
              <w:pStyle w:val="Compact"/>
              <w:jc w:val="left"/>
            </w:pPr>
            <w:r>
              <w:t xml:space="preserve">Volunteering</w:t>
            </w:r>
          </w:p>
        </w:tc>
        <w:tc>
          <w:tcPr/>
          <w:p>
            <w:pPr>
              <w:pStyle w:val="Compact"/>
              <w:jc w:val="right"/>
            </w:pPr>
            <w:r>
              <w:t xml:space="preserve">-0.1 (0.2)</w:t>
            </w:r>
          </w:p>
        </w:tc>
        <w:tc>
          <w:tcPr/>
          <w:p>
            <w:pPr>
              <w:pStyle w:val="Compact"/>
              <w:jc w:val="right"/>
            </w:pPr>
            <w:r>
              <w:t xml:space="preserve">-0.1 (0.4)</w:t>
            </w:r>
          </w:p>
        </w:tc>
        <w:tc>
          <w:tcPr/>
          <w:p>
            <w:pPr>
              <w:pStyle w:val="Compact"/>
              <w:jc w:val="right"/>
            </w:pPr>
            <w:r>
              <w:t xml:space="preserve">-0.4* (0.2)</w:t>
            </w:r>
          </w:p>
        </w:tc>
        <w:tc>
          <w:tcPr/>
          <w:p>
            <w:pPr>
              <w:pStyle w:val="Compact"/>
              <w:jc w:val="right"/>
            </w:pPr>
            <w:r>
              <w:t xml:space="preserve">-0.8*** (0.2)</w:t>
            </w:r>
          </w:p>
        </w:tc>
        <w:tc>
          <w:tcPr/>
          <w:p>
            <w:pPr>
              <w:pStyle w:val="Compact"/>
              <w:jc w:val="right"/>
            </w:pPr>
            <w:r>
              <w:t xml:space="preserve">-0.9*** (0.3)</w:t>
            </w:r>
          </w:p>
        </w:tc>
        <w:tc>
          <w:tcPr/>
          <w:p>
            <w:pPr>
              <w:pStyle w:val="Compact"/>
              <w:jc w:val="right"/>
            </w:pPr>
            <w:r>
              <w:t xml:space="preserve">-1.0*** (0.2)</w:t>
            </w:r>
          </w:p>
        </w:tc>
      </w:tr>
      <w:tr>
        <w:tc>
          <w:tcPr/>
          <w:p>
            <w:pPr>
              <w:pStyle w:val="Compact"/>
              <w:jc w:val="left"/>
            </w:pPr>
            <w:r>
              <w:t xml:space="preserve">Learning</w:t>
            </w:r>
          </w:p>
        </w:tc>
        <w:tc>
          <w:tcPr/>
          <w:p>
            <w:pPr>
              <w:pStyle w:val="Compact"/>
              <w:jc w:val="right"/>
            </w:pPr>
            <w:r>
              <w:t xml:space="preserve">-114.9*** (2.6)</w:t>
            </w:r>
          </w:p>
        </w:tc>
        <w:tc>
          <w:tcPr/>
          <w:p>
            <w:pPr>
              <w:pStyle w:val="Compact"/>
              <w:jc w:val="right"/>
            </w:pPr>
            <w:r>
              <w:t xml:space="preserve">-116.1*** (2.7)</w:t>
            </w:r>
          </w:p>
        </w:tc>
        <w:tc>
          <w:tcPr/>
          <w:p>
            <w:pPr>
              <w:pStyle w:val="Compact"/>
              <w:jc w:val="right"/>
            </w:pPr>
            <w:r>
              <w:t xml:space="preserve">-122.3*** (2.6)</w:t>
            </w:r>
          </w:p>
        </w:tc>
        <w:tc>
          <w:tcPr/>
          <w:p>
            <w:pPr>
              <w:pStyle w:val="Compact"/>
              <w:jc w:val="right"/>
            </w:pPr>
            <w:r>
              <w:t xml:space="preserve">-33.5*** (1.2)</w:t>
            </w:r>
          </w:p>
        </w:tc>
        <w:tc>
          <w:tcPr/>
          <w:p>
            <w:pPr>
              <w:pStyle w:val="Compact"/>
              <w:jc w:val="right"/>
            </w:pPr>
            <w:r>
              <w:t xml:space="preserve">-33.4*** (1.3)</w:t>
            </w:r>
          </w:p>
        </w:tc>
        <w:tc>
          <w:tcPr/>
          <w:p>
            <w:pPr>
              <w:pStyle w:val="Compact"/>
              <w:jc w:val="right"/>
            </w:pPr>
            <w:r>
              <w:t xml:space="preserve">-39.0*** (1.2)</w:t>
            </w:r>
          </w:p>
        </w:tc>
      </w:tr>
      <w:tr>
        <w:tc>
          <w:tcPr/>
          <w:p>
            <w:pPr>
              <w:pStyle w:val="Compact"/>
              <w:jc w:val="left"/>
            </w:pPr>
            <w:r>
              <w:t xml:space="preserve">Social, community, religion</w:t>
            </w:r>
          </w:p>
        </w:tc>
        <w:tc>
          <w:tcPr/>
          <w:p>
            <w:pPr>
              <w:pStyle w:val="Compact"/>
              <w:jc w:val="right"/>
            </w:pPr>
            <w:r>
              <w:t xml:space="preserve">-7.5*** (1.5)</w:t>
            </w:r>
          </w:p>
        </w:tc>
        <w:tc>
          <w:tcPr/>
          <w:p>
            <w:pPr>
              <w:pStyle w:val="Compact"/>
              <w:jc w:val="right"/>
            </w:pPr>
            <w:r>
              <w:t xml:space="preserve">-10.8*** (2.0)</w:t>
            </w:r>
          </w:p>
        </w:tc>
        <w:tc>
          <w:tcPr/>
          <w:p>
            <w:pPr>
              <w:pStyle w:val="Compact"/>
              <w:jc w:val="right"/>
            </w:pPr>
            <w:r>
              <w:t xml:space="preserve">-6.2*** (1.4)</w:t>
            </w:r>
          </w:p>
        </w:tc>
        <w:tc>
          <w:tcPr/>
          <w:p>
            <w:pPr>
              <w:pStyle w:val="Compact"/>
              <w:jc w:val="right"/>
            </w:pPr>
            <w:r>
              <w:t xml:space="preserve">-16.2*** (1.4)</w:t>
            </w:r>
          </w:p>
        </w:tc>
        <w:tc>
          <w:tcPr/>
          <w:p>
            <w:pPr>
              <w:pStyle w:val="Compact"/>
              <w:jc w:val="right"/>
            </w:pPr>
            <w:r>
              <w:t xml:space="preserve">-5.6** (2.3)</w:t>
            </w:r>
          </w:p>
        </w:tc>
        <w:tc>
          <w:tcPr/>
          <w:p>
            <w:pPr>
              <w:pStyle w:val="Compact"/>
              <w:jc w:val="right"/>
            </w:pPr>
            <w:r>
              <w:t xml:space="preserve">-6.2*** (1.4)</w:t>
            </w:r>
          </w:p>
        </w:tc>
      </w:tr>
      <w:tr>
        <w:tc>
          <w:tcPr/>
          <w:p>
            <w:pPr>
              <w:pStyle w:val="Compact"/>
              <w:jc w:val="left"/>
            </w:pPr>
            <w:r>
              <w:t xml:space="preserve">Leisure, media, sport</w:t>
            </w:r>
          </w:p>
        </w:tc>
        <w:tc>
          <w:tcPr/>
          <w:p>
            <w:pPr>
              <w:pStyle w:val="Compact"/>
              <w:jc w:val="right"/>
            </w:pPr>
            <w:r>
              <w:t xml:space="preserve">-48.8*** (1.9)</w:t>
            </w:r>
          </w:p>
        </w:tc>
        <w:tc>
          <w:tcPr/>
          <w:p>
            <w:pPr>
              <w:pStyle w:val="Compact"/>
              <w:jc w:val="right"/>
            </w:pPr>
            <w:r>
              <w:t xml:space="preserve">-49.6*** (2.2)</w:t>
            </w:r>
          </w:p>
        </w:tc>
        <w:tc>
          <w:tcPr/>
          <w:p>
            <w:pPr>
              <w:pStyle w:val="Compact"/>
              <w:jc w:val="right"/>
            </w:pPr>
            <w:r>
              <w:t xml:space="preserve">-35.8*** (1.7)</w:t>
            </w:r>
          </w:p>
        </w:tc>
        <w:tc>
          <w:tcPr/>
          <w:p>
            <w:pPr>
              <w:pStyle w:val="Compact"/>
              <w:jc w:val="right"/>
            </w:pPr>
            <w:r>
              <w:t xml:space="preserve">-49.0*** (1.5)</w:t>
            </w:r>
          </w:p>
        </w:tc>
        <w:tc>
          <w:tcPr/>
          <w:p>
            <w:pPr>
              <w:pStyle w:val="Compact"/>
              <w:jc w:val="right"/>
            </w:pPr>
            <w:r>
              <w:t xml:space="preserve">-41.4*** (2.2)</w:t>
            </w:r>
          </w:p>
        </w:tc>
        <w:tc>
          <w:tcPr/>
          <w:p>
            <w:pPr>
              <w:pStyle w:val="Compact"/>
              <w:jc w:val="right"/>
            </w:pPr>
            <w:r>
              <w:t xml:space="preserve">-34.7*** (1.4)</w:t>
            </w:r>
          </w:p>
        </w:tc>
      </w:tr>
      <w:tr>
        <w:tc>
          <w:tcPr/>
          <w:p>
            <w:pPr>
              <w:pStyle w:val="Compact"/>
              <w:jc w:val="left"/>
            </w:pPr>
            <w:r>
              <w:t xml:space="preserve">Self-care</w:t>
            </w:r>
          </w:p>
        </w:tc>
        <w:tc>
          <w:tcPr/>
          <w:p>
            <w:pPr>
              <w:pStyle w:val="Compact"/>
              <w:jc w:val="right"/>
            </w:pPr>
            <w:r>
              <w:t xml:space="preserve">-33.6*** (1.8)</w:t>
            </w:r>
          </w:p>
        </w:tc>
        <w:tc>
          <w:tcPr/>
          <w:p>
            <w:pPr>
              <w:pStyle w:val="Compact"/>
              <w:jc w:val="right"/>
            </w:pPr>
            <w:r>
              <w:t xml:space="preserve">-36.6*** (2.3)</w:t>
            </w:r>
          </w:p>
        </w:tc>
        <w:tc>
          <w:tcPr/>
          <w:p>
            <w:pPr>
              <w:pStyle w:val="Compact"/>
              <w:jc w:val="right"/>
            </w:pPr>
            <w:r>
              <w:t xml:space="preserve">-23.0*** (1.7)</w:t>
            </w:r>
          </w:p>
        </w:tc>
        <w:tc>
          <w:tcPr/>
          <w:p>
            <w:pPr>
              <w:pStyle w:val="Compact"/>
              <w:jc w:val="right"/>
            </w:pPr>
            <w:r>
              <w:t xml:space="preserve">-12.2*** (1.5)</w:t>
            </w:r>
          </w:p>
        </w:tc>
        <w:tc>
          <w:tcPr/>
          <w:p>
            <w:pPr>
              <w:pStyle w:val="Compact"/>
              <w:jc w:val="right"/>
            </w:pPr>
            <w:r>
              <w:t xml:space="preserve">-9.4*** (2.1)</w:t>
            </w:r>
          </w:p>
        </w:tc>
        <w:tc>
          <w:tcPr/>
          <w:p>
            <w:pPr>
              <w:pStyle w:val="Compact"/>
              <w:jc w:val="right"/>
            </w:pPr>
            <w:r>
              <w:t xml:space="preserve">-3.1** (1.3)</w:t>
            </w:r>
          </w:p>
        </w:tc>
      </w:tr>
      <w:tr>
        <w:tc>
          <w:tcPr/>
          <w:p>
            <w:pPr>
              <w:pStyle w:val="Compact"/>
              <w:jc w:val="left"/>
            </w:pPr>
            <w:r>
              <w:t xml:space="preserve">of which: sleep</w:t>
            </w:r>
          </w:p>
        </w:tc>
        <w:tc>
          <w:tcPr/>
          <w:p>
            <w:pPr>
              <w:pStyle w:val="Compact"/>
              <w:jc w:val="right"/>
            </w:pPr>
            <w:r>
              <w:t xml:space="preserve">-9.5*** (1.6)</w:t>
            </w:r>
          </w:p>
        </w:tc>
        <w:tc>
          <w:tcPr/>
          <w:p>
            <w:pPr>
              <w:pStyle w:val="Compact"/>
              <w:jc w:val="right"/>
            </w:pPr>
            <w:r>
              <w:t xml:space="preserve">-15.6*** (2.0)</w:t>
            </w:r>
          </w:p>
        </w:tc>
        <w:tc>
          <w:tcPr/>
          <w:p>
            <w:pPr>
              <w:pStyle w:val="Compact"/>
              <w:jc w:val="right"/>
            </w:pPr>
            <w:r>
              <w:t xml:space="preserve">-8.1*** (1.5)</w:t>
            </w:r>
          </w:p>
        </w:tc>
        <w:tc>
          <w:tcPr/>
          <w:p>
            <w:pPr>
              <w:pStyle w:val="Compact"/>
              <w:jc w:val="right"/>
            </w:pPr>
            <w:r>
              <w:t xml:space="preserve">-11.3*** (1.3)</w:t>
            </w:r>
          </w:p>
        </w:tc>
        <w:tc>
          <w:tcPr/>
          <w:p>
            <w:pPr>
              <w:pStyle w:val="Compact"/>
              <w:jc w:val="right"/>
            </w:pPr>
            <w:r>
              <w:t xml:space="preserve">-9.5*** (1.9)</w:t>
            </w:r>
          </w:p>
        </w:tc>
        <w:tc>
          <w:tcPr/>
          <w:p>
            <w:pPr>
              <w:pStyle w:val="Compact"/>
              <w:jc w:val="right"/>
            </w:pPr>
            <w:r>
              <w:t xml:space="preserve">-5.8*** (1.2)</w:t>
            </w:r>
          </w:p>
        </w:tc>
      </w:tr>
      <w:tr>
        <w:tc>
          <w:tcPr/>
          <w:p>
            <w:pPr>
              <w:pStyle w:val="Compact"/>
              <w:jc w:val="left"/>
            </w:pPr>
            <w:r>
              <w:t xml:space="preserve">Unpaid work</w:t>
            </w:r>
          </w:p>
        </w:tc>
        <w:tc>
          <w:tcPr/>
          <w:p>
            <w:pPr>
              <w:pStyle w:val="Compact"/>
              <w:jc w:val="right"/>
            </w:pPr>
            <w:r>
              <w:t xml:space="preserve">284.2*** (2.7)</w:t>
            </w:r>
          </w:p>
        </w:tc>
        <w:tc>
          <w:tcPr/>
          <w:p>
            <w:pPr>
              <w:pStyle w:val="Compact"/>
              <w:jc w:val="right"/>
            </w:pPr>
            <w:r>
              <w:t xml:space="preserve">285.5*** (3.4)</w:t>
            </w:r>
          </w:p>
        </w:tc>
        <w:tc>
          <w:tcPr/>
          <w:p>
            <w:pPr>
              <w:pStyle w:val="Compact"/>
              <w:jc w:val="right"/>
            </w:pPr>
            <w:r>
              <w:t xml:space="preserve">283.7*** (2.6)</w:t>
            </w:r>
          </w:p>
        </w:tc>
        <w:tc>
          <w:tcPr/>
          <w:p>
            <w:pPr>
              <w:pStyle w:val="Compact"/>
              <w:jc w:val="right"/>
            </w:pPr>
            <w:r>
              <w:t xml:space="preserve">32.1*** (1.1)</w:t>
            </w:r>
          </w:p>
        </w:tc>
        <w:tc>
          <w:tcPr/>
          <w:p>
            <w:pPr>
              <w:pStyle w:val="Compact"/>
              <w:jc w:val="right"/>
            </w:pPr>
            <w:r>
              <w:t xml:space="preserve">19.7*** (1.6)</w:t>
            </w:r>
          </w:p>
        </w:tc>
        <w:tc>
          <w:tcPr/>
          <w:p>
            <w:pPr>
              <w:pStyle w:val="Compact"/>
              <w:jc w:val="right"/>
            </w:pPr>
            <w:r>
              <w:t xml:space="preserve">17.7*** (1.0)</w:t>
            </w:r>
          </w:p>
        </w:tc>
      </w:tr>
    </w:tbl>
    <w:bookmarkEnd w:id="29"/>
    <w:p>
      <w:pPr>
        <w:pStyle w:val="BodyText"/>
      </w:pPr>
      <w:r>
        <w:rPr>
          <w:i/>
          <w:iCs/>
        </w:rPr>
        <w:t xml:space="preserve">Notes:</w:t>
      </w:r>
      <w:r>
        <w:t xml:space="preserve"> </w:t>
      </w:r>
      <w:r>
        <w:t xml:space="preserve">Each married residence type is compared with never-married persons of the same sex.</w:t>
      </w:r>
      <w:r>
        <w:t xml:space="preserve"> </w:t>
      </w:r>
      <w:r>
        <w:t xml:space="preserve">“No parent gen.”</w:t>
      </w:r>
      <w:r>
        <w:t xml:space="preserve">: head or head’s spouse, no parent or parent-in-law of the head in the household.</w:t>
      </w:r>
      <w:r>
        <w:t xml:space="preserve"> </w:t>
      </w:r>
      <w:r>
        <w:t xml:space="preserve">“Parent gen.”</w:t>
      </w:r>
      <w:r>
        <w:t xml:space="preserve">: head or head’s spouse with a parent or parent-in-law of the head present.</w:t>
      </w:r>
      <w:r>
        <w:t xml:space="preserve"> </w:t>
      </w:r>
      <w:r>
        <w:t xml:space="preserve">“Daughter-in-law”</w:t>
      </w:r>
      <w:r>
        <w:t xml:space="preserve">: roster code 4 (women);</w:t>
      </w:r>
      <w:r>
        <w:t xml:space="preserve"> </w:t>
      </w:r>
      <w:r>
        <w:t xml:space="preserve">“Married son”</w:t>
      </w:r>
      <w:r>
        <w:t xml:space="preserve">: roster code 3 (men). Controls and fixed effects as in the baseline decomposition. FSU-clustered SEs in parentheses. * p&lt;0.10, ** p&lt;0.05, *** p&lt;0.01.</w:t>
      </w:r>
    </w:p>
    <w:p>
      <w:pPr>
        <w:pStyle w:val="BodyText"/>
      </w:pPr>
      <w:r>
        <w:t xml:space="preserve">Table</w:t>
      </w:r>
      <w:r>
        <w:t xml:space="preserve"> </w:t>
      </w:r>
      <w:hyperlink w:anchor="tab:residence">
        <w:r>
          <w:rPr>
            <w:rStyle w:val="Hyperlink"/>
          </w:rPr>
          <w:t xml:space="preserve">3</w:t>
        </w:r>
      </w:hyperlink>
      <w:r>
        <w:t xml:space="preserve"> </w:t>
      </w:r>
      <w:r>
        <w:t xml:space="preserve">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(SE 1.8) less unpaid work</w:t>
      </w:r>
      <w:r>
        <w:t xml:space="preserve"> </w:t>
      </w:r>
      <w:r>
        <w:t xml:space="preserve">(not statistically distinguishable from zero), 12.6 minutes (SE 1.7)</w:t>
      </w:r>
      <w:r>
        <w:t xml:space="preserve"> </w:t>
      </w:r>
      <w:r>
        <w:t xml:space="preserve">less employment, 0.8 minutes (SE 1.1) more socialising, community and</w:t>
      </w:r>
      <w:r>
        <w:t xml:space="preserve"> </w:t>
      </w:r>
      <w:r>
        <w:t xml:space="preserve">religious activity, and sleep 1.1 minutes (SE 1.1) more. Unpaid work</w:t>
      </w:r>
      <w:r>
        <w:t xml:space="preserve"> </w:t>
      </w:r>
      <w:r>
        <w:t xml:space="preserve">does not differ detectably by residence type, so the data support</w:t>
      </w:r>
      <w:r>
        <w:t xml:space="preserve"> </w:t>
      </w:r>
      <w:r>
        <w:t xml:space="preserve">neither the substitution account (H3a) nor the hierarchy account (H3b)</w:t>
      </w:r>
      <w:r>
        <w:t xml:space="preserve"> </w:t>
      </w:r>
      <w:r>
        <w:t xml:space="preserve">as a description of average unpaid 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w:t>
      </w:r>
    </w:p>
    <w:bookmarkEnd w:id="30"/>
    <w:bookmarkStart w:id="36" w:name="selection-into-marriage"/>
    <w:p>
      <w:pPr>
        <w:pStyle w:val="Heading2"/>
      </w:pPr>
      <w:r>
        <w:t xml:space="preserve">Selection into marriage</w:t>
      </w:r>
    </w:p>
    <w:bookmarkStart w:id="31" w:name="tab:selection"/>
    <w:p>
      <w:pPr>
        <w:pStyle w:val="TableCaption"/>
      </w:pPr>
      <w:r>
        <w:t xml:space="preserve">Women: married minus never-married under alternative treatments of selection, minutes per day</w:t>
      </w:r>
    </w:p>
    <w:tbl>
      <w:tblPr>
        <w:tblStyle w:val="Table"/>
        <w:tblW w:type="auto" w:w="0"/>
        <w:tblLook w:firstRow="1" w:lastRow="0" w:firstColumn="0" w:lastColumn="0" w:noHBand="0" w:noVBand="0" w:val="0020"/>
        <w:tblCaption w:val="Women: married minus never-married under alternative treatments of selection, minutes per day"/>
      </w:tblPr>
      <w:tblGrid>
        <w:gridCol w:w="1320"/>
        <w:gridCol w:w="1320"/>
        <w:gridCol w:w="1320"/>
        <w:gridCol w:w="1320"/>
        <w:gridCol w:w="1320"/>
        <w:gridCol w:w="1320"/>
      </w:tblGrid>
      <w:tr>
        <w:trPr>
          <w:tblHeader w:val="on"/>
        </w:trPr>
        <w:tc>
          <w:tcPr/>
          <w:p>
            <w:pPr>
              <w:pStyle w:val="Compact"/>
              <w:jc w:val="left"/>
            </w:pPr>
            <w:r>
              <w:t xml:space="preserve">Activity</w:t>
            </w:r>
          </w:p>
        </w:tc>
        <w:tc>
          <w:tcPr/>
          <w:p>
            <w:pPr>
              <w:pStyle w:val="Compact"/>
              <w:jc w:val="right"/>
            </w:pPr>
            <w:r>
              <w:t xml:space="preserve">Baseline</w:t>
            </w:r>
          </w:p>
        </w:tc>
        <w:tc>
          <w:tcPr/>
          <w:p>
            <w:pPr>
              <w:pStyle w:val="Compact"/>
              <w:jc w:val="right"/>
            </w:pPr>
            <w:r>
              <w:t xml:space="preserve">Ages 20–26</w:t>
            </w:r>
          </w:p>
        </w:tc>
        <w:tc>
          <w:tcPr/>
          <w:p>
            <w:pPr>
              <w:pStyle w:val="Compact"/>
              <w:jc w:val="right"/>
            </w:pPr>
            <w:r>
              <w:t xml:space="preserve">Reweighted</w:t>
            </w:r>
          </w:p>
        </w:tc>
        <w:tc>
          <w:tcPr/>
          <w:p>
            <w:pPr>
              <w:pStyle w:val="Compact"/>
              <w:jc w:val="right"/>
            </w:pPr>
            <w:r>
              <w:t xml:space="preserve">Bias-adjusted</w:t>
            </w:r>
          </w:p>
        </w:tc>
        <w:tc>
          <w:tcPr/>
          <w:p>
            <w:pPr>
              <w:pStyle w:val="Compact"/>
              <w:jc w:val="right"/>
            </w:pPr>
            <w:r>
              <w:t xml:space="preserve">Breakdown delta</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-68.3*** (3.2)</w:t>
            </w:r>
          </w:p>
        </w:tc>
        <w:tc>
          <w:tcPr/>
          <w:p>
            <w:pPr>
              <w:pStyle w:val="Compact"/>
              <w:jc w:val="right"/>
            </w:pPr>
            <w:r>
              <w:t xml:space="preserve">-72.0*** (6.1)</w:t>
            </w:r>
          </w:p>
        </w:tc>
        <w:tc>
          <w:tcPr/>
          <w:p>
            <w:pPr>
              <w:pStyle w:val="Compact"/>
              <w:jc w:val="right"/>
            </w:pPr>
            <w:r>
              <w:t xml:space="preserve">-96.2</w:t>
            </w:r>
          </w:p>
        </w:tc>
        <w:tc>
          <w:tcPr/>
          <w:p>
            <w:pPr>
              <w:pStyle w:val="Compact"/>
              <w:jc w:val="right"/>
            </w:pPr>
            <w:r>
              <w:t xml:space="preserve">-7.40</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0.3 (0.8)</w:t>
            </w:r>
          </w:p>
        </w:tc>
        <w:tc>
          <w:tcPr/>
          <w:p>
            <w:pPr>
              <w:pStyle w:val="Compact"/>
              <w:jc w:val="right"/>
            </w:pPr>
            <w:r>
              <w:t xml:space="preserve">3.4* (1.8)</w:t>
            </w:r>
          </w:p>
        </w:tc>
        <w:tc>
          <w:tcPr/>
          <w:p>
            <w:pPr>
              <w:pStyle w:val="Compact"/>
            </w:pPr>
          </w:p>
        </w:tc>
        <w:tc>
          <w:tcPr/>
          <w:p>
            <w:pPr>
              <w:pStyle w:val="Compact"/>
            </w:pP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161.6*** (2.6)</w:t>
            </w:r>
          </w:p>
        </w:tc>
        <w:tc>
          <w:tcPr/>
          <w:p>
            <w:pPr>
              <w:pStyle w:val="Compact"/>
              <w:jc w:val="right"/>
            </w:pPr>
            <w:r>
              <w:t xml:space="preserve">141.6*** (5.3)</w:t>
            </w:r>
          </w:p>
        </w:tc>
        <w:tc>
          <w:tcPr/>
          <w:p>
            <w:pPr>
              <w:pStyle w:val="Compact"/>
            </w:pPr>
          </w:p>
        </w:tc>
        <w:tc>
          <w:tcPr/>
          <w:p>
            <w:pPr>
              <w:pStyle w:val="Compact"/>
            </w:pP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105.4*** (1.4)</w:t>
            </w:r>
          </w:p>
        </w:tc>
        <w:tc>
          <w:tcPr/>
          <w:p>
            <w:pPr>
              <w:pStyle w:val="Compact"/>
              <w:jc w:val="right"/>
            </w:pPr>
            <w:r>
              <w:t xml:space="preserve">91.4*** (1.7)</w:t>
            </w:r>
          </w:p>
        </w:tc>
        <w:tc>
          <w:tcPr/>
          <w:p>
            <w:pPr>
              <w:pStyle w:val="Compact"/>
            </w:pPr>
          </w:p>
        </w:tc>
        <w:tc>
          <w:tcPr/>
          <w:p>
            <w:pPr>
              <w:pStyle w:val="Compact"/>
            </w:pP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-0.0 (0.3)</w:t>
            </w:r>
          </w:p>
        </w:tc>
        <w:tc>
          <w:tcPr/>
          <w:p>
            <w:pPr>
              <w:pStyle w:val="Compact"/>
              <w:jc w:val="right"/>
            </w:pPr>
            <w:r>
              <w:t xml:space="preserve">-0.1 (0.3)</w:t>
            </w:r>
          </w:p>
        </w:tc>
        <w:tc>
          <w:tcPr/>
          <w:p>
            <w:pPr>
              <w:pStyle w:val="Compact"/>
            </w:pPr>
          </w:p>
        </w:tc>
        <w:tc>
          <w:tcPr/>
          <w:p>
            <w:pPr>
              <w:pStyle w:val="Compact"/>
            </w:pP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-131.2*** (3.0)</w:t>
            </w:r>
          </w:p>
        </w:tc>
        <w:tc>
          <w:tcPr/>
          <w:p>
            <w:pPr>
              <w:pStyle w:val="Compact"/>
              <w:jc w:val="right"/>
            </w:pPr>
            <w:r>
              <w:t xml:space="preserve">-30.7*** (1.5)</w:t>
            </w:r>
          </w:p>
        </w:tc>
        <w:tc>
          <w:tcPr/>
          <w:p>
            <w:pPr>
              <w:pStyle w:val="Compact"/>
              <w:jc w:val="right"/>
            </w:pPr>
            <w:r>
              <w:t xml:space="preserve">-43.0</w:t>
            </w:r>
          </w:p>
        </w:tc>
        <w:tc>
          <w:tcPr/>
          <w:p>
            <w:pPr>
              <w:pStyle w:val="Compact"/>
              <w:jc w:val="right"/>
            </w:pPr>
            <w:r>
              <w:t xml:space="preserve">1.57</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-4.4*** (1.7)</w:t>
            </w:r>
          </w:p>
        </w:tc>
        <w:tc>
          <w:tcPr/>
          <w:p>
            <w:pPr>
              <w:pStyle w:val="Compact"/>
              <w:jc w:val="right"/>
            </w:pPr>
            <w:r>
              <w:t xml:space="preserve">-18.7*** (2.9)</w:t>
            </w:r>
          </w:p>
        </w:tc>
        <w:tc>
          <w:tcPr/>
          <w:p>
            <w:pPr>
              <w:pStyle w:val="Compact"/>
              <w:jc w:val="right"/>
            </w:pPr>
            <w:r>
              <w:t xml:space="preserve">-8.2</w:t>
            </w:r>
          </w:p>
        </w:tc>
        <w:tc>
          <w:tcPr/>
          <w:p>
            <w:pPr>
              <w:pStyle w:val="Compact"/>
              <w:jc w:val="right"/>
            </w:pPr>
            <w:r>
              <w:t xml:space="preserve">-4.30</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-38.0*** (2.0)</w:t>
            </w:r>
          </w:p>
        </w:tc>
        <w:tc>
          <w:tcPr/>
          <w:p>
            <w:pPr>
              <w:pStyle w:val="Compact"/>
              <w:jc w:val="right"/>
            </w:pPr>
            <w:r>
              <w:t xml:space="preserve">-67.9*** (3.8)</w:t>
            </w:r>
          </w:p>
        </w:tc>
        <w:tc>
          <w:tcPr/>
          <w:p>
            <w:pPr>
              <w:pStyle w:val="Compact"/>
              <w:jc w:val="right"/>
            </w:pPr>
            <w:r>
              <w:t xml:space="preserve">-33.1</w:t>
            </w:r>
          </w:p>
        </w:tc>
        <w:tc>
          <w:tcPr/>
          <w:p>
            <w:pPr>
              <w:pStyle w:val="Compact"/>
              <w:jc w:val="right"/>
            </w:pPr>
            <w:r>
              <w:t xml:space="preserve">5.04</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-25.3*** (1.9)</w:t>
            </w:r>
          </w:p>
        </w:tc>
        <w:tc>
          <w:tcPr/>
          <w:p>
            <w:pPr>
              <w:pStyle w:val="Compact"/>
              <w:jc w:val="right"/>
            </w:pPr>
            <w:r>
              <w:t xml:space="preserve">-47.1*** (3.4)</w:t>
            </w:r>
          </w:p>
        </w:tc>
        <w:tc>
          <w:tcPr/>
          <w:p>
            <w:pPr>
              <w:pStyle w:val="Compact"/>
            </w:pPr>
          </w:p>
        </w:tc>
        <w:tc>
          <w:tcPr/>
          <w:p>
            <w:pPr>
              <w:pStyle w:val="Compact"/>
            </w:pP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-8.9*** (1.6)</w:t>
            </w:r>
          </w:p>
        </w:tc>
        <w:tc>
          <w:tcPr/>
          <w:p>
            <w:pPr>
              <w:pStyle w:val="Compact"/>
              <w:jc w:val="right"/>
            </w:pPr>
            <w:r>
              <w:t xml:space="preserve">-26.9*** (2.8)</w:t>
            </w:r>
          </w:p>
        </w:tc>
        <w:tc>
          <w:tcPr/>
          <w:p>
            <w:pPr>
              <w:pStyle w:val="Compact"/>
              <w:jc w:val="right"/>
            </w:pPr>
            <w:r>
              <w:t xml:space="preserve">-5.7</w:t>
            </w:r>
          </w:p>
        </w:tc>
        <w:tc>
          <w:tcPr/>
          <w:p>
            <w:pPr>
              <w:pStyle w:val="Compact"/>
              <w:jc w:val="right"/>
            </w:pPr>
            <w:r>
              <w:t xml:space="preserve">3.01</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267.0*** (2.8)</w:t>
            </w:r>
          </w:p>
        </w:tc>
        <w:tc>
          <w:tcPr/>
          <w:p>
            <w:pPr>
              <w:pStyle w:val="Compact"/>
              <w:jc w:val="right"/>
            </w:pPr>
            <w:r>
              <w:t xml:space="preserve">233.0*** (5.5)</w:t>
            </w:r>
          </w:p>
        </w:tc>
        <w:tc>
          <w:tcPr/>
          <w:p>
            <w:pPr>
              <w:pStyle w:val="Compact"/>
              <w:jc w:val="right"/>
            </w:pPr>
            <w:r>
              <w:t xml:space="preserve">264.3</w:t>
            </w:r>
          </w:p>
        </w:tc>
        <w:tc>
          <w:tcPr/>
          <w:p>
            <w:pPr>
              <w:pStyle w:val="Compact"/>
              <w:jc w:val="right"/>
            </w:pPr>
            <w:r>
              <w:t xml:space="preserve">18.14</w:t>
            </w:r>
          </w:p>
        </w:tc>
      </w:tr>
    </w:tbl>
    <w:bookmarkEnd w:id="31"/>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FSU-clustered SEs in parentheses. * p&lt;0.10, ** p&lt;0.05, *** p&lt;0.01.</w:t>
      </w:r>
    </w:p>
    <w:p>
      <w:pPr>
        <w:pStyle w:val="BodyText"/>
      </w:pPr>
      <w:r>
        <w:t xml:space="preserve">Table</w:t>
      </w:r>
      <w:r>
        <w:t xml:space="preserve"> </w:t>
      </w:r>
      <w:hyperlink w:anchor="tab:selection">
        <w:r>
          <w:rPr>
            <w:rStyle w:val="Hyperlink"/>
          </w:rPr>
          <w:t xml:space="preserve">4</w:t>
        </w:r>
      </w:hyperlink>
      <w:r>
        <w:t xml:space="preserve"> </w:t>
      </w:r>
      <w:r>
        <w:t xml:space="preserve">reports four checks for women. Among women</w:t>
      </w:r>
      <w:r>
        <w:t xml:space="preserve"> </w:t>
      </w:r>
      <w:r>
        <w:t xml:space="preserve">aged 20 to 26, the unpaid-work coefficient is 267.0 minutes (SE 2.8),</w:t>
      </w:r>
      <w:r>
        <w:t xml:space="preserve"> </w:t>
      </w:r>
      <w:r>
        <w:t xml:space="preserve">against 279.7 minutes (SE 2.5) in the baseline. After reweighting, the</w:t>
      </w:r>
      <w:r>
        <w:t xml:space="preserve"> </w:t>
      </w:r>
      <w:r>
        <w:t xml:space="preserve">never-married resemble the married on observed characteristics: the</w:t>
      </w:r>
      <w:r>
        <w:t xml:space="preserve"> </w:t>
      </w:r>
      <w:r>
        <w:t xml:space="preserve">largest absolute standardised difference across the covariates in</w:t>
      </w:r>
      <w:r>
        <w:t xml:space="preserve"> </w:t>
      </w:r>
      <w:r>
        <w:t xml:space="preserve">Table</w:t>
      </w:r>
      <w:r>
        <w:t xml:space="preserve"> </w:t>
      </w:r>
      <w:hyperlink w:anchor="S-tab:balance">
        <w:r>
          <w:rPr>
            <w:rStyle w:val="Hyperlink"/>
          </w:rPr>
          <w:t xml:space="preserve">[S-tab:balance]</w:t>
        </w:r>
      </w:hyperlink>
      <w:r>
        <w:t xml:space="preserve"> </w:t>
      </w:r>
      <w:r>
        <w:t xml:space="preserve">is 0.13, and Appendix Table</w:t>
      </w:r>
      <w:r>
        <w:t xml:space="preserve"> </w:t>
      </w:r>
      <w:hyperlink w:anchor="S-tab:oster">
        <w:r>
          <w:rPr>
            <w:rStyle w:val="Hyperlink"/>
          </w:rPr>
          <w:t xml:space="preserve">[S-tab:oster]</w:t>
        </w:r>
      </w:hyperlink>
      <w:r>
        <w:t xml:space="preserve"> </w:t>
      </w:r>
      <w:r>
        <w:t xml:space="preserve">reports the coefficient-stability calculation in full.</w:t>
      </w:r>
      <w:r>
        <w:t xml:space="preserve"> </w:t>
      </w:r>
      <w:r>
        <w:t xml:space="preserve">The reweighted, regression-adjusted coefficient is 233.0 minutes (SE</w:t>
      </w:r>
      <w:r>
        <w:t xml:space="preserve"> </w:t>
      </w:r>
      <w:r>
        <w:t xml:space="preserve">5.5) (without controls, 248.7 minutes (SE 5.8)). Reweighting</w:t>
      </w:r>
      <w:r>
        <w:t xml:space="preserve"> </w:t>
      </w:r>
      <w:r>
        <w:t xml:space="preserve">concentrates weight on the never-married women who most resemble the</w:t>
      </w:r>
      <w:r>
        <w:t xml:space="preserve"> </w:t>
      </w:r>
      <w:r>
        <w:t xml:space="preserve">married, so the effective sample of never-married women falls from</w:t>
      </w:r>
      <w:r>
        <w:t xml:space="preserve"> </w:t>
      </w:r>
      <w:r>
        <w:t xml:space="preserve">13,940 to about 1,209, and 2.0% of the weighted never-married have</w:t>
      </w:r>
      <w:r>
        <w:t xml:space="preserve"> </w:t>
      </w:r>
      <w:r>
        <w:t xml:space="preserve">propensities above the cap. The bias-adjusted coefficient on unpaid work</w:t>
      </w:r>
      <w:r>
        <w:t xml:space="preserve"> </w:t>
      </w:r>
      <w:r>
        <w:t xml:space="preserve">is 264.3 minutes. Selection on unobservables would have to be 18.1 times</w:t>
      </w:r>
      <w:r>
        <w:t xml:space="preserve"> </w:t>
      </w:r>
      <w:r>
        <w:t xml:space="preserve">as strong as selection on observables to explain away the unpaid-work</w:t>
      </w:r>
      <w:r>
        <w:t xml:space="preserve"> </w:t>
      </w:r>
      <w:r>
        <w:t xml:space="preserve">difference.</w:t>
      </w:r>
    </w:p>
    <w:bookmarkStart w:id="35" w:name="fig:fig-agegrad"/>
    <w:p>
      <w:pPr>
        <w:pStyle w:val="CaptionedFigure"/>
      </w:pPr>
      <w:r>
        <w:drawing>
          <wp:inline>
            <wp:extent cx="4800600" cy="2246290"/>
            <wp:effectExtent b="0" l="0" r="0" t="0"/>
            <wp:docPr descr="" title="" id="33" name="Picture"/>
            <a:graphic>
              <a:graphicData uri="http://schemas.openxmlformats.org/drawingml/2006/picture">
                <pic:pic>
                  <pic:nvPicPr>
                    <pic:cNvPr descr="/private/tmp/build_05/manuscript_files/figure-latex/fig-agegrad-1.png" id="34" name="Picture"/>
                    <pic:cNvPicPr>
                      <a:picLocks noChangeArrowheads="1" noChangeAspect="1"/>
                    </pic:cNvPicPr>
                  </pic:nvPicPr>
                  <pic:blipFill>
                    <a:blip r:embed="rId32"/>
                    <a:stretch>
                      <a:fillRect/>
                    </a:stretch>
                  </pic:blipFill>
                  <pic:spPr bwMode="auto">
                    <a:xfrm>
                      <a:off x="0" y="0"/>
                      <a:ext cx="4800600" cy="2246290"/>
                    </a:xfrm>
                    <a:prstGeom prst="rect">
                      <a:avLst/>
                    </a:prstGeom>
                    <a:noFill/>
                    <a:ln w="9525">
                      <a:noFill/>
                      <a:headEnd/>
                      <a:tailEnd/>
                    </a:ln>
                  </pic:spPr>
                </pic:pic>
              </a:graphicData>
            </a:graphic>
          </wp:inline>
        </w:drawing>
      </w:r>
    </w:p>
    <w:p>
      <w:pPr>
        <w:pStyle w:val="ImageCaption"/>
      </w:pPr>
      <w:r>
        <w:t xml:space="preserve">Married minus never-married unpaid minutes per day by age band, with 95% confidence intervals. Labels give the weighted share never married in each band.</w:t>
      </w:r>
    </w:p>
    <w:bookmarkEnd w:id="35"/>
    <w:p>
      <w:pPr>
        <w:pStyle w:val="BodyText"/>
      </w:pPr>
      <w:r>
        <w:t xml:space="preserve">Figure</w:t>
      </w:r>
      <w:r>
        <w:t xml:space="preserve"> </w:t>
      </w:r>
      <w:hyperlink w:anchor="fig:fig-agegrad">
        <w:r>
          <w:rPr>
            <w:rStyle w:val="Hyperlink"/>
          </w:rPr>
          <w:t xml:space="preserve">2</w:t>
        </w:r>
      </w:hyperlink>
      <w:r>
        <w:t xml:space="preserve"> </w:t>
      </w:r>
      <w:r>
        <w:t xml:space="preserve">shows the unpaid-work gap by age band.</w:t>
      </w:r>
      <w:r>
        <w:t xml:space="preserve"> </w:t>
      </w:r>
      <w:r>
        <w:t xml:space="preserve">Among women, the coefficient is 256.1 minutes (SE 4.0) at ages 20 to 22,</w:t>
      </w:r>
      <w:r>
        <w:t xml:space="preserve"> </w:t>
      </w:r>
      <w:r>
        <w:t xml:space="preserve">where 53% are never married, and 214.7 minutes (SE 10.8) at ages 35 to</w:t>
      </w:r>
      <w:r>
        <w:t xml:space="preserve"> </w:t>
      </w:r>
      <w:r>
        <w:t xml:space="preserve">39, where 2% are. The gap does not grow significantly as the</w:t>
      </w:r>
      <w:r>
        <w:t xml:space="preserve"> </w:t>
      </w:r>
      <w:r>
        <w:t xml:space="preserve">never-married become rarer, which is not what strong positive selection</w:t>
      </w:r>
      <w:r>
        <w:t xml:space="preserve"> </w:t>
      </w:r>
      <w:r>
        <w:t xml:space="preserve">of the never-married on unpaid-work preferences would produce.</w:t>
      </w:r>
      <w:r>
        <w:t xml:space="preserve"> </w:t>
      </w:r>
      <w:r>
        <w:t xml:space="preserve">Comparisons at older ages also mix the association with marriage and the</w:t>
      </w:r>
      <w:r>
        <w:t xml:space="preserve"> </w:t>
      </w:r>
      <w:r>
        <w:t xml:space="preserve">accumulation of children, which the survey links to mothers only partly.</w:t>
      </w:r>
    </w:p>
    <w:bookmarkEnd w:id="36"/>
    <w:bookmarkStart w:id="42" w:name="within-married-couples"/>
    <w:p>
      <w:pPr>
        <w:pStyle w:val="Heading2"/>
      </w:pPr>
      <w:r>
        <w:t xml:space="preserve">Within married couples</w:t>
      </w:r>
    </w:p>
    <w:bookmarkStart w:id="37" w:name="tab:couple"/>
    <w:p>
      <w:pPr>
        <w:pStyle w:val="TableCaption"/>
      </w:pPr>
      <w:r>
        <w:t xml:space="preserve">Within-couple gaps, linked couples with wives aged 20–59</w:t>
      </w:r>
    </w:p>
    <w:tbl>
      <w:tblPr>
        <w:tblStyle w:val="Table"/>
        <w:tblW w:type="auto" w:w="0"/>
        <w:tblLook w:firstRow="1" w:lastRow="0" w:firstColumn="0" w:lastColumn="0" w:noHBand="0" w:noVBand="0" w:val="0020"/>
        <w:tblCaption w:val="Within-couple gaps, linked couples with wives aged 20–59"/>
      </w:tblPr>
      <w:tblGrid>
        <w:gridCol w:w="1584"/>
        <w:gridCol w:w="1584"/>
        <w:gridCol w:w="1584"/>
        <w:gridCol w:w="1584"/>
        <w:gridCol w:w="1584"/>
      </w:tblGrid>
      <w:tr>
        <w:trPr>
          <w:tblHeader w:val="on"/>
        </w:trPr>
        <w:tc>
          <w:tcPr/>
          <w:p>
            <w:pPr>
              <w:pStyle w:val="Compact"/>
            </w:pPr>
          </w:p>
        </w:tc>
        <w:tc>
          <w:tcPr/>
          <w:p>
            <w:pPr>
              <w:pStyle w:val="Compact"/>
              <w:jc w:val="right"/>
            </w:pPr>
            <w:r>
              <w:t xml:space="preserve">Unpaid gap (W</w:t>
            </w:r>
            <m:oMath>
              <m:r>
                <m:rPr>
                  <m:sty m:val="p"/>
                </m:rPr>
                <m:t>−</m:t>
              </m:r>
            </m:oMath>
            <w:r>
              <w:t xml:space="preserve">H)</w:t>
            </w:r>
          </w:p>
        </w:tc>
        <w:tc>
          <w:tcPr/>
          <w:p>
            <w:pPr>
              <w:pStyle w:val="Compact"/>
              <w:jc w:val="right"/>
            </w:pPr>
            <w:r>
              <w:t xml:space="preserve">Wife’s unpaid share</w:t>
            </w:r>
          </w:p>
        </w:tc>
        <w:tc>
          <w:tcPr/>
          <w:p>
            <w:pPr>
              <w:pStyle w:val="Compact"/>
              <w:jc w:val="right"/>
            </w:pPr>
            <w:r>
              <w:t xml:space="preserve">Employment gap (H</w:t>
            </w:r>
            <m:oMath>
              <m:r>
                <m:rPr>
                  <m:sty m:val="p"/>
                </m:rPr>
                <m:t>−</m:t>
              </m:r>
            </m:oMath>
            <w:r>
              <w:t xml:space="preserve">W)</w:t>
            </w:r>
          </w:p>
        </w:tc>
        <w:tc>
          <w:tcPr/>
          <w:p>
            <w:pPr>
              <w:pStyle w:val="Compact"/>
              <w:jc w:val="right"/>
            </w:pPr>
            <w:r>
              <w:t xml:space="preserve">N</w:t>
            </w:r>
          </w:p>
        </w:tc>
      </w:tr>
      <w:tr>
        <w:tc>
          <w:tcPr/>
          <w:p>
            <w:pPr>
              <w:pStyle w:val="Compact"/>
              <w:jc w:val="left"/>
            </w:pPr>
            <w:r>
              <w:t xml:space="preserve">All linked couples</w:t>
            </w:r>
          </w:p>
        </w:tc>
        <w:tc>
          <w:tcPr/>
          <w:p>
            <w:pPr>
              <w:pStyle w:val="Compact"/>
              <w:jc w:val="right"/>
            </w:pPr>
            <w:r>
              <w:t xml:space="preserve">366.9 (1.1)</w:t>
            </w:r>
          </w:p>
        </w:tc>
        <w:tc>
          <w:tcPr/>
          <w:p>
            <w:pPr>
              <w:pStyle w:val="Compact"/>
              <w:jc w:val="right"/>
            </w:pPr>
            <w:r>
              <w:t xml:space="preserve">91% (0.1)</w:t>
            </w:r>
          </w:p>
        </w:tc>
        <w:tc>
          <w:tcPr/>
          <w:p>
            <w:pPr>
              <w:pStyle w:val="Compact"/>
              <w:jc w:val="right"/>
            </w:pPr>
            <w:r>
              <w:t xml:space="preserve">336.4 (1.5)</w:t>
            </w:r>
          </w:p>
        </w:tc>
        <w:tc>
          <w:tcPr/>
          <w:p>
            <w:pPr>
              <w:pStyle w:val="Compact"/>
              <w:jc w:val="right"/>
            </w:pPr>
            <w:r>
              <w:t xml:space="preserve">106,424</w:t>
            </w:r>
          </w:p>
        </w:tc>
      </w:tr>
      <w:tr>
        <w:tc>
          <w:tcPr/>
          <w:p>
            <w:pPr>
              <w:pStyle w:val="Compact"/>
              <w:jc w:val="left"/>
            </w:pPr>
            <w:r>
              <w:t xml:space="preserve">Wife’s 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Wife not employed</w:t>
            </w:r>
          </w:p>
        </w:tc>
        <w:tc>
          <w:tcPr/>
          <w:p>
            <w:pPr>
              <w:pStyle w:val="Compact"/>
              <w:jc w:val="right"/>
            </w:pPr>
            <w:r>
              <w:t xml:space="preserve">408.1 (1.1)</w:t>
            </w:r>
          </w:p>
        </w:tc>
        <w:tc>
          <w:tcPr/>
          <w:p>
            <w:pPr>
              <w:pStyle w:val="Compact"/>
              <w:jc w:val="right"/>
            </w:pPr>
            <w:r>
              <w:t xml:space="preserve">91% (0.1)</w:t>
            </w:r>
          </w:p>
        </w:tc>
        <w:tc>
          <w:tcPr/>
          <w:p>
            <w:pPr>
              <w:pStyle w:val="Compact"/>
              <w:jc w:val="right"/>
            </w:pPr>
            <w:r>
              <w:t xml:space="preserve">411.4 (1.5)</w:t>
            </w:r>
          </w:p>
        </w:tc>
        <w:tc>
          <w:tcPr/>
          <w:p>
            <w:pPr>
              <w:pStyle w:val="Compact"/>
              <w:jc w:val="right"/>
            </w:pPr>
            <w:r>
              <w:t xml:space="preserve">77,619</w:t>
            </w:r>
          </w:p>
        </w:tc>
      </w:tr>
      <w:tr>
        <w:tc>
          <w:tcPr/>
          <w:p>
            <w:pPr>
              <w:pStyle w:val="Compact"/>
              <w:jc w:val="left"/>
            </w:pPr>
            <w:r>
              <w:t xml:space="preserve">Wife employed</w:t>
            </w:r>
          </w:p>
        </w:tc>
        <w:tc>
          <w:tcPr/>
          <w:p>
            <w:pPr>
              <w:pStyle w:val="Compact"/>
              <w:jc w:val="right"/>
            </w:pPr>
            <w:r>
              <w:t xml:space="preserve">257.9 (1.4)</w:t>
            </w:r>
          </w:p>
        </w:tc>
        <w:tc>
          <w:tcPr/>
          <w:p>
            <w:pPr>
              <w:pStyle w:val="Compact"/>
              <w:jc w:val="right"/>
            </w:pPr>
            <w:r>
              <w:t xml:space="preserve">90% (0.1)</w:t>
            </w:r>
          </w:p>
        </w:tc>
        <w:tc>
          <w:tcPr/>
          <w:p>
            <w:pPr>
              <w:pStyle w:val="Compact"/>
              <w:jc w:val="right"/>
            </w:pPr>
            <w:r>
              <w:t xml:space="preserve">138.3 (2.0)</w:t>
            </w:r>
          </w:p>
        </w:tc>
        <w:tc>
          <w:tcPr/>
          <w:p>
            <w:pPr>
              <w:pStyle w:val="Compact"/>
              <w:jc w:val="right"/>
            </w:pPr>
            <w:r>
              <w:t xml:space="preserve">28,805</w:t>
            </w:r>
          </w:p>
        </w:tc>
      </w:tr>
      <w:tr>
        <w:tc>
          <w:tcPr/>
          <w:p>
            <w:pPr>
              <w:pStyle w:val="Compact"/>
              <w:jc w:val="left"/>
            </w:pPr>
            <w:r>
              <w:t xml:space="preserve">Relative education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more educated</w:t>
            </w:r>
          </w:p>
        </w:tc>
        <w:tc>
          <w:tcPr/>
          <w:p>
            <w:pPr>
              <w:pStyle w:val="Compact"/>
              <w:jc w:val="right"/>
            </w:pPr>
            <w:r>
              <w:t xml:space="preserve">367.3 (1.4)</w:t>
            </w:r>
          </w:p>
        </w:tc>
        <w:tc>
          <w:tcPr/>
          <w:p>
            <w:pPr>
              <w:pStyle w:val="Compact"/>
              <w:jc w:val="right"/>
            </w:pPr>
            <w:r>
              <w:t xml:space="preserve">91% (0.1)</w:t>
            </w:r>
          </w:p>
        </w:tc>
        <w:tc>
          <w:tcPr/>
          <w:p>
            <w:pPr>
              <w:pStyle w:val="Compact"/>
              <w:jc w:val="right"/>
            </w:pPr>
            <w:r>
              <w:t xml:space="preserve">337.1 (2.1)</w:t>
            </w:r>
          </w:p>
        </w:tc>
        <w:tc>
          <w:tcPr/>
          <w:p>
            <w:pPr>
              <w:pStyle w:val="Compact"/>
              <w:jc w:val="right"/>
            </w:pPr>
            <w:r>
              <w:t xml:space="preserve">32,345</w:t>
            </w:r>
          </w:p>
        </w:tc>
      </w:tr>
      <w:tr>
        <w:tc>
          <w:tcPr/>
          <w:p>
            <w:pPr>
              <w:pStyle w:val="Compact"/>
              <w:jc w:val="left"/>
            </w:pPr>
            <w:r>
              <w:t xml:space="preserve">Same education tier</w:t>
            </w:r>
          </w:p>
        </w:tc>
        <w:tc>
          <w:tcPr/>
          <w:p>
            <w:pPr>
              <w:pStyle w:val="Compact"/>
              <w:jc w:val="right"/>
            </w:pPr>
            <w:r>
              <w:t xml:space="preserve">362.7 (1.2)</w:t>
            </w:r>
          </w:p>
        </w:tc>
        <w:tc>
          <w:tcPr/>
          <w:p>
            <w:pPr>
              <w:pStyle w:val="Compact"/>
              <w:jc w:val="right"/>
            </w:pPr>
            <w:r>
              <w:t xml:space="preserve">91% (0.1)</w:t>
            </w:r>
          </w:p>
        </w:tc>
        <w:tc>
          <w:tcPr/>
          <w:p>
            <w:pPr>
              <w:pStyle w:val="Compact"/>
              <w:jc w:val="right"/>
            </w:pPr>
            <w:r>
              <w:t xml:space="preserve">331.4 (1.7)</w:t>
            </w:r>
          </w:p>
        </w:tc>
        <w:tc>
          <w:tcPr/>
          <w:p>
            <w:pPr>
              <w:pStyle w:val="Compact"/>
              <w:jc w:val="right"/>
            </w:pPr>
            <w:r>
              <w:t xml:space="preserve">59,896</w:t>
            </w:r>
          </w:p>
        </w:tc>
      </w:tr>
      <w:tr>
        <w:tc>
          <w:tcPr/>
          <w:p>
            <w:pPr>
              <w:pStyle w:val="Compact"/>
              <w:jc w:val="left"/>
            </w:pPr>
            <w:r>
              <w:t xml:space="preserve">Wife more educated</w:t>
            </w:r>
          </w:p>
        </w:tc>
        <w:tc>
          <w:tcPr/>
          <w:p>
            <w:pPr>
              <w:pStyle w:val="Compact"/>
              <w:jc w:val="right"/>
            </w:pPr>
            <w:r>
              <w:t xml:space="preserve">383.0 (1.8)</w:t>
            </w:r>
          </w:p>
        </w:tc>
        <w:tc>
          <w:tcPr/>
          <w:p>
            <w:pPr>
              <w:pStyle w:val="Compact"/>
              <w:jc w:val="right"/>
            </w:pPr>
            <w:r>
              <w:t xml:space="preserve">91% (0.1)</w:t>
            </w:r>
          </w:p>
        </w:tc>
        <w:tc>
          <w:tcPr/>
          <w:p>
            <w:pPr>
              <w:pStyle w:val="Compact"/>
              <w:jc w:val="right"/>
            </w:pPr>
            <w:r>
              <w:t xml:space="preserve">355.1 (2.9)</w:t>
            </w:r>
          </w:p>
        </w:tc>
        <w:tc>
          <w:tcPr/>
          <w:p>
            <w:pPr>
              <w:pStyle w:val="Compact"/>
              <w:jc w:val="right"/>
            </w:pPr>
            <w:r>
              <w:t xml:space="preserve">14,183</w:t>
            </w:r>
          </w:p>
        </w:tc>
      </w:tr>
      <w:tr>
        <w:tc>
          <w:tcPr/>
          <w:p>
            <w:pPr>
              <w:pStyle w:val="Compact"/>
              <w:jc w:val="left"/>
            </w:pPr>
            <w:r>
              <w:t xml:space="preserve">Residence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Head couple, no parent generation</w:t>
            </w:r>
          </w:p>
        </w:tc>
        <w:tc>
          <w:tcPr/>
          <w:p>
            <w:pPr>
              <w:pStyle w:val="Compact"/>
              <w:jc w:val="right"/>
            </w:pPr>
            <w:r>
              <w:t xml:space="preserve">356.5 (1.1)</w:t>
            </w:r>
          </w:p>
        </w:tc>
        <w:tc>
          <w:tcPr/>
          <w:p>
            <w:pPr>
              <w:pStyle w:val="Compact"/>
              <w:jc w:val="right"/>
            </w:pPr>
            <w:r>
              <w:t xml:space="preserve">91% (0.1)</w:t>
            </w:r>
          </w:p>
        </w:tc>
        <w:tc>
          <w:tcPr/>
          <w:p>
            <w:pPr>
              <w:pStyle w:val="Compact"/>
              <w:jc w:val="right"/>
            </w:pPr>
            <w:r>
              <w:t xml:space="preserve">328.1 (1.6)</w:t>
            </w:r>
          </w:p>
        </w:tc>
        <w:tc>
          <w:tcPr/>
          <w:p>
            <w:pPr>
              <w:pStyle w:val="Compact"/>
              <w:jc w:val="right"/>
            </w:pPr>
            <w:r>
              <w:t xml:space="preserve">80,850</w:t>
            </w:r>
          </w:p>
        </w:tc>
      </w:tr>
      <w:tr>
        <w:tc>
          <w:tcPr/>
          <w:p>
            <w:pPr>
              <w:pStyle w:val="Compact"/>
              <w:jc w:val="left"/>
            </w:pPr>
            <w:r>
              <w:t xml:space="preserve">Head couple, parent generation present</w:t>
            </w:r>
          </w:p>
        </w:tc>
        <w:tc>
          <w:tcPr/>
          <w:p>
            <w:pPr>
              <w:pStyle w:val="Compact"/>
              <w:jc w:val="right"/>
            </w:pPr>
            <w:r>
              <w:t xml:space="preserve">376.3 (2.3)</w:t>
            </w:r>
          </w:p>
        </w:tc>
        <w:tc>
          <w:tcPr/>
          <w:p>
            <w:pPr>
              <w:pStyle w:val="Compact"/>
              <w:jc w:val="right"/>
            </w:pPr>
            <w:r>
              <w:t xml:space="preserve">92% (0.2)</w:t>
            </w:r>
          </w:p>
        </w:tc>
        <w:tc>
          <w:tcPr/>
          <w:p>
            <w:pPr>
              <w:pStyle w:val="Compact"/>
              <w:jc w:val="right"/>
            </w:pPr>
            <w:r>
              <w:t xml:space="preserve">328.1 (3.3)</w:t>
            </w:r>
          </w:p>
        </w:tc>
        <w:tc>
          <w:tcPr/>
          <w:p>
            <w:pPr>
              <w:pStyle w:val="Compact"/>
              <w:jc w:val="right"/>
            </w:pPr>
            <w:r>
              <w:t xml:space="preserve">8,177</w:t>
            </w:r>
          </w:p>
        </w:tc>
      </w:tr>
      <w:tr>
        <w:tc>
          <w:tcPr/>
          <w:p>
            <w:pPr>
              <w:pStyle w:val="Compact"/>
              <w:jc w:val="left"/>
            </w:pPr>
            <w:r>
              <w:t xml:space="preserve">Wife is daughter-in-law of head</w:t>
            </w:r>
          </w:p>
        </w:tc>
        <w:tc>
          <w:tcPr/>
          <w:p>
            <w:pPr>
              <w:pStyle w:val="Compact"/>
              <w:jc w:val="right"/>
            </w:pPr>
            <w:r>
              <w:t xml:space="preserve">414.4 (1.9)</w:t>
            </w:r>
          </w:p>
        </w:tc>
        <w:tc>
          <w:tcPr/>
          <w:p>
            <w:pPr>
              <w:pStyle w:val="Compact"/>
              <w:jc w:val="right"/>
            </w:pPr>
            <w:r>
              <w:t xml:space="preserve">92% (0.1)</w:t>
            </w:r>
          </w:p>
        </w:tc>
        <w:tc>
          <w:tcPr/>
          <w:p>
            <w:pPr>
              <w:pStyle w:val="Compact"/>
              <w:jc w:val="right"/>
            </w:pPr>
            <w:r>
              <w:t xml:space="preserve">382.3 (2.4)</w:t>
            </w:r>
          </w:p>
        </w:tc>
        <w:tc>
          <w:tcPr/>
          <w:p>
            <w:pPr>
              <w:pStyle w:val="Compact"/>
              <w:jc w:val="right"/>
            </w:pPr>
            <w:r>
              <w:t xml:space="preserve">16,965</w:t>
            </w:r>
          </w:p>
        </w:tc>
      </w:tr>
      <w:tr>
        <w:tc>
          <w:tcPr/>
          <w:p>
            <w:pPr>
              <w:pStyle w:val="Compact"/>
              <w:jc w:val="left"/>
            </w:pPr>
            <w:r>
              <w:t xml:space="preserve">Spousal age gap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same age or younger</w:t>
            </w:r>
          </w:p>
        </w:tc>
        <w:tc>
          <w:tcPr/>
          <w:p>
            <w:pPr>
              <w:pStyle w:val="Compact"/>
              <w:jc w:val="right"/>
            </w:pPr>
            <w:r>
              <w:t xml:space="preserve">369.7 (3.9)</w:t>
            </w:r>
          </w:p>
        </w:tc>
        <w:tc>
          <w:tcPr/>
          <w:p>
            <w:pPr>
              <w:pStyle w:val="Compact"/>
              <w:jc w:val="right"/>
            </w:pPr>
            <w:r>
              <w:t xml:space="preserve">91% (0.3)</w:t>
            </w:r>
          </w:p>
        </w:tc>
        <w:tc>
          <w:tcPr/>
          <w:p>
            <w:pPr>
              <w:pStyle w:val="Compact"/>
              <w:jc w:val="right"/>
            </w:pPr>
            <w:r>
              <w:t xml:space="preserve">351.2 (6.4)</w:t>
            </w:r>
          </w:p>
        </w:tc>
        <w:tc>
          <w:tcPr/>
          <w:p>
            <w:pPr>
              <w:pStyle w:val="Compact"/>
              <w:jc w:val="right"/>
            </w:pPr>
            <w:r>
              <w:t xml:space="preserve">3,189</w:t>
            </w:r>
          </w:p>
        </w:tc>
      </w:tr>
      <w:tr>
        <w:tc>
          <w:tcPr/>
          <w:p>
            <w:pPr>
              <w:pStyle w:val="Compact"/>
              <w:jc w:val="left"/>
            </w:pPr>
            <w:r>
              <w:t xml:space="preserve">Husband older by 1-3 years</w:t>
            </w:r>
          </w:p>
        </w:tc>
        <w:tc>
          <w:tcPr/>
          <w:p>
            <w:pPr>
              <w:pStyle w:val="Compact"/>
              <w:jc w:val="right"/>
            </w:pPr>
            <w:r>
              <w:t xml:space="preserve">375.8 (1.5)</w:t>
            </w:r>
          </w:p>
        </w:tc>
        <w:tc>
          <w:tcPr/>
          <w:p>
            <w:pPr>
              <w:pStyle w:val="Compact"/>
              <w:jc w:val="right"/>
            </w:pPr>
            <w:r>
              <w:t xml:space="preserve">91% (0.1)</w:t>
            </w:r>
          </w:p>
        </w:tc>
        <w:tc>
          <w:tcPr/>
          <w:p>
            <w:pPr>
              <w:pStyle w:val="Compact"/>
              <w:jc w:val="right"/>
            </w:pPr>
            <w:r>
              <w:t xml:space="preserve">348.3 (2.0)</w:t>
            </w:r>
          </w:p>
        </w:tc>
        <w:tc>
          <w:tcPr/>
          <w:p>
            <w:pPr>
              <w:pStyle w:val="Compact"/>
              <w:jc w:val="right"/>
            </w:pPr>
            <w:r>
              <w:t xml:space="preserve">42,460</w:t>
            </w:r>
          </w:p>
        </w:tc>
      </w:tr>
      <w:tr>
        <w:tc>
          <w:tcPr/>
          <w:p>
            <w:pPr>
              <w:pStyle w:val="Compact"/>
              <w:jc w:val="left"/>
            </w:pPr>
            <w:r>
              <w:t xml:space="preserve">Husband older by 4-6 years</w:t>
            </w:r>
          </w:p>
        </w:tc>
        <w:tc>
          <w:tcPr/>
          <w:p>
            <w:pPr>
              <w:pStyle w:val="Compact"/>
              <w:jc w:val="right"/>
            </w:pPr>
            <w:r>
              <w:t xml:space="preserve">364.3 (1.4)</w:t>
            </w:r>
          </w:p>
        </w:tc>
        <w:tc>
          <w:tcPr/>
          <w:p>
            <w:pPr>
              <w:pStyle w:val="Compact"/>
              <w:jc w:val="right"/>
            </w:pPr>
            <w:r>
              <w:t xml:space="preserve">91% (0.1)</w:t>
            </w:r>
          </w:p>
        </w:tc>
        <w:tc>
          <w:tcPr/>
          <w:p>
            <w:pPr>
              <w:pStyle w:val="Compact"/>
              <w:jc w:val="right"/>
            </w:pPr>
            <w:r>
              <w:t xml:space="preserve">339.2 (2.0)</w:t>
            </w:r>
          </w:p>
        </w:tc>
        <w:tc>
          <w:tcPr/>
          <w:p>
            <w:pPr>
              <w:pStyle w:val="Compact"/>
              <w:jc w:val="right"/>
            </w:pPr>
            <w:r>
              <w:t xml:space="preserve">38,268</w:t>
            </w:r>
          </w:p>
        </w:tc>
      </w:tr>
      <w:tr>
        <w:tc>
          <w:tcPr/>
          <w:p>
            <w:pPr>
              <w:pStyle w:val="Compact"/>
              <w:jc w:val="left"/>
            </w:pPr>
            <w:r>
              <w:t xml:space="preserve">Husband older by 7-9 years</w:t>
            </w:r>
          </w:p>
        </w:tc>
        <w:tc>
          <w:tcPr/>
          <w:p>
            <w:pPr>
              <w:pStyle w:val="Compact"/>
              <w:jc w:val="right"/>
            </w:pPr>
            <w:r>
              <w:t xml:space="preserve">359.0 (1.9)</w:t>
            </w:r>
          </w:p>
        </w:tc>
        <w:tc>
          <w:tcPr/>
          <w:p>
            <w:pPr>
              <w:pStyle w:val="Compact"/>
              <w:jc w:val="right"/>
            </w:pPr>
            <w:r>
              <w:t xml:space="preserve">91% (0.1)</w:t>
            </w:r>
          </w:p>
        </w:tc>
        <w:tc>
          <w:tcPr/>
          <w:p>
            <w:pPr>
              <w:pStyle w:val="Compact"/>
              <w:jc w:val="right"/>
            </w:pPr>
            <w:r>
              <w:t xml:space="preserve">318.7 (2.8)</w:t>
            </w:r>
          </w:p>
        </w:tc>
        <w:tc>
          <w:tcPr/>
          <w:p>
            <w:pPr>
              <w:pStyle w:val="Compact"/>
              <w:jc w:val="right"/>
            </w:pPr>
            <w:r>
              <w:t xml:space="preserve">13,651</w:t>
            </w:r>
          </w:p>
        </w:tc>
      </w:tr>
      <w:tr>
        <w:tc>
          <w:tcPr/>
          <w:p>
            <w:pPr>
              <w:pStyle w:val="Compact"/>
              <w:jc w:val="left"/>
            </w:pPr>
            <w:r>
              <w:t xml:space="preserve">Husband older by 10+ years</w:t>
            </w:r>
          </w:p>
        </w:tc>
        <w:tc>
          <w:tcPr/>
          <w:p>
            <w:pPr>
              <w:pStyle w:val="Compact"/>
              <w:jc w:val="right"/>
            </w:pPr>
            <w:r>
              <w:t xml:space="preserve">345.6 (2.2)</w:t>
            </w:r>
          </w:p>
        </w:tc>
        <w:tc>
          <w:tcPr/>
          <w:p>
            <w:pPr>
              <w:pStyle w:val="Compact"/>
              <w:jc w:val="right"/>
            </w:pPr>
            <w:r>
              <w:t xml:space="preserve">90% (0.2)</w:t>
            </w:r>
          </w:p>
        </w:tc>
        <w:tc>
          <w:tcPr/>
          <w:p>
            <w:pPr>
              <w:pStyle w:val="Compact"/>
              <w:jc w:val="right"/>
            </w:pPr>
            <w:r>
              <w:t xml:space="preserve">288.1 (3.6)</w:t>
            </w:r>
          </w:p>
        </w:tc>
        <w:tc>
          <w:tcPr/>
          <w:p>
            <w:pPr>
              <w:pStyle w:val="Compact"/>
              <w:jc w:val="right"/>
            </w:pPr>
            <w:r>
              <w:t xml:space="preserve">8,856</w:t>
            </w:r>
          </w:p>
        </w:tc>
      </w:tr>
    </w:tbl>
    <w:bookmarkEnd w:id="37"/>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FSU-clustered SEs in parentheses (share SE in percentage points).</w:t>
      </w:r>
    </w:p>
    <w:bookmarkStart w:id="41" w:name="fig:fig-agegap"/>
    <w:p>
      <w:pPr>
        <w:pStyle w:val="CaptionedFigure"/>
      </w:pPr>
      <w:r>
        <w:drawing>
          <wp:inline>
            <wp:extent cx="4800600" cy="2077254"/>
            <wp:effectExtent b="0" l="0" r="0" t="0"/>
            <wp:docPr descr="" title="" id="39" name="Picture"/>
            <a:graphic>
              <a:graphicData uri="http://schemas.openxmlformats.org/drawingml/2006/picture">
                <pic:pic>
                  <pic:nvPicPr>
                    <pic:cNvPr descr="/private/tmp/build_05/manuscript_files/figure-latex/fig-agegap-1.png" id="40" name="Picture"/>
                    <pic:cNvPicPr>
                      <a:picLocks noChangeArrowheads="1" noChangeAspect="1"/>
                    </pic:cNvPicPr>
                  </pic:nvPicPr>
                  <pic:blipFill>
                    <a:blip r:embed="rId38"/>
                    <a:stretch>
                      <a:fillRect/>
                    </a:stretch>
                  </pic:blipFill>
                  <pic:spPr bwMode="auto">
                    <a:xfrm>
                      <a:off x="0" y="0"/>
                      <a:ext cx="4800600" cy="2077254"/>
                    </a:xfrm>
                    <a:prstGeom prst="rect">
                      <a:avLst/>
                    </a:prstGeom>
                    <a:noFill/>
                    <a:ln w="9525">
                      <a:noFill/>
                      <a:headEnd/>
                      <a:tailEnd/>
                    </a:ln>
                  </pic:spPr>
                </pic:pic>
              </a:graphicData>
            </a:graphic>
          </wp:inline>
        </w:drawing>
      </w:r>
    </w:p>
    <w:p>
      <w:pPr>
        <w:pStyle w:val="ImageCaption"/>
      </w:pPr>
      <w:r>
        <w:t xml:space="preserve">Wife minus husband unpaid minutes per day by spousal age gap, linked couples, with 95% confidence intervals.</w:t>
      </w:r>
    </w:p>
    <w:bookmarkEnd w:id="41"/>
    <w:p>
      <w:pPr>
        <w:pStyle w:val="BodyText"/>
      </w:pPr>
      <w:r>
        <w:t xml:space="preserve">Within couples, the household and the diary day are held constant. Table</w:t>
      </w:r>
      <w:r>
        <w:t xml:space="preserve"> </w:t>
      </w:r>
      <w:hyperlink w:anchor="tab:couple">
        <w:r>
          <w:rPr>
            <w:rStyle w:val="Hyperlink"/>
          </w:rPr>
          <w:t xml:space="preserve">5</w:t>
        </w:r>
      </w:hyperlink>
      <w:r>
        <w:t xml:space="preserve"> </w:t>
      </w:r>
      <w:r>
        <w:t xml:space="preserve">shows that wives do 366.9 minutes (SE 1.1) more unpaid</w:t>
      </w:r>
      <w:r>
        <w:t xml:space="preserve"> </w:t>
      </w:r>
      <w:r>
        <w:t xml:space="preserve">work than their husbands and account for 91% of the couple’s unpaid</w:t>
      </w:r>
      <w:r>
        <w:t xml:space="preserve"> </w:t>
      </w:r>
      <w:r>
        <w:t xml:space="preserve">minutes; husbands do 336.4 minutes (SE 1.5) more employment, and have</w:t>
      </w:r>
      <w:r>
        <w:t xml:space="preserve"> </w:t>
      </w:r>
      <w:r>
        <w:t xml:space="preserve">12.9 minutes (SE 0.9)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(SE 1.6). The gap in couples where the wife has more education than her</w:t>
      </w:r>
      <w:r>
        <w:t xml:space="preserve"> </w:t>
      </w:r>
      <w:r>
        <w:t xml:space="preserve">husband differs from the gap in couples where the husband has more</w:t>
      </w:r>
      <w:r>
        <w:t xml:space="preserve"> </w:t>
      </w:r>
      <w:r>
        <w:t xml:space="preserve">education by 15.7 minutes (SE 2.1). The gap is smaller when the wife is</w:t>
      </w:r>
      <w:r>
        <w:t xml:space="preserve"> </w:t>
      </w:r>
      <w:r>
        <w:t xml:space="preserve">employed but not when she is more educated, so the evidence for H4 is</w:t>
      </w:r>
      <w:r>
        <w:t xml:space="preserve"> </w:t>
      </w:r>
      <w:r>
        <w:t xml:space="preserve">mixed. Even in couples where the wife is employed, the gap remains more</w:t>
      </w:r>
      <w:r>
        <w:t xml:space="preserve"> </w:t>
      </w:r>
      <w:r>
        <w:t xml:space="preserve">than half its average size. These comparisons are descriptive.</w:t>
      </w:r>
      <w:r>
        <w:t xml:space="preserve"> </w:t>
      </w:r>
      <w:r>
        <w:t xml:space="preserve">Employment is chosen jointly with the division of housework, and</w:t>
      </w:r>
      <w:r>
        <w:t xml:space="preserve"> </w:t>
      </w:r>
      <w:r>
        <w:t xml:space="preserve">employed wives also differ in age, education 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(SE 1.9) unadjusted and 11.8 minutes (SE 1.9)</w:t>
      </w:r>
      <w:r>
        <w:t xml:space="preserve"> </w:t>
      </w:r>
      <w:r>
        <w:t xml:space="preserve">after adjustment. The median husband in linked couples is 4 years older</w:t>
      </w:r>
      <w:r>
        <w:t xml:space="preserve"> </w:t>
      </w:r>
      <w:r>
        <w:t xml:space="preserve">than his wife. Figure</w:t>
      </w:r>
      <w:r>
        <w:t xml:space="preserve"> </w:t>
      </w:r>
      <w:hyperlink w:anchor="fig:fig-agegap">
        <w:r>
          <w:rPr>
            <w:rStyle w:val="Hyperlink"/>
          </w:rPr>
          <w:t xml:space="preserve">3</w:t>
        </w:r>
      </w:hyperlink>
      <w:r>
        <w:t xml:space="preserve"> </w:t>
      </w:r>
      <w:r>
        <w:t xml:space="preserve">plots the unpaid-work gap by</w:t>
      </w:r>
      <w:r>
        <w:t xml:space="preserve"> </w:t>
      </w:r>
      <w:r>
        <w:t xml:space="preserve">the spousal age gap. Net of the wife’s age, both spouses’ education and</w:t>
      </w:r>
      <w:r>
        <w:t xml:space="preserve"> </w:t>
      </w:r>
      <w:r>
        <w:t xml:space="preserve">location, each additional year by which the husband is older is</w:t>
      </w:r>
      <w:r>
        <w:t xml:space="preserve"> </w:t>
      </w:r>
      <w:r>
        <w:t xml:space="preserve">associated with a gap that is 0.92 minutes (SE 0.22) larger, and with a</w:t>
      </w:r>
      <w:r>
        <w:t xml:space="preserve"> </w:t>
      </w:r>
      <w:r>
        <w:t xml:space="preserve">wife’s share that is 0.04 percentage points (SE 0.02) lower per year.</w:t>
      </w:r>
      <w:r>
        <w:t xml:space="preserve"> </w:t>
      </w:r>
      <w:r>
        <w:t xml:space="preserve">Larger age gaps go with a more unequal division, consistent with age</w:t>
      </w:r>
      <w:r>
        <w:t xml:space="preserve"> </w:t>
      </w:r>
      <w:r>
        <w:t xml:space="preserve">seniority adding to gender hierarchy in marriage (H4). Because larger</w:t>
      </w:r>
      <w:r>
        <w:t xml:space="preserve"> </w:t>
      </w:r>
      <w:r>
        <w:t xml:space="preserve">age gaps are more common when women marry young, the age gap also stands</w:t>
      </w:r>
      <w:r>
        <w:t xml:space="preserve"> </w:t>
      </w:r>
      <w:r>
        <w:t xml:space="preserve">in for the wife’s age at marriage and its correlates</w:t>
      </w:r>
      <w:r>
        <w:t xml:space="preserve"> </w:t>
      </w:r>
      <w:r>
        <w:t xml:space="preserve">(;</w:t>
      </w:r>
      <w:r>
        <w:t xml:space="preserve"> </w:t>
      </w:r>
      <w:r>
        <w:t xml:space="preserve">).</w:t>
      </w:r>
    </w:p>
    <w:bookmarkEnd w:id="42"/>
    <w:bookmarkStart w:id="44" w:name="widowhood-at-older-ages"/>
    <w:p>
      <w:pPr>
        <w:pStyle w:val="Heading2"/>
      </w:pPr>
      <w:r>
        <w:t xml:space="preserve">Widowhood at older ages</w:t>
      </w:r>
    </w:p>
    <w:bookmarkStart w:id="43" w:name="tab:widow"/>
    <w:p>
      <w:pPr>
        <w:pStyle w:val="TableCaption"/>
      </w:pPr>
      <w:r>
        <w:t xml:space="preserve">Widowed minus married, minutes per day, ages 50–79</w:t>
      </w:r>
    </w:p>
    <w:tbl>
      <w:tblPr>
        <w:tblStyle w:val="Table"/>
        <w:tblW w:type="auto" w:w="0"/>
        <w:tblLook w:firstRow="1" w:lastRow="0" w:firstColumn="0" w:lastColumn="0" w:noHBand="0" w:noVBand="0" w:val="0020"/>
        <w:tblCaption w:val="Widowed minus married, minutes per day, ages 50–79"/>
      </w:tblPr>
      <w:tblGrid>
        <w:gridCol w:w="2640"/>
        <w:gridCol w:w="2640"/>
        <w:gridCol w:w="2640"/>
      </w:tblGrid>
      <w:tr>
        <w:trPr>
          <w:tblHeader w:val="on"/>
        </w:trPr>
        <w:tc>
          <w:tcPr/>
          <w:p>
            <w:pPr>
              <w:pStyle w:val="Compact"/>
              <w:jc w:val="left"/>
            </w:pPr>
            <w:r>
              <w:t xml:space="preserve">Outcome</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Unpaid domestic and care</w:t>
            </w:r>
          </w:p>
        </w:tc>
        <w:tc>
          <w:tcPr/>
          <w:p>
            <w:pPr>
              <w:pStyle w:val="Compact"/>
              <w:jc w:val="right"/>
            </w:pPr>
            <w:r>
              <w:t xml:space="preserve">-73.0*** (1.7)</w:t>
            </w:r>
          </w:p>
        </w:tc>
        <w:tc>
          <w:tcPr/>
          <w:p>
            <w:pPr>
              <w:pStyle w:val="Compact"/>
              <w:jc w:val="right"/>
            </w:pPr>
            <w:r>
              <w:t xml:space="preserve">43.9*** (1.7)</w:t>
            </w:r>
          </w:p>
        </w:tc>
      </w:tr>
      <w:tr>
        <w:tc>
          <w:tcPr/>
          <w:p>
            <w:pPr>
              <w:pStyle w:val="Compact"/>
              <w:jc w:val="left"/>
            </w:pPr>
            <w:r>
              <w:t xml:space="preserve">Employment (incl. travel)</w:t>
            </w:r>
          </w:p>
        </w:tc>
        <w:tc>
          <w:tcPr/>
          <w:p>
            <w:pPr>
              <w:pStyle w:val="Compact"/>
              <w:jc w:val="right"/>
            </w:pPr>
            <w:r>
              <w:t xml:space="preserve">19.7*** (2.0)</w:t>
            </w:r>
          </w:p>
        </w:tc>
        <w:tc>
          <w:tcPr/>
          <w:p>
            <w:pPr>
              <w:pStyle w:val="Compact"/>
              <w:jc w:val="right"/>
            </w:pPr>
            <w:r>
              <w:t xml:space="preserve">-63.4*** (3.7)</w:t>
            </w:r>
          </w:p>
        </w:tc>
      </w:tr>
      <w:tr>
        <w:tc>
          <w:tcPr/>
          <w:p>
            <w:pPr>
              <w:pStyle w:val="Compact"/>
              <w:jc w:val="left"/>
            </w:pPr>
            <w:r>
              <w:t xml:space="preserve">Free time (socialising and leisure)</w:t>
            </w:r>
          </w:p>
        </w:tc>
        <w:tc>
          <w:tcPr/>
          <w:p>
            <w:pPr>
              <w:pStyle w:val="Compact"/>
              <w:jc w:val="right"/>
            </w:pPr>
            <w:r>
              <w:t xml:space="preserve">29.7*** (1.9)</w:t>
            </w:r>
          </w:p>
        </w:tc>
        <w:tc>
          <w:tcPr/>
          <w:p>
            <w:pPr>
              <w:pStyle w:val="Compact"/>
              <w:jc w:val="right"/>
            </w:pPr>
            <w:r>
              <w:t xml:space="preserve">12.6*** (3.0)</w:t>
            </w:r>
          </w:p>
        </w:tc>
      </w:tr>
      <w:tr>
        <w:tc>
          <w:tcPr/>
          <w:p>
            <w:pPr>
              <w:pStyle w:val="Compact"/>
              <w:jc w:val="left"/>
            </w:pPr>
            <w:r>
              <w:t xml:space="preserve">Sleep</w:t>
            </w:r>
          </w:p>
        </w:tc>
        <w:tc>
          <w:tcPr/>
          <w:p>
            <w:pPr>
              <w:pStyle w:val="Compact"/>
              <w:jc w:val="right"/>
            </w:pPr>
            <w:r>
              <w:t xml:space="preserve">25.1*** (1.1)</w:t>
            </w:r>
          </w:p>
        </w:tc>
        <w:tc>
          <w:tcPr/>
          <w:p>
            <w:pPr>
              <w:pStyle w:val="Compact"/>
              <w:jc w:val="right"/>
            </w:pPr>
            <w:r>
              <w:t xml:space="preserve">20.1*** (1.7)</w:t>
            </w:r>
          </w:p>
        </w:tc>
      </w:tr>
      <w:tr>
        <w:tc>
          <w:tcPr/>
          <w:p>
            <w:pPr>
              <w:pStyle w:val="Compact"/>
              <w:jc w:val="left"/>
            </w:pPr>
            <w:r>
              <w:t xml:space="preserve">Socialising</w:t>
            </w:r>
          </w:p>
        </w:tc>
        <w:tc>
          <w:tcPr/>
          <w:p>
            <w:pPr>
              <w:pStyle w:val="Compact"/>
              <w:jc w:val="right"/>
            </w:pPr>
            <w:r>
              <w:t xml:space="preserve">11.8*** (1.1)</w:t>
            </w:r>
          </w:p>
        </w:tc>
        <w:tc>
          <w:tcPr/>
          <w:p>
            <w:pPr>
              <w:pStyle w:val="Compact"/>
              <w:jc w:val="right"/>
            </w:pPr>
            <w:r>
              <w:t xml:space="preserve">5.0*** (1.8)</w:t>
            </w:r>
          </w:p>
        </w:tc>
      </w:tr>
      <w:tr>
        <w:tc>
          <w:tcPr/>
          <w:p>
            <w:pPr>
              <w:pStyle w:val="Compact"/>
              <w:jc w:val="left"/>
            </w:pPr>
            <w:r>
              <w:t xml:space="preserve">Exercise and sport</w:t>
            </w:r>
          </w:p>
        </w:tc>
        <w:tc>
          <w:tcPr/>
          <w:p>
            <w:pPr>
              <w:pStyle w:val="Compact"/>
              <w:jc w:val="right"/>
            </w:pPr>
            <w:r>
              <w:t xml:space="preserve">1.3*** (0.2)</w:t>
            </w:r>
          </w:p>
        </w:tc>
        <w:tc>
          <w:tcPr/>
          <w:p>
            <w:pPr>
              <w:pStyle w:val="Compact"/>
              <w:jc w:val="right"/>
            </w:pPr>
            <w:r>
              <w:t xml:space="preserve">1.3** (0.6)</w:t>
            </w:r>
          </w:p>
        </w:tc>
      </w:tr>
      <w:tr>
        <w:tc>
          <w:tcPr/>
          <w:p>
            <w:pPr>
              <w:pStyle w:val="Compact"/>
              <w:jc w:val="left"/>
            </w:pPr>
            <w:r>
              <w:t xml:space="preserve">Religious practice</w:t>
            </w:r>
          </w:p>
        </w:tc>
        <w:tc>
          <w:tcPr/>
          <w:p>
            <w:pPr>
              <w:pStyle w:val="Compact"/>
              <w:jc w:val="right"/>
            </w:pPr>
            <w:r>
              <w:t xml:space="preserve">2.5*** (0.6)</w:t>
            </w:r>
          </w:p>
        </w:tc>
        <w:tc>
          <w:tcPr/>
          <w:p>
            <w:pPr>
              <w:pStyle w:val="Compact"/>
              <w:jc w:val="right"/>
            </w:pPr>
            <w:r>
              <w:t xml:space="preserve">1.2* (0.7)</w:t>
            </w:r>
          </w:p>
        </w:tc>
      </w:tr>
    </w:tbl>
    <w:bookmarkEnd w:id="43"/>
    <w:p>
      <w:pPr>
        <w:pStyle w:val="BodyText"/>
      </w:pPr>
      <w:r>
        <w:rPr>
          <w:i/>
          <w:iCs/>
        </w:rPr>
        <w:t xml:space="preserve">Notes:</w:t>
      </w:r>
      <w:r>
        <w:t xml:space="preserve"> </w:t>
      </w:r>
      <w:r>
        <w:t xml:space="preserve">Single-year age, state and day-of-week fixed effects; controls for education, urban residence, caste, religion and proxy report. FSU-clustered SEs in parentheses. * p&lt;0.10, ** p&lt;0.05, *** p&lt;0.01.</w:t>
      </w:r>
    </w:p>
    <w:p>
      <w:pPr>
        <w:pStyle w:val="BodyText"/>
      </w:pPr>
      <w:r>
        <w:t xml:space="preserve">Table</w:t>
      </w:r>
      <w:r>
        <w:t xml:space="preserve"> </w:t>
      </w:r>
      <w:hyperlink w:anchor="tab:widow">
        <w:r>
          <w:rPr>
            <w:rStyle w:val="Hyperlink"/>
          </w:rPr>
          <w:t xml:space="preserve">6</w:t>
        </w:r>
      </w:hyperlink>
      <w:r>
        <w:t xml:space="preserve"> </w:t>
      </w:r>
      <w:r>
        <w:t xml:space="preserve">applies the same accounting to the end of</w:t>
      </w:r>
      <w:r>
        <w:t xml:space="preserve"> </w:t>
      </w:r>
      <w:r>
        <w:t xml:space="preserve">marriage. Widowed women do 73.0 minutes (SE 1.7) less unpaid work than</w:t>
      </w:r>
      <w:r>
        <w:t xml:space="preserve"> </w:t>
      </w:r>
      <w:r>
        <w:t xml:space="preserve">married women of the same age, and widowed men 43.9 minutes (SE 1.7)</w:t>
      </w:r>
      <w:r>
        <w:t xml:space="preserve"> </w:t>
      </w:r>
      <w:r>
        <w:t xml:space="preserve">more than married men. This comparison is also selective, since</w:t>
      </w:r>
      <w:r>
        <w:t xml:space="preserve"> </w:t>
      </w:r>
      <w:r>
        <w:t xml:space="preserve">widowhood is related to the spouse’s health, to poverty and to the age</w:t>
      </w:r>
      <w:r>
        <w:t xml:space="preserve"> </w:t>
      </w:r>
      <w:r>
        <w:t xml:space="preserve">gap between spouses, and many widowed Indians live with adult children.</w:t>
      </w:r>
      <w:r>
        <w:t xml:space="preserve"> </w:t>
      </w:r>
      <w:r>
        <w:t xml:space="preserve">It shows which activities differ when a spouse is no longer present, not</w:t>
      </w:r>
      <w:r>
        <w:t xml:space="preserve"> </w:t>
      </w:r>
      <w:r>
        <w:t xml:space="preserve">what widowhood causes.</w:t>
      </w:r>
    </w:p>
    <w:bookmarkEnd w:id="44"/>
    <w:bookmarkStart w:id="46" w:name="robustness"/>
    <w:p>
      <w:pPr>
        <w:pStyle w:val="Heading2"/>
      </w:pPr>
      <w:r>
        <w:t xml:space="preserve">Robustness</w:t>
      </w:r>
    </w:p>
    <w:bookmarkStart w:id="45" w:name="tab:robust"/>
    <w:p>
      <w:pPr>
        <w:pStyle w:val="TableCaption"/>
      </w:pPr>
      <w:r>
        <w:t xml:space="preserve">Married minus never-married unpaid minutes per day: robustness</w:t>
      </w:r>
    </w:p>
    <w:tbl>
      <w:tblPr>
        <w:tblStyle w:val="Table"/>
        <w:tblW w:type="auto" w:w="0"/>
        <w:tblLook w:firstRow="1" w:lastRow="0" w:firstColumn="0" w:lastColumn="0" w:noHBand="0" w:noVBand="0" w:val="0020"/>
        <w:tblCaption w:val="Married minus never-married unpaid minutes per day: robustness"/>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Baseline (ages 20–39)</w:t>
            </w:r>
          </w:p>
        </w:tc>
        <w:tc>
          <w:tcPr/>
          <w:p>
            <w:pPr>
              <w:pStyle w:val="Compact"/>
              <w:jc w:val="right"/>
            </w:pPr>
            <w:r>
              <w:t xml:space="preserve">279.7*** (2.5)</w:t>
            </w:r>
          </w:p>
        </w:tc>
        <w:tc>
          <w:tcPr/>
          <w:p>
            <w:pPr>
              <w:pStyle w:val="Compact"/>
              <w:jc w:val="right"/>
            </w:pPr>
            <w:r>
              <w:t xml:space="preserve">26.2*** (0.9)</w:t>
            </w:r>
          </w:p>
        </w:tc>
      </w:tr>
      <w:tr>
        <w:tc>
          <w:tcPr/>
          <w:p>
            <w:pPr>
              <w:pStyle w:val="Compact"/>
              <w:jc w:val="left"/>
            </w:pPr>
            <w:r>
              <w:t xml:space="preserve">Extended controls (consumption, household size, members 60+)</w:t>
            </w:r>
          </w:p>
        </w:tc>
        <w:tc>
          <w:tcPr/>
          <w:p>
            <w:pPr>
              <w:pStyle w:val="Compact"/>
              <w:jc w:val="right"/>
            </w:pPr>
            <w:r>
              <w:t xml:space="preserve">277.0*** (2.4)</w:t>
            </w:r>
          </w:p>
        </w:tc>
        <w:tc>
          <w:tcPr/>
          <w:p>
            <w:pPr>
              <w:pStyle w:val="Compact"/>
              <w:jc w:val="right"/>
            </w:pPr>
            <w:r>
              <w:t xml:space="preserve">27.0*** (0.9)</w:t>
            </w:r>
          </w:p>
        </w:tc>
      </w:tr>
      <w:tr>
        <w:tc>
          <w:tcPr/>
          <w:p>
            <w:pPr>
              <w:pStyle w:val="Compact"/>
              <w:jc w:val="left"/>
            </w:pPr>
            <w:r>
              <w:t xml:space="preserve">Ages 20–26</w:t>
            </w:r>
          </w:p>
        </w:tc>
        <w:tc>
          <w:tcPr/>
          <w:p>
            <w:pPr>
              <w:pStyle w:val="Compact"/>
              <w:jc w:val="right"/>
            </w:pPr>
            <w:r>
              <w:t xml:space="preserve">267.0*** (2.8)</w:t>
            </w:r>
          </w:p>
        </w:tc>
        <w:tc>
          <w:tcPr/>
          <w:p>
            <w:pPr>
              <w:pStyle w:val="Compact"/>
              <w:jc w:val="right"/>
            </w:pPr>
            <w:r>
              <w:t xml:space="preserve">26.7*** (1.4)</w:t>
            </w:r>
          </w:p>
        </w:tc>
      </w:tr>
      <w:tr>
        <w:tc>
          <w:tcPr/>
          <w:p>
            <w:pPr>
              <w:pStyle w:val="Compact"/>
              <w:jc w:val="left"/>
            </w:pPr>
            <w:r>
              <w:t xml:space="preserve">Ages 20–29</w:t>
            </w:r>
          </w:p>
        </w:tc>
        <w:tc>
          <w:tcPr/>
          <w:p>
            <w:pPr>
              <w:pStyle w:val="Compact"/>
              <w:jc w:val="right"/>
            </w:pPr>
            <w:r>
              <w:t xml:space="preserve">273.0*** (2.6)</w:t>
            </w:r>
          </w:p>
        </w:tc>
        <w:tc>
          <w:tcPr/>
          <w:p>
            <w:pPr>
              <w:pStyle w:val="Compact"/>
              <w:jc w:val="right"/>
            </w:pPr>
            <w:r>
              <w:t xml:space="preserve">26.8*** (1.1)</w:t>
            </w:r>
          </w:p>
        </w:tc>
      </w:tr>
      <w:tr>
        <w:tc>
          <w:tcPr/>
          <w:p>
            <w:pPr>
              <w:pStyle w:val="Compact"/>
              <w:jc w:val="left"/>
            </w:pPr>
            <w:r>
              <w:t xml:space="preserve">Ages 30–39</w:t>
            </w:r>
          </w:p>
        </w:tc>
        <w:tc>
          <w:tcPr/>
          <w:p>
            <w:pPr>
              <w:pStyle w:val="Compact"/>
              <w:jc w:val="right"/>
            </w:pPr>
            <w:r>
              <w:t xml:space="preserve">256.1*** (6.2)</w:t>
            </w:r>
          </w:p>
        </w:tc>
        <w:tc>
          <w:tcPr/>
          <w:p>
            <w:pPr>
              <w:pStyle w:val="Compact"/>
              <w:jc w:val="right"/>
            </w:pPr>
            <w:r>
              <w:t xml:space="preserve">22.9*** (1.5)</w:t>
            </w:r>
          </w:p>
        </w:tc>
      </w:tr>
      <w:tr>
        <w:tc>
          <w:tcPr/>
          <w:p>
            <w:pPr>
              <w:pStyle w:val="Compact"/>
              <w:jc w:val="left"/>
            </w:pPr>
            <w:r>
              <w:t xml:space="preserve">Self-reported diaries only</w:t>
            </w:r>
          </w:p>
        </w:tc>
        <w:tc>
          <w:tcPr/>
          <w:p>
            <w:pPr>
              <w:pStyle w:val="Compact"/>
              <w:jc w:val="right"/>
            </w:pPr>
            <w:r>
              <w:t xml:space="preserve">278.0*** (3.2)</w:t>
            </w:r>
          </w:p>
        </w:tc>
        <w:tc>
          <w:tcPr/>
          <w:p>
            <w:pPr>
              <w:pStyle w:val="Compact"/>
              <w:jc w:val="right"/>
            </w:pPr>
            <w:r>
              <w:t xml:space="preserve">23.4*** (1.3)</w:t>
            </w:r>
          </w:p>
        </w:tc>
      </w:tr>
      <w:tr>
        <w:tc>
          <w:tcPr/>
          <w:p>
            <w:pPr>
              <w:pStyle w:val="Compact"/>
              <w:jc w:val="left"/>
            </w:pPr>
            <w:r>
              <w:t xml:space="preserve">Urban</w:t>
            </w:r>
          </w:p>
        </w:tc>
        <w:tc>
          <w:tcPr/>
          <w:p>
            <w:pPr>
              <w:pStyle w:val="Compact"/>
              <w:jc w:val="right"/>
            </w:pPr>
            <w:r>
              <w:t xml:space="preserve">297.2*** (3.9)</w:t>
            </w:r>
          </w:p>
        </w:tc>
        <w:tc>
          <w:tcPr/>
          <w:p>
            <w:pPr>
              <w:pStyle w:val="Compact"/>
              <w:jc w:val="right"/>
            </w:pPr>
            <w:r>
              <w:t xml:space="preserve">19.8*** (1.6)</w:t>
            </w:r>
          </w:p>
        </w:tc>
      </w:tr>
      <w:tr>
        <w:tc>
          <w:tcPr/>
          <w:p>
            <w:pPr>
              <w:pStyle w:val="Compact"/>
              <w:jc w:val="left"/>
            </w:pPr>
            <w:r>
              <w:t xml:space="preserve">Rural</w:t>
            </w:r>
          </w:p>
        </w:tc>
        <w:tc>
          <w:tcPr/>
          <w:p>
            <w:pPr>
              <w:pStyle w:val="Compact"/>
              <w:jc w:val="right"/>
            </w:pPr>
            <w:r>
              <w:t xml:space="preserve">260.4*** (3.0)</w:t>
            </w:r>
          </w:p>
        </w:tc>
        <w:tc>
          <w:tcPr/>
          <w:p>
            <w:pPr>
              <w:pStyle w:val="Compact"/>
              <w:jc w:val="right"/>
            </w:pPr>
            <w:r>
              <w:t xml:space="preserve">30.2*** (1.2)</w:t>
            </w:r>
          </w:p>
        </w:tc>
      </w:tr>
      <w:tr>
        <w:tc>
          <w:tcPr/>
          <w:p>
            <w:pPr>
              <w:pStyle w:val="Compact"/>
              <w:jc w:val="left"/>
            </w:pPr>
            <w:r>
              <w:t xml:space="preserve">Excluding current students</w:t>
            </w:r>
          </w:p>
        </w:tc>
        <w:tc>
          <w:tcPr/>
          <w:p>
            <w:pPr>
              <w:pStyle w:val="Compact"/>
              <w:jc w:val="right"/>
            </w:pPr>
            <w:r>
              <w:t xml:space="preserve">258.0*** (2.8)</w:t>
            </w:r>
          </w:p>
        </w:tc>
        <w:tc>
          <w:tcPr/>
          <w:p>
            <w:pPr>
              <w:pStyle w:val="Compact"/>
              <w:jc w:val="right"/>
            </w:pPr>
            <w:r>
              <w:t xml:space="preserve">26.0*** (1.0)</w:t>
            </w:r>
          </w:p>
        </w:tc>
      </w:tr>
      <w:tr>
        <w:tc>
          <w:tcPr/>
          <w:p>
            <w:pPr>
              <w:pStyle w:val="Compact"/>
              <w:jc w:val="left"/>
            </w:pPr>
            <w:r>
              <w:t xml:space="preserve">Normal diary days only</w:t>
            </w:r>
          </w:p>
        </w:tc>
        <w:tc>
          <w:tcPr/>
          <w:p>
            <w:pPr>
              <w:pStyle w:val="Compact"/>
              <w:jc w:val="right"/>
            </w:pPr>
            <w:r>
              <w:t xml:space="preserve">287.2*** (2.6)</w:t>
            </w:r>
          </w:p>
        </w:tc>
        <w:tc>
          <w:tcPr/>
          <w:p>
            <w:pPr>
              <w:pStyle w:val="Compact"/>
              <w:jc w:val="right"/>
            </w:pPr>
            <w:r>
              <w:t xml:space="preserve">24.1*** (0.9)</w:t>
            </w:r>
          </w:p>
        </w:tc>
      </w:tr>
    </w:tbl>
    <w:bookmarkEnd w:id="45"/>
    <w:p>
      <w:pPr>
        <w:pStyle w:val="BodyText"/>
      </w:pPr>
      <w:r>
        <w:rPr>
          <w:i/>
          <w:iCs/>
        </w:rPr>
        <w:t xml:space="preserve">Notes:</w:t>
      </w:r>
      <w:r>
        <w:t xml:space="preserve"> </w:t>
      </w:r>
      <w:r>
        <w:t xml:space="preserve">Each row re-estimates the baseline unpaid-work coefficient on the sample or with the controls named. Extended controls add consumption quintile, household size and the number of members aged 60 and above. Normal diary days exclude days the respondent reported as not normal. FSU-clustered SEs in parentheses. * p&lt;0.10, ** p&lt;0.05, *** p&lt;0.01.</w:t>
      </w:r>
    </w:p>
    <w:p>
      <w:pPr>
        <w:pStyle w:val="BodyText"/>
      </w:pPr>
      <w:r>
        <w:t xml:space="preserve">Table</w:t>
      </w:r>
      <w:r>
        <w:t xml:space="preserve"> </w:t>
      </w:r>
      <w:hyperlink w:anchor="tab:robust">
        <w:r>
          <w:rPr>
            <w:rStyle w:val="Hyperlink"/>
          </w:rPr>
          <w:t xml:space="preserve">7</w:t>
        </w:r>
      </w:hyperlink>
      <w:r>
        <w:t xml:space="preserve"> </w:t>
      </w:r>
      <w:r>
        <w:t xml:space="preserve">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It is positive and statistically significant in every</w:t>
      </w:r>
      <w:r>
        <w:t xml:space="preserve"> </w:t>
      </w:r>
      <w:r>
        <w:t xml:space="preserve">specification. Excluding current students removes the group whose time</w:t>
      </w:r>
      <w:r>
        <w:t xml:space="preserve"> </w:t>
      </w:r>
      <w:r>
        <w:t xml:space="preserve">is most mechanically devoted to learning, but student status is itself</w:t>
      </w:r>
      <w:r>
        <w:t xml:space="preserve"> </w:t>
      </w:r>
      <w:r>
        <w:t xml:space="preserve">affected by marriage, so this row is a bound rather than a preferred</w:t>
      </w:r>
      <w:r>
        <w:t xml:space="preserve"> </w:t>
      </w:r>
      <w:r>
        <w:t xml:space="preserve">estimate. Adding household size, older members and consumption changes</w:t>
      </w:r>
      <w:r>
        <w:t xml:space="preserve"> </w:t>
      </w:r>
      <w:r>
        <w:t xml:space="preserve">the coefficient for women from 279.7 to 277.0 minutes, consistent with</w:t>
      </w:r>
      <w:r>
        <w:t xml:space="preserve"> </w:t>
      </w:r>
      <w:r>
        <w:t xml:space="preserve">part of the association running through the household a woman joins at</w:t>
      </w:r>
      <w:r>
        <w:t xml:space="preserve"> </w:t>
      </w:r>
      <w:r>
        <w:t xml:space="preserve">marriage.</w:t>
      </w:r>
    </w:p>
    <w:bookmarkEnd w:id="46"/>
    <w:bookmarkEnd w:id="47"/>
    <w:bookmarkStart w:id="50" w:name="discussion"/>
    <w:p>
      <w:pPr>
        <w:pStyle w:val="Heading1"/>
      </w:pPr>
      <w:r>
        <w:t xml:space="preserve">Discussion</w:t>
      </w:r>
    </w:p>
    <w:p>
      <w:pPr>
        <w:pStyle w:val="FirstParagraph"/>
      </w:pPr>
      <w:r>
        <w:t xml:space="preserve">Because the day is fixed, every additional minute of unpaid work has a</w:t>
      </w:r>
      <w:r>
        <w:t xml:space="preserve"> </w:t>
      </w:r>
      <w:r>
        <w:t xml:space="preserve">source. This paper replaces separate estimates of marriage</w:t>
      </w:r>
      <w:r>
        <w:t xml:space="preserve"> </w:t>
      </w:r>
      <w:r>
        <w:t xml:space="preserve">“penalties”</w:t>
      </w:r>
      <w:r>
        <w:t xml:space="preserve"> </w:t>
      </w:r>
      <w:r>
        <w:t xml:space="preserve">in housework, sleep, social life and exercise with one decomposition in</w:t>
      </w:r>
      <w:r>
        <w:t xml:space="preserve"> </w:t>
      </w:r>
      <w:r>
        <w:t xml:space="preserve">which the parts must add up. In India in 2024, married women aged 20 to</w:t>
      </w:r>
      <w:r>
        <w:t xml:space="preserve"> </w:t>
      </w:r>
      <w:r>
        <w:t xml:space="preserve">39 do substantially more unpaid domestic and care work than</w:t>
      </w:r>
      <w:r>
        <w:t xml:space="preserve"> </w:t>
      </w:r>
      <w:r>
        <w:t xml:space="preserve">never-married women, and the difference is far larger for women than for</w:t>
      </w:r>
      <w:r>
        <w:t xml:space="preserve"> </w:t>
      </w:r>
      <w:r>
        <w:t xml:space="preserve">men. Most of the time comes out of paid work and learning, which fits</w:t>
      </w:r>
      <w:r>
        <w:t xml:space="preserve"> </w:t>
      </w:r>
      <w:r>
        <w:t xml:space="preserve">the specialisation account, but specialisation in India happens against</w:t>
      </w:r>
      <w:r>
        <w:t xml:space="preserve"> </w:t>
      </w:r>
      <w:r>
        <w:t xml:space="preserve">a background of low and falling married women’s employment and strong</w:t>
      </w:r>
      <w:r>
        <w:t xml:space="preserve"> </w:t>
      </w:r>
      <w:r>
        <w:t xml:space="preserve">norms about women’s work outside the home, so it is not necessarily a</w:t>
      </w:r>
      <w:r>
        <w:t xml:space="preserve"> </w:t>
      </w:r>
      <w:r>
        <w:t xml:space="preserve">choice made within the couple.</w:t>
      </w:r>
    </w:p>
    <w:p>
      <w:pPr>
        <w:pStyle w:val="BodyText"/>
      </w:pPr>
      <w:r>
        <w:t xml:space="preserve">The findings speak to three debates. The first concerns how to measure</w:t>
      </w:r>
      <w:r>
        <w:t xml:space="preserve"> </w:t>
      </w:r>
      <w:r>
        <w:t xml:space="preserve">the costs of marriage for women’s time. Studies of single outcomes can</w:t>
      </w:r>
      <w:r>
        <w:t xml:space="preserve"> </w:t>
      </w:r>
      <w:r>
        <w:t xml:space="preserve">find a sleep or leisure penalty without showing that it is the largest</w:t>
      </w:r>
      <w:r>
        <w:t xml:space="preserve"> </w:t>
      </w:r>
      <w:r>
        <w:t xml:space="preserve">adjustment, or can miss that the main adjustment occurs in learning or</w:t>
      </w:r>
      <w:r>
        <w:t xml:space="preserve"> </w:t>
      </w:r>
      <w:r>
        <w:t xml:space="preserve">paid work. The decomposition makes the trade-offs explicit, and it also</w:t>
      </w:r>
      <w:r>
        <w:t xml:space="preserve"> </w:t>
      </w:r>
      <w:r>
        <w:t xml:space="preserve">shows where men’s days change. The second concerns patrilocality. The</w:t>
      </w:r>
      <w:r>
        <w:t xml:space="preserve"> </w:t>
      </w:r>
      <w:r>
        <w:t xml:space="preserve">household roster allows a direct comparison of daughters-in-law with</w:t>
      </w:r>
      <w:r>
        <w:t xml:space="preserve"> </w:t>
      </w:r>
      <w:r>
        <w:t xml:space="preserve">wives who head their own household (or whose husband does). The absence</w:t>
      </w:r>
      <w:r>
        <w:t xml:space="preserve"> </w:t>
      </w:r>
      <w:r>
        <w:t xml:space="preserve">of a detectable difference suggests that whatever restrictions joint</w:t>
      </w:r>
      <w:r>
        <w:t xml:space="preserve"> </w:t>
      </w:r>
      <w:r>
        <w:t xml:space="preserve">households impose on young wives’ autonomy</w:t>
      </w:r>
      <w:r>
        <w:t xml:space="preserve"> </w:t>
      </w:r>
      <w:r>
        <w:t xml:space="preserve">(;</w:t>
      </w:r>
      <w:r>
        <w:t xml:space="preserve"> </w:t>
      </w:r>
      <w:r>
        <w:t xml:space="preserve">) do not</w:t>
      </w:r>
      <w:r>
        <w:t xml:space="preserve"> </w:t>
      </w:r>
      <w:r>
        <w:t xml:space="preserve">show up as additional unpaid minutes on average. The third concerns</w:t>
      </w:r>
      <w:r>
        <w:t xml:space="preserve"> </w:t>
      </w:r>
      <w:r>
        <w:t xml:space="preserve">resources within couples. The smaller gap in couples where the wife is</w:t>
      </w:r>
      <w:r>
        <w:t xml:space="preserve"> </w:t>
      </w:r>
      <w:r>
        <w:t xml:space="preserve">employed fits bargaining and relative-resources theories, but the</w:t>
      </w:r>
      <w:r>
        <w:t xml:space="preserve"> </w:t>
      </w:r>
      <w:r>
        <w:t xml:space="preserve">within-couple gap remains large across all the groups in Table</w:t>
      </w:r>
      <w:r>
        <w:t xml:space="preserve"> </w:t>
      </w:r>
      <w:hyperlink w:anchor="tab:couple">
        <w:r>
          <w:rPr>
            <w:rStyle w:val="Hyperlink"/>
          </w:rPr>
          <w:t xml:space="preserve">5</w:t>
        </w:r>
      </w:hyperlink>
      <w:r>
        <w:t xml:space="preserve">, which is consistent with arguments that gender works</w:t>
      </w:r>
      <w:r>
        <w:t xml:space="preserve"> </w:t>
      </w:r>
      <w:r>
        <w:t xml:space="preserve">at the institutional and interactional levels as well as through the</w:t>
      </w:r>
      <w:r>
        <w:t xml:space="preserve"> </w:t>
      </w:r>
      <w:r>
        <w:t xml:space="preserve">resources of individuals (; ).</w:t>
      </w:r>
    </w:p>
    <w:bookmarkStart w:id="48"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I do not</w:t>
      </w:r>
      <w:r>
        <w:t xml:space="preserve"> </w:t>
      </w:r>
      <w:r>
        <w:t xml:space="preserve">condition on children. Parenthood is a principal channel through which</w:t>
      </w:r>
      <w:r>
        <w:t xml:space="preserve"> </w:t>
      </w:r>
      <w:r>
        <w:t xml:space="preserve">marriage changes time use (; ),</w:t>
      </w:r>
      <w:r>
        <w:t xml:space="preserve"> </w:t>
      </w:r>
      <w:r>
        <w:t xml:space="preserve">and conditioning on it would answer a different question. Panel or</w:t>
      </w:r>
      <w:r>
        <w:t xml:space="preserve"> </w:t>
      </w:r>
      <w:r>
        <w:t xml:space="preserve">retrospective data on the timing of marriage and births would allow an</w:t>
      </w:r>
      <w:r>
        <w:t xml:space="preserve"> </w:t>
      </w:r>
      <w:r>
        <w:t xml:space="preserve">event-study design in the style of Kleven et al.</w:t>
      </w:r>
      <w:r>
        <w:t xml:space="preserve"> </w:t>
      </w:r>
      <w:r>
        <w:t xml:space="preserve">() that separates the two</w:t>
      </w:r>
      <w:r>
        <w:t xml:space="preserve"> </w:t>
      </w:r>
      <w:r>
        <w:t xml:space="preserve">transitions.</w:t>
      </w:r>
    </w:p>
    <w:bookmarkEnd w:id="48"/>
    <w:bookmarkStart w:id="49" w:name="conclusion"/>
    <w:p>
      <w:pPr>
        <w:pStyle w:val="Heading2"/>
      </w:pPr>
      <w:r>
        <w:t xml:space="preserve">Conclusion</w:t>
      </w:r>
    </w:p>
    <w:p>
      <w:pPr>
        <w:pStyle w:val="FirstParagraph"/>
      </w:pPr>
      <w:r>
        <w:t xml:space="preserve">For most Indian women, marriage changes how the day is spent. It adds</w:t>
      </w:r>
      <w:r>
        <w:t xml:space="preserve"> </w:t>
      </w:r>
      <w:r>
        <w:t xml:space="preserve">unpaid domestic and care work on a scale that has no counterpart for</w:t>
      </w:r>
      <w:r>
        <w:t xml:space="preserve"> </w:t>
      </w:r>
      <w:r>
        <w:t xml:space="preserve">men. A time-budget decomposition shows where that work comes from, and</w:t>
      </w:r>
      <w:r>
        <w:t xml:space="preserve"> </w:t>
      </w:r>
      <w:r>
        <w:t xml:space="preserve">the household roster shows how the change depends on whether a young</w:t>
      </w:r>
      <w:r>
        <w:t xml:space="preserve"> </w:t>
      </w:r>
      <w:r>
        <w:t xml:space="preserve">wife joins her husband’s parents’ household and on her standing relative</w:t>
      </w:r>
      <w:r>
        <w:t xml:space="preserve"> </w:t>
      </w:r>
      <w:r>
        <w:t xml:space="preserve">to her husband. Policies that aim to raise married women’s employment,</w:t>
      </w:r>
      <w:r>
        <w:t xml:space="preserve"> </w:t>
      </w:r>
      <w:r>
        <w:t xml:space="preserve">such as childcare, safe transport or flexible work, operate within this</w:t>
      </w:r>
      <w:r>
        <w:t xml:space="preserve"> </w:t>
      </w:r>
      <w:r>
        <w:t xml:space="preserve">budget. They are more likely to succeed if they also reduce the unpaid</w:t>
      </w:r>
      <w:r>
        <w:t xml:space="preserve"> </w:t>
      </w:r>
      <w:r>
        <w:t xml:space="preserve">domestic and care work that marriage adds, since that work otherwise</w:t>
      </w:r>
      <w:r>
        <w:t xml:space="preserve"> </w:t>
      </w:r>
      <w:r>
        <w:t xml:space="preserve">comes out of women’s paid work, learning, leisure or sleep.</w:t>
      </w:r>
    </w:p>
    <w:bookmarkEnd w:id="49"/>
    <w:bookmarkEnd w:id="50"/>
    <w:bookmarkStart w:id="51"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and other AI assistants) were</w:t>
      </w:r>
      <w:r>
        <w:t xml:space="preserve"> </w:t>
      </w:r>
      <w:r>
        <w:t xml:space="preserve">used to assist with writing and debugging analysis code, checking</w:t>
      </w:r>
      <w:r>
        <w:t xml:space="preserve"> </w:t>
      </w:r>
      <w:r>
        <w:t xml:space="preserve">references, and drafting and editing text. The author reviewed and</w:t>
      </w:r>
      <w:r>
        <w:t xml:space="preserve"> </w:t>
      </w:r>
      <w:r>
        <w:t xml:space="preserve">verified all analyses, results, and text, and takes full responsibility</w:t>
      </w:r>
      <w:r>
        <w:t xml:space="preserve"> </w:t>
      </w:r>
      <w:r>
        <w:t xml:space="preserve">for the content.</w:t>
      </w:r>
    </w:p>
    <w:bookmarkEnd w:id="51"/>
    <w:bookmarkStart w:id="52" w:name="data-and-code-availability"/>
    <w:p>
      <w:pPr>
        <w:pStyle w:val="Heading1"/>
      </w:pPr>
      <w:r>
        <w:t xml:space="preserve">Data and code availability</w:t>
      </w:r>
    </w:p>
    <w:p>
      <w:pPr>
        <w:pStyle w:val="FirstParagraph"/>
      </w:pPr>
      <w:r>
        <w:t xml:space="preserve">The Time Use Survey 2024 unit-level data are distributed by the National</w:t>
      </w:r>
      <w:r>
        <w:t xml:space="preserve"> </w:t>
      </w:r>
      <w:r>
        <w:t xml:space="preserve">Statistics Office, Ministry of Statistics and Programme Implementation,</w:t>
      </w:r>
      <w:r>
        <w:t xml:space="preserve"> </w:t>
      </w:r>
      <w:r>
        <w:t xml:space="preserve">Government of India (microdata.gov.in, catalogue 236), to registered</w:t>
      </w:r>
      <w:r>
        <w:t xml:space="preserve"> </w:t>
      </w:r>
      <w:r>
        <w:t xml:space="preserve">users. Code available from the author on request; will be made public on</w:t>
      </w:r>
      <w:r>
        <w:t xml:space="preserve"> </w:t>
      </w:r>
      <w:r>
        <w:t xml:space="preserve">acceptance.</w:t>
      </w:r>
    </w:p>
    <w:bookmarkEnd w:id="52"/>
    <w:bookmarkStart w:id="131" w:name="references"/>
    <w:p>
      <w:pPr>
        <w:pStyle w:val="Heading1"/>
      </w:pPr>
      <w:r>
        <w:t xml:space="preserve">References</w:t>
      </w:r>
    </w:p>
    <w:p>
      <w:pPr>
        <w:pStyle w:val="FirstParagraph"/>
      </w:pPr>
      <w:bookmarkStart w:id="53" w:name="refs"/>
      <w:bookmarkEnd w:id="53"/>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54">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55">
        <w:r>
          <w:rPr>
            <w:rStyle w:val="Hyperlink"/>
          </w:rPr>
          <w:t xml:space="preserve">https://doi.org/10.1080/135457097338799</w:t>
        </w:r>
      </w:hyperlink>
    </w:p>
    <w:p>
      <w:pPr>
        <w:pStyle w:val="BodyText"/>
      </w:pPr>
      <w:r>
        <w:t xml:space="preserve">Aguiar, M., &amp; Hurst, E. (2007). Measuring trends in leisure: The</w:t>
      </w:r>
      <w:r>
        <w:t xml:space="preserve"> </w:t>
      </w:r>
      <w:r>
        <w:t xml:space="preserve">allocation of time over five decades.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122</w:t>
      </w:r>
      <w:r>
        <w:t xml:space="preserve">(3), 969–1006.</w:t>
      </w:r>
      <w:r>
        <w:t xml:space="preserve"> </w:t>
      </w:r>
      <w:hyperlink r:id="rId56">
        <w:r>
          <w:rPr>
            <w:rStyle w:val="Hyperlink"/>
          </w:rPr>
          <w:t xml:space="preserve">https://doi.org/10.1162/qjec.122.3.969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57">
        <w:r>
          <w:rPr>
            <w:rStyle w:val="Hyperlink"/>
          </w:rPr>
          <w:t xml:space="preserve">https://doi.org/10.1162/003355300554881</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58">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59">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Arber, S., Bote, M., &amp; Meadows, R. (2009). Gender and socio-economic</w:t>
      </w:r>
      <w:r>
        <w:t xml:space="preserve"> </w:t>
      </w:r>
      <w:r>
        <w:t xml:space="preserve">patterning of self-reported sleep problems in</w:t>
      </w:r>
      <w:r>
        <w:t xml:space="preserve"> </w:t>
      </w:r>
      <w:r>
        <w:t xml:space="preserve">Britain</w:t>
      </w:r>
      <w:r>
        <w:t xml:space="preserve">.</w:t>
      </w:r>
      <w:r>
        <w:t xml:space="preserve"> </w:t>
      </w:r>
      <w:r>
        <w:rPr>
          <w:i/>
          <w:iCs/>
        </w:rPr>
        <w:t xml:space="preserve">Social</w:t>
      </w:r>
      <w:r>
        <w:rPr>
          <w:i/>
          <w:iCs/>
        </w:rPr>
        <w:t xml:space="preserve"> </w:t>
      </w:r>
      <w:r>
        <w:rPr>
          <w:i/>
          <w:iCs/>
        </w:rPr>
        <w:t xml:space="preserve">Science &amp; Medicine</w:t>
      </w:r>
      <w:r>
        <w:t xml:space="preserve">,</w:t>
      </w:r>
      <w:r>
        <w:t xml:space="preserve"> </w:t>
      </w:r>
      <w:r>
        <w:rPr>
          <w:i/>
          <w:iCs/>
        </w:rPr>
        <w:t xml:space="preserve">68</w:t>
      </w:r>
      <w:r>
        <w:t xml:space="preserve">(2), 281–289.</w:t>
      </w:r>
      <w:r>
        <w:t xml:space="preserve"> </w:t>
      </w:r>
      <w:hyperlink r:id="rId60">
        <w:r>
          <w:rPr>
            <w:rStyle w:val="Hyperlink"/>
          </w:rPr>
          <w:t xml:space="preserve">https://doi.org/10.1016/j.socscimed.2008.10.016</w:t>
        </w:r>
      </w:hyperlink>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61">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62">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63">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64">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65">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66">
        <w:r>
          <w:rPr>
            <w:rStyle w:val="Hyperlink"/>
          </w:rPr>
          <w:t xml:space="preserve">https://doi.org/10.1093/qje/qjv001</w:t>
        </w:r>
      </w:hyperlink>
    </w:p>
    <w:p>
      <w:pPr>
        <w:pStyle w:val="BodyText"/>
      </w:pPr>
      <w:r>
        <w:t xml:space="preserve">Bianchi, S. M., Milkie, M. A., Sayer, L. C., &amp; Robinson, J. P. (2000).</w:t>
      </w:r>
      <w:r>
        <w:t xml:space="preserve"> </w:t>
      </w:r>
      <w:r>
        <w:t xml:space="preserve">Is anyone doing the housework? Trends in the gender division of</w:t>
      </w:r>
      <w:r>
        <w:t xml:space="preserve"> </w:t>
      </w:r>
      <w:r>
        <w:t xml:space="preserve">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67">
        <w:r>
          <w:rPr>
            <w:rStyle w:val="Hyperlink"/>
          </w:rPr>
          <w:t xml:space="preserve">https://doi.org/10.2307/2675569</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68">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69">
        <w:r>
          <w:rPr>
            <w:rStyle w:val="Hyperlink"/>
          </w:rPr>
          <w:t xml:space="preserve">https://doi.org/10.1086/378341</w:t>
        </w:r>
      </w:hyperlink>
    </w:p>
    <w:p>
      <w:pPr>
        <w:pStyle w:val="BodyText"/>
      </w:pPr>
      <w:r>
        <w:t xml:space="preserve">Bittman, M., &amp; Wajcman, J. (2000). The rush hour: The character of</w:t>
      </w:r>
      <w:r>
        <w:t xml:space="preserve"> </w:t>
      </w:r>
      <w:r>
        <w:t xml:space="preserve">leisure time and gender equity.</w:t>
      </w:r>
      <w:r>
        <w:t xml:space="preserve"> </w:t>
      </w:r>
      <w:r>
        <w:rPr>
          <w:i/>
          <w:iCs/>
        </w:rPr>
        <w:t xml:space="preserve">Social Forces</w:t>
      </w:r>
      <w:r>
        <w:t xml:space="preserve">,</w:t>
      </w:r>
      <w:r>
        <w:t xml:space="preserve"> </w:t>
      </w:r>
      <w:r>
        <w:rPr>
          <w:i/>
          <w:iCs/>
        </w:rPr>
        <w:t xml:space="preserve">79</w:t>
      </w:r>
      <w:r>
        <w:t xml:space="preserve">(1),</w:t>
      </w:r>
      <w:r>
        <w:t xml:space="preserve"> </w:t>
      </w:r>
      <w:r>
        <w:t xml:space="preserve">165–189.</w:t>
      </w:r>
      <w:r>
        <w:t xml:space="preserve"> </w:t>
      </w:r>
      <w:hyperlink r:id="rId70">
        <w:r>
          <w:rPr>
            <w:rStyle w:val="Hyperlink"/>
          </w:rPr>
          <w:t xml:space="preserve">https://doi.org/10.2307/2675568</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71">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72">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73">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74">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75">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76">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r>
        <w:t xml:space="preserve"> </w:t>
      </w:r>
      <w:hyperlink r:id="rId77">
        <w:r>
          <w:rPr>
            <w:rStyle w:val="Hyperlink"/>
          </w:rPr>
          <w:t xml:space="preserve">https://doi.org/10.2307/3710623</w:t>
        </w:r>
      </w:hyperlink>
    </w:p>
    <w:p>
      <w:pPr>
        <w:pStyle w:val="BodyText"/>
      </w:pPr>
      <w:r>
        <w:t xml:space="preserve">Davis, S. N., &amp; Greenstein, T. N. (2009). Gender ideology: Components,</w:t>
      </w:r>
      <w:r>
        <w:t xml:space="preserve"> </w:t>
      </w:r>
      <w:r>
        <w:t xml:space="preserve">predictors, and consequences.</w:t>
      </w:r>
      <w:r>
        <w:t xml:space="preserve"> </w:t>
      </w:r>
      <w:r>
        <w:rPr>
          <w:i/>
          <w:iCs/>
        </w:rPr>
        <w:t xml:space="preserve">Annual Review of Sociology</w:t>
      </w:r>
      <w:r>
        <w:t xml:space="preserve">,</w:t>
      </w:r>
      <w:r>
        <w:t xml:space="preserve"> </w:t>
      </w:r>
      <w:r>
        <w:rPr>
          <w:i/>
          <w:iCs/>
        </w:rPr>
        <w:t xml:space="preserve">35</w:t>
      </w:r>
      <w:r>
        <w:t xml:space="preserve">, 87–105.</w:t>
      </w:r>
      <w:r>
        <w:t xml:space="preserve"> </w:t>
      </w:r>
      <w:hyperlink r:id="rId78">
        <w:r>
          <w:rPr>
            <w:rStyle w:val="Hyperlink"/>
          </w:rPr>
          <w:t xml:space="preserve">https://doi.org/10.1146/annurev-soc-070308-115920</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79">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80">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81">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82">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83">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84">
        <w:r>
          <w:rPr>
            <w:rStyle w:val="Hyperlink"/>
          </w:rPr>
          <w:t xml:space="preserve">https://doi.org/10.1086/668282</w:t>
        </w:r>
      </w:hyperlink>
    </w:p>
    <w:p>
      <w:pPr>
        <w:pStyle w:val="BodyText"/>
      </w:pPr>
      <w:r>
        <w:t xml:space="preserve">Evertsson, M., &amp; Nermo, M. (2004). Dependence within families and the</w:t>
      </w:r>
      <w:r>
        <w:t xml:space="preserve"> </w:t>
      </w:r>
      <w:r>
        <w:t xml:space="preserve">division of labor: Comparing</w:t>
      </w:r>
      <w:r>
        <w:t xml:space="preserve"> </w:t>
      </w:r>
      <w:r>
        <w:t xml:space="preserve">Sweden</w:t>
      </w:r>
      <w:r>
        <w:t xml:space="preserve"> </w:t>
      </w:r>
      <w:r>
        <w:t xml:space="preserve">and the</w:t>
      </w:r>
      <w:r>
        <w:t xml:space="preserve"> </w:t>
      </w:r>
      <w:r>
        <w:t xml:space="preserve">United States</w:t>
      </w:r>
      <w:r>
        <w:t xml:space="preserve">.</w:t>
      </w:r>
      <w:r>
        <w:t xml:space="preserve"> </w:t>
      </w:r>
      <w:r>
        <w:rPr>
          <w:i/>
          <w:iCs/>
        </w:rPr>
        <w:t xml:space="preserve">Journal of Marriage and Family</w:t>
      </w:r>
      <w:r>
        <w:t xml:space="preserve">,</w:t>
      </w:r>
      <w:r>
        <w:t xml:space="preserve"> </w:t>
      </w:r>
      <w:r>
        <w:rPr>
          <w:i/>
          <w:iCs/>
        </w:rPr>
        <w:t xml:space="preserve">66</w:t>
      </w:r>
      <w:r>
        <w:t xml:space="preserve">(5), 1272–1286.</w:t>
      </w:r>
      <w:r>
        <w:t xml:space="preserve"> </w:t>
      </w:r>
      <w:hyperlink r:id="rId85">
        <w:r>
          <w:rPr>
            <w:rStyle w:val="Hyperlink"/>
          </w:rPr>
          <w:t xml:space="preserve">https://doi.org/10.1111/j.0022-2445.2004.00092.x</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86">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87">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Fuwa, M. (2004). Macro-level gender inequality and the division of</w:t>
      </w:r>
      <w:r>
        <w:t xml:space="preserve"> </w:t>
      </w:r>
      <w:r>
        <w:t xml:space="preserve">household labor in 22 countries.</w:t>
      </w:r>
      <w:r>
        <w:t xml:space="preserve"> </w:t>
      </w:r>
      <w:r>
        <w:rPr>
          <w:i/>
          <w:iCs/>
        </w:rPr>
        <w:t xml:space="preserve">American Sociological Review</w:t>
      </w:r>
      <w:r>
        <w:t xml:space="preserve">,</w:t>
      </w:r>
      <w:r>
        <w:t xml:space="preserve"> </w:t>
      </w:r>
      <w:r>
        <w:rPr>
          <w:i/>
          <w:iCs/>
        </w:rPr>
        <w:t xml:space="preserve">69</w:t>
      </w:r>
      <w:r>
        <w:t xml:space="preserve">(6), 751–767.</w:t>
      </w:r>
      <w:r>
        <w:t xml:space="preserve"> </w:t>
      </w:r>
      <w:hyperlink r:id="rId88">
        <w:r>
          <w:rPr>
            <w:rStyle w:val="Hyperlink"/>
          </w:rPr>
          <w:t xml:space="preserve">https://doi.org/10.1177/000312240406900601</w:t>
        </w:r>
      </w:hyperlink>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Gimenez-Nadal, J. I., &amp; Sevilla, A. (2012). Trends in time allocation:</w:t>
      </w:r>
      <w:r>
        <w:t xml:space="preserve"> </w:t>
      </w:r>
      <w:r>
        <w:t xml:space="preserve">A cross-country analysis.</w:t>
      </w:r>
      <w:r>
        <w:t xml:space="preserve"> </w:t>
      </w:r>
      <w:r>
        <w:rPr>
          <w:i/>
          <w:iCs/>
        </w:rPr>
        <w:t xml:space="preserve">European Economic Review</w:t>
      </w:r>
      <w:r>
        <w:t xml:space="preserve">,</w:t>
      </w:r>
      <w:r>
        <w:t xml:space="preserve"> </w:t>
      </w:r>
      <w:r>
        <w:rPr>
          <w:i/>
          <w:iCs/>
        </w:rPr>
        <w:t xml:space="preserve">56</w:t>
      </w:r>
      <w:r>
        <w:t xml:space="preserve">(6),</w:t>
      </w:r>
      <w:r>
        <w:t xml:space="preserve"> </w:t>
      </w:r>
      <w:r>
        <w:t xml:space="preserve">1338–1359.</w:t>
      </w:r>
      <w:r>
        <w:t xml:space="preserve"> </w:t>
      </w:r>
      <w:hyperlink r:id="rId89">
        <w:r>
          <w:rPr>
            <w:rStyle w:val="Hyperlink"/>
          </w:rPr>
          <w:t xml:space="preserve">https://doi.org/10.1016/j.euroecorev.2012.02.011</w:t>
        </w:r>
      </w:hyperlink>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90">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91">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92">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93">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94">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95">
        <w:r>
          <w:rPr>
            <w:rStyle w:val="Hyperlink"/>
          </w:rPr>
          <w:t xml:space="preserve">https://doi.org/10.1080/13545701.2011.622289</w:t>
        </w:r>
      </w:hyperlink>
    </w:p>
    <w:p>
      <w:pPr>
        <w:pStyle w:val="BodyText"/>
      </w:pPr>
      <w:r>
        <w:t xml:space="preserve">Hook, J. L. (2006). Care in context: Men’s unpaid work in 20 countries,</w:t>
      </w:r>
      <w:r>
        <w:t xml:space="preserve"> </w:t>
      </w:r>
      <w:r>
        <w:t xml:space="preserve">1965–2003.</w:t>
      </w:r>
      <w:r>
        <w:t xml:space="preserve"> </w:t>
      </w:r>
      <w:r>
        <w:rPr>
          <w:i/>
          <w:iCs/>
        </w:rPr>
        <w:t xml:space="preserve">American Sociological Review</w:t>
      </w:r>
      <w:r>
        <w:t xml:space="preserve">,</w:t>
      </w:r>
      <w:r>
        <w:t xml:space="preserve"> </w:t>
      </w:r>
      <w:r>
        <w:rPr>
          <w:i/>
          <w:iCs/>
        </w:rPr>
        <w:t xml:space="preserve">71</w:t>
      </w:r>
      <w:r>
        <w:t xml:space="preserve">(4), 639–660.</w:t>
      </w:r>
      <w:r>
        <w:t xml:space="preserve"> </w:t>
      </w:r>
      <w:hyperlink r:id="rId96">
        <w:r>
          <w:rPr>
            <w:rStyle w:val="Hyperlink"/>
          </w:rPr>
          <w:t xml:space="preserve">https://doi.org/10.1177/000312240607100406</w:t>
        </w:r>
      </w:hyperlink>
    </w:p>
    <w:p>
      <w:pPr>
        <w:pStyle w:val="BodyText"/>
      </w:pPr>
      <w:r>
        <w:t xml:space="preserve">Hook, J. L. (2010). Gender inequality in the welfare state: Sex</w:t>
      </w:r>
      <w:r>
        <w:t xml:space="preserve"> </w:t>
      </w:r>
      <w:r>
        <w:t xml:space="preserve">segregation in housework, 1965–2003.</w:t>
      </w:r>
      <w:r>
        <w:t xml:space="preserve"> </w:t>
      </w:r>
      <w:r>
        <w:rPr>
          <w:i/>
          <w:iCs/>
        </w:rPr>
        <w:t xml:space="preserve">American Journal of</w:t>
      </w:r>
      <w:r>
        <w:rPr>
          <w:i/>
          <w:iCs/>
        </w:rPr>
        <w:t xml:space="preserve"> </w:t>
      </w:r>
      <w:r>
        <w:rPr>
          <w:i/>
          <w:iCs/>
        </w:rPr>
        <w:t xml:space="preserve">Sociology</w:t>
      </w:r>
      <w:r>
        <w:t xml:space="preserve">,</w:t>
      </w:r>
      <w:r>
        <w:t xml:space="preserve"> </w:t>
      </w:r>
      <w:r>
        <w:rPr>
          <w:i/>
          <w:iCs/>
        </w:rPr>
        <w:t xml:space="preserve">115</w:t>
      </w:r>
      <w:r>
        <w:t xml:space="preserve">(5), 1480–1523.</w:t>
      </w:r>
      <w:r>
        <w:t xml:space="preserve"> </w:t>
      </w:r>
      <w:hyperlink r:id="rId97">
        <w:r>
          <w:rPr>
            <w:rStyle w:val="Hyperlink"/>
          </w:rPr>
          <w:t xml:space="preserve">https://doi.org/10.1086/651384</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98">
        <w:r>
          <w:rPr>
            <w:rStyle w:val="Hyperlink"/>
          </w:rPr>
          <w:t xml:space="preserve">https://doi.org/10.1162/003465304323023651</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99">
        <w:r>
          <w:rPr>
            <w:rStyle w:val="Hyperlink"/>
          </w:rPr>
          <w:t xml:space="preserve">https://doi.org/10.1057/s41308-021-00140-w</w:t>
        </w:r>
      </w:hyperlink>
    </w:p>
    <w:p>
      <w:pPr>
        <w:pStyle w:val="BodyText"/>
      </w:pPr>
      <w:r>
        <w:t xml:space="preserve">Jejeebhoy, S. J., &amp; Sathar, Z. A. (2001). Women’s autonomy in</w:t>
      </w:r>
      <w:r>
        <w:t xml:space="preserve"> </w:t>
      </w:r>
      <w:r>
        <w:t xml:space="preserve">India</w:t>
      </w:r>
      <w:r>
        <w:t xml:space="preserve"> </w:t>
      </w:r>
      <w:r>
        <w:t xml:space="preserve">and</w:t>
      </w:r>
      <w:r>
        <w:t xml:space="preserve"> </w:t>
      </w:r>
      <w:r>
        <w:t xml:space="preserve">Pakistan</w:t>
      </w:r>
      <w:r>
        <w:t xml:space="preserve">: The influence of religion and region.</w:t>
      </w:r>
      <w:r>
        <w:t xml:space="preserve"> </w:t>
      </w:r>
      <w:r>
        <w:rPr>
          <w:i/>
          <w:iCs/>
        </w:rPr>
        <w:t xml:space="preserve">Population</w:t>
      </w:r>
      <w:r>
        <w:rPr>
          <w:i/>
          <w:iCs/>
        </w:rPr>
        <w:t xml:space="preserve"> </w:t>
      </w:r>
      <w:r>
        <w:rPr>
          <w:i/>
          <w:iCs/>
        </w:rPr>
        <w:t xml:space="preserve">and Development Review</w:t>
      </w:r>
      <w:r>
        <w:t xml:space="preserve">,</w:t>
      </w:r>
      <w:r>
        <w:t xml:space="preserve"> </w:t>
      </w:r>
      <w:r>
        <w:rPr>
          <w:i/>
          <w:iCs/>
        </w:rPr>
        <w:t xml:space="preserve">27</w:t>
      </w:r>
      <w:r>
        <w:t xml:space="preserve">(4), 687–712.</w:t>
      </w:r>
      <w:r>
        <w:t xml:space="preserve"> </w:t>
      </w:r>
      <w:hyperlink r:id="rId100">
        <w:r>
          <w:rPr>
            <w:rStyle w:val="Hyperlink"/>
          </w:rPr>
          <w:t xml:space="preserve">https://doi.org/10.1111/j.1728-4457.2001.00687.x</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101">
        <w:r>
          <w:rPr>
            <w:rStyle w:val="Hyperlink"/>
          </w:rPr>
          <w:t xml:space="preserve">https://doi.org/10.1093/qje/qjs002</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 M. Y., Sullivan, O., &amp; Gershuny, J. (2011). Gender convergence in</w:t>
      </w:r>
      <w:r>
        <w:t xml:space="preserve"> </w:t>
      </w:r>
      <w:r>
        <w:t xml:space="preserve">domestic work: Discerning the effects of interactional and institutional</w:t>
      </w:r>
      <w:r>
        <w:t xml:space="preserve"> </w:t>
      </w:r>
      <w:r>
        <w:t xml:space="preserve">barriers from large-scale data.</w:t>
      </w:r>
      <w:r>
        <w:t xml:space="preserve"> </w:t>
      </w:r>
      <w:r>
        <w:rPr>
          <w:i/>
          <w:iCs/>
        </w:rPr>
        <w:t xml:space="preserve">Sociology</w:t>
      </w:r>
      <w:r>
        <w:t xml:space="preserve">,</w:t>
      </w:r>
      <w:r>
        <w:t xml:space="preserve"> </w:t>
      </w:r>
      <w:r>
        <w:rPr>
          <w:i/>
          <w:iCs/>
        </w:rPr>
        <w:t xml:space="preserve">45</w:t>
      </w:r>
      <w:r>
        <w:t xml:space="preserve">(2),</w:t>
      </w:r>
      <w:r>
        <w:t xml:space="preserve"> </w:t>
      </w:r>
      <w:r>
        <w:t xml:space="preserve">234–251.</w:t>
      </w:r>
      <w:r>
        <w:t xml:space="preserve"> </w:t>
      </w:r>
      <w:hyperlink r:id="rId102">
        <w:r>
          <w:rPr>
            <w:rStyle w:val="Hyperlink"/>
          </w:rPr>
          <w:t xml:space="preserve">https://doi.org/10.1177/0038038510394014</w:t>
        </w:r>
      </w:hyperlink>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103">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104">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105">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106">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107">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108">
        <w:r>
          <w:rPr>
            <w:rStyle w:val="Hyperlink"/>
          </w:rPr>
          <w:t xml:space="preserve">https://doi.org/10.1086/261912</w:t>
        </w:r>
      </w:hyperlink>
    </w:p>
    <w:p>
      <w:pPr>
        <w:pStyle w:val="BodyText"/>
      </w:pPr>
      <w:r>
        <w:t xml:space="preserve">Lundberg, S., &amp; Pollak, R. A. (1996). Bargaining and distribution in</w:t>
      </w:r>
      <w:r>
        <w:t xml:space="preserve"> </w:t>
      </w:r>
      <w:r>
        <w:t xml:space="preserve">marriage.</w:t>
      </w:r>
      <w:r>
        <w:t xml:space="preserve"> </w:t>
      </w:r>
      <w:r>
        <w:rPr>
          <w:i/>
          <w:iCs/>
        </w:rPr>
        <w:t xml:space="preserve">Journal of Economic Perspectives</w:t>
      </w:r>
      <w:r>
        <w:t xml:space="preserve">,</w:t>
      </w:r>
      <w:r>
        <w:t xml:space="preserve"> </w:t>
      </w:r>
      <w:r>
        <w:rPr>
          <w:i/>
          <w:iCs/>
        </w:rPr>
        <w:t xml:space="preserve">10</w:t>
      </w:r>
      <w:r>
        <w:t xml:space="preserve">(4),</w:t>
      </w:r>
      <w:r>
        <w:t xml:space="preserve"> </w:t>
      </w:r>
      <w:r>
        <w:t xml:space="preserve">139–158.</w:t>
      </w:r>
      <w:r>
        <w:t xml:space="preserve"> </w:t>
      </w:r>
      <w:hyperlink r:id="rId109">
        <w:r>
          <w:rPr>
            <w:rStyle w:val="Hyperlink"/>
          </w:rPr>
          <w:t xml:space="preserve">https://doi.org/10.1257/jep.10.4.139</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110">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111">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112">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113">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114">
        <w:r>
          <w:rPr>
            <w:rStyle w:val="Hyperlink"/>
          </w:rPr>
          <w:t xml:space="preserve">https://doi.org/10.1016/j.worlddev.2017.05.003</w:t>
        </w:r>
      </w:hyperlink>
    </w:p>
    <w:p>
      <w:pPr>
        <w:pStyle w:val="BodyText"/>
      </w:pPr>
      <w:r>
        <w:t xml:space="preserve">National Statistics Office. (2025).</w:t>
      </w:r>
      <w:r>
        <w:t xml:space="preserve"> </w:t>
      </w:r>
      <w:r>
        <w:rPr>
          <w:i/>
          <w:iCs/>
        </w:rPr>
        <w:t xml:space="preserve">Time use survey</w:t>
      </w:r>
      <w:r>
        <w:rPr>
          <w:i/>
          <w:iCs/>
        </w:rPr>
        <w:t xml:space="preserve"> </w:t>
      </w:r>
      <w:r>
        <w:rPr>
          <w:i/>
          <w:iCs/>
        </w:rPr>
        <w:t xml:space="preserve">(</w:t>
      </w:r>
      <w:r>
        <w:rPr>
          <w:i/>
          <w:iCs/>
        </w:rPr>
        <w:t xml:space="preserve">January–December</w:t>
      </w:r>
      <w:r>
        <w:rPr>
          <w:i/>
          <w:iCs/>
        </w:rPr>
        <w:t xml:space="preserve"> </w:t>
      </w:r>
      <w:r>
        <w:rPr>
          <w:i/>
          <w:iCs/>
        </w:rPr>
        <w:t xml:space="preserve">2024)</w:t>
      </w:r>
      <w:r>
        <w:t xml:space="preserve">. Ministry of Statistics; Programme</w:t>
      </w:r>
      <w:r>
        <w:t xml:space="preserve"> </w:t>
      </w:r>
      <w:r>
        <w:t xml:space="preserve">Implementation, Government of India.</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115">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116">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117">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118">
        <w:r>
          <w:rPr>
            <w:rStyle w:val="Hyperlink"/>
          </w:rPr>
          <w:t xml:space="preserve">https://doi.org/10.1093/biomet/70.1.41</w:t>
        </w:r>
      </w:hyperlink>
    </w:p>
    <w:p>
      <w:pPr>
        <w:pStyle w:val="BodyText"/>
      </w:pPr>
      <w:r>
        <w:t xml:space="preserve">Ross, C. E., Mirowsky, J., &amp; Goldsteen, K. (1990). The impact of the</w:t>
      </w:r>
      <w:r>
        <w:t xml:space="preserve"> </w:t>
      </w:r>
      <w:r>
        <w:t xml:space="preserve">family on health: The decade in review.</w:t>
      </w:r>
      <w:r>
        <w:t xml:space="preserve"> </w:t>
      </w:r>
      <w:r>
        <w:rPr>
          <w:i/>
          <w:iCs/>
        </w:rPr>
        <w:t xml:space="preserve">Journal of Marriage and</w:t>
      </w:r>
      <w:r>
        <w:rPr>
          <w:i/>
          <w:iCs/>
        </w:rPr>
        <w:t xml:space="preserve"> </w:t>
      </w:r>
      <w:r>
        <w:rPr>
          <w:i/>
          <w:iCs/>
        </w:rPr>
        <w:t xml:space="preserve">the Family</w:t>
      </w:r>
      <w:r>
        <w:t xml:space="preserve">,</w:t>
      </w:r>
      <w:r>
        <w:t xml:space="preserve"> </w:t>
      </w:r>
      <w:r>
        <w:rPr>
          <w:i/>
          <w:iCs/>
        </w:rPr>
        <w:t xml:space="preserve">52</w:t>
      </w:r>
      <w:r>
        <w:t xml:space="preserve">(4), 1059–1078.</w:t>
      </w:r>
      <w:r>
        <w:t xml:space="preserve"> </w:t>
      </w:r>
      <w:hyperlink r:id="rId119">
        <w:r>
          <w:rPr>
            <w:rStyle w:val="Hyperlink"/>
          </w:rPr>
          <w:t xml:space="preserve">https://doi.org/10.2307/353319</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120">
        <w:r>
          <w:rPr>
            <w:rStyle w:val="Hyperlink"/>
          </w:rPr>
          <w:t xml:space="preserve">https://doi.org/10.1177/0265407515597564</w:t>
        </w:r>
      </w:hyperlink>
    </w:p>
    <w:p>
      <w:pPr>
        <w:pStyle w:val="BodyText"/>
      </w:pPr>
      <w:r>
        <w:t xml:space="preserve">Sayer, L. C. (2005). Gender, time and inequality: Trends in women’s and</w:t>
      </w:r>
      <w:r>
        <w:t xml:space="preserve"> </w:t>
      </w:r>
      <w:r>
        <w:t xml:space="preserve">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121">
        <w:r>
          <w:rPr>
            <w:rStyle w:val="Hyperlink"/>
          </w:rPr>
          <w:t xml:space="preserve">https://doi.org/10.1353/sof.2005.0126</w:t>
        </w:r>
      </w:hyperlink>
    </w:p>
    <w:p>
      <w:pPr>
        <w:pStyle w:val="BodyText"/>
      </w:pPr>
      <w:r>
        <w:t xml:space="preserve">Schneider, D. (2011). Market earnings and household work: New tests of</w:t>
      </w:r>
      <w:r>
        <w:t xml:space="preserve"> </w:t>
      </w:r>
      <w:r>
        <w:t xml:space="preserve">gender performance theory.</w:t>
      </w:r>
      <w:r>
        <w:t xml:space="preserve"> </w:t>
      </w:r>
      <w:r>
        <w:rPr>
          <w:i/>
          <w:iCs/>
        </w:rPr>
        <w:t xml:space="preserve">Journal of Marriage and Family</w:t>
      </w:r>
      <w:r>
        <w:t xml:space="preserve">,</w:t>
      </w:r>
      <w:r>
        <w:t xml:space="preserve"> </w:t>
      </w:r>
      <w:r>
        <w:rPr>
          <w:i/>
          <w:iCs/>
        </w:rPr>
        <w:t xml:space="preserve">73</w:t>
      </w:r>
      <w:r>
        <w:t xml:space="preserve">(4), 845–860.</w:t>
      </w:r>
      <w:r>
        <w:t xml:space="preserve"> </w:t>
      </w:r>
      <w:hyperlink r:id="rId122">
        <w:r>
          <w:rPr>
            <w:rStyle w:val="Hyperlink"/>
          </w:rPr>
          <w:t xml:space="preserve">https://doi.org/10.1111/j.1741-3737.2011.00851.x</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123">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124">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25">
        <w:r>
          <w:rPr>
            <w:rStyle w:val="Hyperlink"/>
          </w:rPr>
          <w:t xml:space="preserve">https://doi.org/10.2307/2095937</w:t>
        </w:r>
      </w:hyperlink>
    </w:p>
    <w:p>
      <w:pPr>
        <w:pStyle w:val="BodyText"/>
      </w:pPr>
      <w:r>
        <w:t xml:space="preserve">Umberson, D. (1987). Family status and health behaviors: Social control</w:t>
      </w:r>
      <w:r>
        <w:t xml:space="preserve"> </w:t>
      </w:r>
      <w:r>
        <w:t xml:space="preserve">as a dimension of social integration.</w:t>
      </w:r>
      <w:r>
        <w:t xml:space="preserve"> </w:t>
      </w:r>
      <w:r>
        <w:rPr>
          <w:i/>
          <w:iCs/>
        </w:rPr>
        <w:t xml:space="preserve">Journal of Health and Social</w:t>
      </w:r>
      <w:r>
        <w:rPr>
          <w:i/>
          <w:iCs/>
        </w:rPr>
        <w:t xml:space="preserve"> </w:t>
      </w:r>
      <w:r>
        <w:rPr>
          <w:i/>
          <w:iCs/>
        </w:rPr>
        <w:t xml:space="preserve">Behavior</w:t>
      </w:r>
      <w:r>
        <w:t xml:space="preserve">,</w:t>
      </w:r>
      <w:r>
        <w:t xml:space="preserve"> </w:t>
      </w:r>
      <w:r>
        <w:rPr>
          <w:i/>
          <w:iCs/>
        </w:rPr>
        <w:t xml:space="preserve">28</w:t>
      </w:r>
      <w:r>
        <w:t xml:space="preserve">(3), 306–319.</w:t>
      </w:r>
      <w:r>
        <w:t xml:space="preserve"> </w:t>
      </w:r>
      <w:hyperlink r:id="rId126">
        <w:r>
          <w:rPr>
            <w:rStyle w:val="Hyperlink"/>
          </w:rPr>
          <w:t xml:space="preserve">https://doi.org/10.2307/2136848</w:t>
        </w:r>
      </w:hyperlink>
    </w:p>
    <w:p>
      <w:pPr>
        <w:pStyle w:val="BodyText"/>
      </w:pPr>
      <w:r>
        <w:t xml:space="preserve">Umberson, D. (1992). Gender, marital status and the social control of</w:t>
      </w:r>
      <w:r>
        <w:t xml:space="preserve"> </w:t>
      </w:r>
      <w:r>
        <w:t xml:space="preserve">health behavior.</w:t>
      </w:r>
      <w:r>
        <w:t xml:space="preserve"> </w:t>
      </w:r>
      <w:r>
        <w:rPr>
          <w:i/>
          <w:iCs/>
        </w:rPr>
        <w:t xml:space="preserve">Social Science &amp; Medicine</w:t>
      </w:r>
      <w:r>
        <w:t xml:space="preserve">,</w:t>
      </w:r>
      <w:r>
        <w:t xml:space="preserve"> </w:t>
      </w:r>
      <w:r>
        <w:rPr>
          <w:i/>
          <w:iCs/>
        </w:rPr>
        <w:t xml:space="preserve">34</w:t>
      </w:r>
      <w:r>
        <w:t xml:space="preserve">(8),</w:t>
      </w:r>
      <w:r>
        <w:t xml:space="preserve"> </w:t>
      </w:r>
      <w:r>
        <w:t xml:space="preserve">907–917.</w:t>
      </w:r>
      <w:r>
        <w:t xml:space="preserve"> </w:t>
      </w:r>
      <w:hyperlink r:id="rId127">
        <w:r>
          <w:rPr>
            <w:rStyle w:val="Hyperlink"/>
          </w:rPr>
          <w:t xml:space="preserve">https://doi.org/10.1016/0277-9536(92)90259-s</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Venn, S., Arber, S., Meadows, R., &amp; Hislop, J. (2008). The fourth</w:t>
      </w:r>
      <w:r>
        <w:t xml:space="preserve"> </w:t>
      </w:r>
      <w:r>
        <w:t xml:space="preserve">shift: Exploring the gendered nature of sleep disruption among couples</w:t>
      </w:r>
      <w:r>
        <w:t xml:space="preserve"> </w:t>
      </w:r>
      <w:r>
        <w:t xml:space="preserve">with children.</w:t>
      </w:r>
      <w:r>
        <w:t xml:space="preserve"> </w:t>
      </w:r>
      <w:r>
        <w:rPr>
          <w:i/>
          <w:iCs/>
        </w:rPr>
        <w:t xml:space="preserve">British Journal of Sociology</w:t>
      </w:r>
      <w:r>
        <w:t xml:space="preserve">,</w:t>
      </w:r>
      <w:r>
        <w:t xml:space="preserve"> </w:t>
      </w:r>
      <w:r>
        <w:rPr>
          <w:i/>
          <w:iCs/>
        </w:rPr>
        <w:t xml:space="preserve">59</w:t>
      </w:r>
      <w:r>
        <w:t xml:space="preserve">(1),</w:t>
      </w:r>
      <w:r>
        <w:t xml:space="preserve"> </w:t>
      </w:r>
      <w:r>
        <w:t xml:space="preserve">79–97.</w:t>
      </w:r>
      <w:r>
        <w:t xml:space="preserve"> </w:t>
      </w:r>
      <w:hyperlink r:id="rId128">
        <w:r>
          <w:rPr>
            <w:rStyle w:val="Hyperlink"/>
          </w:rPr>
          <w:t xml:space="preserve">https://doi.org/10.1111/j.1468-4446.2007.00183.x</w:t>
        </w:r>
      </w:hyperlink>
    </w:p>
    <w:p>
      <w:pPr>
        <w:pStyle w:val="BodyText"/>
      </w:pPr>
      <w:r>
        <w:t xml:space="preserve">Waite, L. J. (1995). Does marriage matter?</w:t>
      </w:r>
      <w:r>
        <w:t xml:space="preserve"> </w:t>
      </w:r>
      <w:r>
        <w:rPr>
          <w:i/>
          <w:iCs/>
        </w:rPr>
        <w:t xml:space="preserve">Demography</w:t>
      </w:r>
      <w:r>
        <w:t xml:space="preserve">,</w:t>
      </w:r>
      <w:r>
        <w:t xml:space="preserve"> </w:t>
      </w:r>
      <w:r>
        <w:rPr>
          <w:i/>
          <w:iCs/>
        </w:rPr>
        <w:t xml:space="preserve">32</w:t>
      </w:r>
      <w:r>
        <w:t xml:space="preserve">(4), 483–507.</w:t>
      </w:r>
      <w:r>
        <w:t xml:space="preserve"> </w:t>
      </w:r>
      <w:hyperlink r:id="rId129">
        <w:r>
          <w:rPr>
            <w:rStyle w:val="Hyperlink"/>
          </w:rPr>
          <w:t xml:space="preserve">https://doi.org/10.2307/2061670</w:t>
        </w:r>
      </w:hyperlink>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30">
        <w:r>
          <w:rPr>
            <w:rStyle w:val="Hyperlink"/>
          </w:rPr>
          <w:t xml:space="preserve">https://doi.org/10.1177/0891243287001002002</w:t>
        </w:r>
      </w:hyperlink>
    </w:p>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7" Target="https://doi.org/10.1007/s11199-010-9797-z" TargetMode="External" /><Relationship Type="http://schemas.openxmlformats.org/officeDocument/2006/relationships/hyperlink" Id="rId127"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5" Target="https://doi.org/10.1016/j.ssresearch.2010.08.005" TargetMode="External" /><Relationship Type="http://schemas.openxmlformats.org/officeDocument/2006/relationships/hyperlink" Id="rId114"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99"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6"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8"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4" Target="https://doi.org/10.1086/697584" TargetMode="External" /><Relationship Type="http://schemas.openxmlformats.org/officeDocument/2006/relationships/hyperlink" Id="rId118" Target="https://doi.org/10.1093/biomet/70.1.41" TargetMode="External" /><Relationship Type="http://schemas.openxmlformats.org/officeDocument/2006/relationships/hyperlink" Id="rId101"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85" Target="https://doi.org/10.1111/j.0022-2445.2004.00092.x" TargetMode="External" /><Relationship Type="http://schemas.openxmlformats.org/officeDocument/2006/relationships/hyperlink" Id="rId128" Target="https://doi.org/10.1111/j.1468-4446.2007.00183.x" TargetMode="External" /><Relationship Type="http://schemas.openxmlformats.org/officeDocument/2006/relationships/hyperlink" Id="rId100" Target="https://doi.org/10.1111/j.1728-4457.2001.00687.x" TargetMode="External" /><Relationship Type="http://schemas.openxmlformats.org/officeDocument/2006/relationships/hyperlink" Id="rId117"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5"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2"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3"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2" Target="https://doi.org/10.1177/0038038510394014" TargetMode="External" /><Relationship Type="http://schemas.openxmlformats.org/officeDocument/2006/relationships/hyperlink" Id="rId120" Target="https://doi.org/10.1177/0265407515597564" TargetMode="External" /><Relationship Type="http://schemas.openxmlformats.org/officeDocument/2006/relationships/hyperlink" Id="rId112" Target="https://doi.org/10.1177/0891243210386949" TargetMode="External" /><Relationship Type="http://schemas.openxmlformats.org/officeDocument/2006/relationships/hyperlink" Id="rId130" Target="https://doi.org/10.1177/0891243287001002002" TargetMode="External" /><Relationship Type="http://schemas.openxmlformats.org/officeDocument/2006/relationships/hyperlink" Id="rId103"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6" Target="https://doi.org/10.1257/app.20180010" TargetMode="External" /><Relationship Type="http://schemas.openxmlformats.org/officeDocument/2006/relationships/hyperlink" Id="rId109"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1" Target="https://doi.org/10.1353/sof.2003.0036" TargetMode="External" /><Relationship Type="http://schemas.openxmlformats.org/officeDocument/2006/relationships/hyperlink" Id="rId121"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29"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5" Target="https://doi.org/10.2307/2095937" TargetMode="External" /><Relationship Type="http://schemas.openxmlformats.org/officeDocument/2006/relationships/hyperlink" Id="rId126"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0" Target="https://doi.org/10.2307/2526238" TargetMode="External" /><Relationship Type="http://schemas.openxmlformats.org/officeDocument/2006/relationships/hyperlink" Id="rId113"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19"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77" Target="https://doi.org/10.2307/3710623" TargetMode="External" /><Relationship Type="http://schemas.openxmlformats.org/officeDocument/2006/relationships/hyperlink" Id="rId124"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7" Target="https://doi.org/10.1007/s11199-010-9797-z" TargetMode="External" /><Relationship Type="http://schemas.openxmlformats.org/officeDocument/2006/relationships/hyperlink" Id="rId127"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5" Target="https://doi.org/10.1016/j.ssresearch.2010.08.005" TargetMode="External" /><Relationship Type="http://schemas.openxmlformats.org/officeDocument/2006/relationships/hyperlink" Id="rId114"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99"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6"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8"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4" Target="https://doi.org/10.1086/697584" TargetMode="External" /><Relationship Type="http://schemas.openxmlformats.org/officeDocument/2006/relationships/hyperlink" Id="rId118" Target="https://doi.org/10.1093/biomet/70.1.41" TargetMode="External" /><Relationship Type="http://schemas.openxmlformats.org/officeDocument/2006/relationships/hyperlink" Id="rId101"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85" Target="https://doi.org/10.1111/j.0022-2445.2004.00092.x" TargetMode="External" /><Relationship Type="http://schemas.openxmlformats.org/officeDocument/2006/relationships/hyperlink" Id="rId128" Target="https://doi.org/10.1111/j.1468-4446.2007.00183.x" TargetMode="External" /><Relationship Type="http://schemas.openxmlformats.org/officeDocument/2006/relationships/hyperlink" Id="rId100" Target="https://doi.org/10.1111/j.1728-4457.2001.00687.x" TargetMode="External" /><Relationship Type="http://schemas.openxmlformats.org/officeDocument/2006/relationships/hyperlink" Id="rId117"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5"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2"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3"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2" Target="https://doi.org/10.1177/0038038510394014" TargetMode="External" /><Relationship Type="http://schemas.openxmlformats.org/officeDocument/2006/relationships/hyperlink" Id="rId120" Target="https://doi.org/10.1177/0265407515597564" TargetMode="External" /><Relationship Type="http://schemas.openxmlformats.org/officeDocument/2006/relationships/hyperlink" Id="rId112" Target="https://doi.org/10.1177/0891243210386949" TargetMode="External" /><Relationship Type="http://schemas.openxmlformats.org/officeDocument/2006/relationships/hyperlink" Id="rId130" Target="https://doi.org/10.1177/0891243287001002002" TargetMode="External" /><Relationship Type="http://schemas.openxmlformats.org/officeDocument/2006/relationships/hyperlink" Id="rId103"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6" Target="https://doi.org/10.1257/app.20180010" TargetMode="External" /><Relationship Type="http://schemas.openxmlformats.org/officeDocument/2006/relationships/hyperlink" Id="rId109"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1" Target="https://doi.org/10.1353/sof.2003.0036" TargetMode="External" /><Relationship Type="http://schemas.openxmlformats.org/officeDocument/2006/relationships/hyperlink" Id="rId121"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29"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5" Target="https://doi.org/10.2307/2095937" TargetMode="External" /><Relationship Type="http://schemas.openxmlformats.org/officeDocument/2006/relationships/hyperlink" Id="rId126"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0" Target="https://doi.org/10.2307/2526238" TargetMode="External" /><Relationship Type="http://schemas.openxmlformats.org/officeDocument/2006/relationships/hyperlink" Id="rId113"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19"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77" Target="https://doi.org/10.2307/3710623" TargetMode="External" /><Relationship Type="http://schemas.openxmlformats.org/officeDocument/2006/relationships/hyperlink" Id="rId124"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the Minutes Come From? Marriage and the Reallocation of Women’s and Men’s Days in India</dc:title>
  <dc:creator>Manuscript anonymised for review</dc:creator>
  <cp:keywords/>
  <dcterms:created xsi:type="dcterms:W3CDTF">2026-10-12T13:41:37Z</dcterms:created>
  <dcterms:modified xsi:type="dcterms:W3CDTF">2026-10-12T13:41:37Z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This study asks where, within the fixed day, the additional unpaid work that marriage brings to Indian women comes from, and how this differs by co-residence with parents-in-law and spouses’ relative resources and ages.Background: Studies of marriage and time use usually examine one outcome at a time, yet a day has 1,440 minutes, so gains and losses across activities must sum to zero.Method: 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comparisons.Results: 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detectably.Conclusion: Marriage reorganises Indian women’s days far more than men’s, and a full time-budget accounting shows which activities absorb the change.Keywords: marriage, time use, unpaid work, gender, patrilocality, India</vt:lpwstr>
  </property>
  <property fmtid="{D5CDD505-2E9C-101B-9397-08002B2CF9AE}" pid="3" name="date">
    <vt:lpwstr>October 2026</vt:lpwstr>
  </property>
</Properties>
</file>