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Amazon Payment Module - Test Strategy Document</w:t>
      </w:r>
    </w:p>
    <w:p>
      <w:pPr>
        <w:pStyle w:val="Heading2"/>
      </w:pPr>
      <w:r>
        <w:t>1. Objective</w:t>
      </w:r>
    </w:p>
    <w:p>
      <w:r>
        <w:t>The objective of this test strategy is to define the testing approach, scope, methodologies, environments, and deliverables for validating the Amazon Payment Module across Web, Android, and iOS platforms.</w:t>
      </w:r>
    </w:p>
    <w:p>
      <w:pPr>
        <w:pStyle w:val="Heading2"/>
      </w:pPr>
      <w:r>
        <w:t>2. Scope</w:t>
      </w:r>
    </w:p>
    <w:p>
      <w:r>
        <w:t>The payment module testing includes validation of all supported payment methods such as Credit/Debit Cards, UPI, Wallets, EMI, Gift Cards, Cash on Delivery (COD), and Net Banking.</w:t>
      </w:r>
    </w:p>
    <w:p>
      <w:pPr>
        <w:pStyle w:val="Heading2"/>
      </w:pPr>
      <w:r>
        <w:t>3. Testing Types</w:t>
      </w:r>
    </w:p>
    <w:p>
      <w:pPr>
        <w:pStyle w:val="ListBullet"/>
      </w:pPr>
      <w:r>
        <w:t>Functional Testing</w:t>
      </w:r>
    </w:p>
    <w:p>
      <w:pPr>
        <w:pStyle w:val="ListBullet"/>
      </w:pPr>
      <w:r>
        <w:t>Payment Workflow Validation</w:t>
      </w:r>
    </w:p>
    <w:p>
      <w:pPr>
        <w:pStyle w:val="ListBullet"/>
      </w:pPr>
      <w:r>
        <w:t>UI Validation</w:t>
      </w:r>
    </w:p>
    <w:p>
      <w:pPr>
        <w:pStyle w:val="ListBullet"/>
      </w:pPr>
      <w:r>
        <w:t>Negative Testing</w:t>
      </w:r>
    </w:p>
    <w:p>
      <w:pPr>
        <w:pStyle w:val="ListBullet"/>
      </w:pPr>
      <w:r>
        <w:t>Boundary Value Testing</w:t>
      </w:r>
    </w:p>
    <w:p>
      <w:pPr>
        <w:pStyle w:val="ListBullet"/>
      </w:pPr>
      <w:r>
        <w:t>Error Handling Validation</w:t>
      </w:r>
    </w:p>
    <w:p>
      <w:pPr>
        <w:pStyle w:val="ListBullet"/>
      </w:pPr>
      <w:r>
        <w:t>Cross-browser and Cross-platform Testing</w:t>
      </w:r>
    </w:p>
    <w:p>
      <w:pPr>
        <w:pStyle w:val="Heading2"/>
      </w:pPr>
      <w:r>
        <w:t>4. Platforms Covered</w:t>
      </w:r>
    </w:p>
    <w:p>
      <w:pPr>
        <w:pStyle w:val="ListBullet"/>
      </w:pPr>
      <w:r>
        <w:t>Web Application</w:t>
      </w:r>
    </w:p>
    <w:p>
      <w:pPr>
        <w:pStyle w:val="ListBullet"/>
      </w:pPr>
      <w:r>
        <w:t>Android Application</w:t>
      </w:r>
    </w:p>
    <w:p>
      <w:pPr>
        <w:pStyle w:val="ListBullet"/>
      </w:pPr>
      <w:r>
        <w:t>iOS Application</w:t>
      </w:r>
    </w:p>
    <w:p>
      <w:pPr>
        <w:pStyle w:val="Heading2"/>
      </w:pPr>
      <w:r>
        <w:t>5. Test Environment</w:t>
      </w:r>
    </w:p>
    <w:p>
      <w:r>
        <w:t>Testing will be executed in the QA/Test environment with stable builds, test payment gateways, and masked customer data.</w:t>
      </w:r>
    </w:p>
    <w:p>
      <w:pPr>
        <w:pStyle w:val="Heading2"/>
      </w:pPr>
      <w:r>
        <w:t>6. Automation Strategy</w:t>
      </w:r>
    </w:p>
    <w:p>
      <w:r>
        <w:t>End-to-End automation will be implemented for critical payment workflows including successful payments, failed transactions, refunds, cancellations, EMI flows, and order confirmations.</w:t>
      </w:r>
    </w:p>
    <w:p>
      <w:pPr>
        <w:pStyle w:val="Heading2"/>
      </w:pPr>
      <w:r>
        <w:t>7. Entry Criteria</w:t>
      </w:r>
    </w:p>
    <w:p>
      <w:pPr>
        <w:pStyle w:val="ListBullet"/>
      </w:pPr>
      <w:r>
        <w:t>Requirements are finalized and approved</w:t>
      </w:r>
    </w:p>
    <w:p>
      <w:pPr>
        <w:pStyle w:val="ListBullet"/>
      </w:pPr>
      <w:r>
        <w:t>Test environment is available</w:t>
      </w:r>
    </w:p>
    <w:p>
      <w:pPr>
        <w:pStyle w:val="ListBullet"/>
      </w:pPr>
      <w:r>
        <w:t>Test data is prepared</w:t>
      </w:r>
    </w:p>
    <w:p>
      <w:pPr>
        <w:pStyle w:val="ListBullet"/>
      </w:pPr>
      <w:r>
        <w:t>Build deployment completed successfully</w:t>
      </w:r>
    </w:p>
    <w:p>
      <w:pPr>
        <w:pStyle w:val="Heading2"/>
      </w:pPr>
      <w:r>
        <w:t>8. Exit Criteria</w:t>
      </w:r>
    </w:p>
    <w:p>
      <w:pPr>
        <w:pStyle w:val="ListBullet"/>
      </w:pPr>
      <w:r>
        <w:t>All critical and high defects are closed</w:t>
      </w:r>
    </w:p>
    <w:p>
      <w:pPr>
        <w:pStyle w:val="ListBullet"/>
      </w:pPr>
      <w:r>
        <w:t>Regression execution completed</w:t>
      </w:r>
    </w:p>
    <w:p>
      <w:pPr>
        <w:pStyle w:val="ListBullet"/>
      </w:pPr>
      <w:r>
        <w:t>Test summary report approved</w:t>
      </w:r>
    </w:p>
    <w:p>
      <w:pPr>
        <w:pStyle w:val="ListBullet"/>
      </w:pPr>
      <w:r>
        <w:t>Business sign-off received</w:t>
      </w:r>
    </w:p>
    <w:p>
      <w:pPr>
        <w:pStyle w:val="Heading2"/>
      </w:pPr>
      <w:r>
        <w:t>9. Risks &amp; Mitigation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Payment gateway downtime</w:t>
            </w:r>
          </w:p>
        </w:tc>
        <w:tc>
          <w:tcPr>
            <w:tcW w:type="dxa" w:w="4320"/>
          </w:tcPr>
          <w:p>
            <w:r>
              <w:t>Use mock services and retry validation</w:t>
            </w:r>
          </w:p>
        </w:tc>
      </w:tr>
      <w:tr>
        <w:tc>
          <w:tcPr>
            <w:tcW w:type="dxa" w:w="4320"/>
          </w:tcPr>
          <w:p>
            <w:r>
              <w:t>Unstable test environment</w:t>
            </w:r>
          </w:p>
        </w:tc>
        <w:tc>
          <w:tcPr>
            <w:tcW w:type="dxa" w:w="4320"/>
          </w:tcPr>
          <w:p>
            <w:r>
              <w:t>Daily environment health checks</w:t>
            </w:r>
          </w:p>
        </w:tc>
      </w:tr>
      <w:tr>
        <w:tc>
          <w:tcPr>
            <w:tcW w:type="dxa" w:w="4320"/>
          </w:tcPr>
          <w:p>
            <w:r>
              <w:t>Delayed requirement changes</w:t>
            </w:r>
          </w:p>
        </w:tc>
        <w:tc>
          <w:tcPr>
            <w:tcW w:type="dxa" w:w="4320"/>
          </w:tcPr>
          <w:p>
            <w:r>
              <w:t>Frequent stakeholder sync meetings</w:t>
            </w:r>
          </w:p>
        </w:tc>
      </w:tr>
    </w:tbl>
    <w:p>
      <w:pPr>
        <w:pStyle w:val="Heading2"/>
      </w:pPr>
      <w:r>
        <w:t>10. Deliverables</w:t>
      </w:r>
    </w:p>
    <w:p>
      <w:pPr>
        <w:pStyle w:val="ListBullet"/>
      </w:pPr>
      <w:r>
        <w:t>Test Strategy Document</w:t>
      </w:r>
    </w:p>
    <w:p>
      <w:pPr>
        <w:pStyle w:val="ListBullet"/>
      </w:pPr>
      <w:r>
        <w:t>Test Plan</w:t>
      </w:r>
    </w:p>
    <w:p>
      <w:pPr>
        <w:pStyle w:val="ListBullet"/>
      </w:pPr>
      <w:r>
        <w:t>Test Cases</w:t>
      </w:r>
    </w:p>
    <w:p>
      <w:pPr>
        <w:pStyle w:val="ListBullet"/>
      </w:pPr>
      <w:r>
        <w:t>Automation Scripts</w:t>
      </w:r>
    </w:p>
    <w:p>
      <w:pPr>
        <w:pStyle w:val="ListBullet"/>
      </w:pPr>
      <w:r>
        <w:t>Defect Reports</w:t>
      </w:r>
    </w:p>
    <w:p>
      <w:pPr>
        <w:pStyle w:val="ListBullet"/>
      </w:pPr>
      <w:r>
        <w:t>Test Summary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