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B5C"/>
          <w:sz w:val="52"/>
          <w:szCs w:val="52"/>
        </w:rPr>
        <w:t xml:space="preserve">DelightOn Garments Ltd.</w:t>
      </w:r>
    </w:p>
    <w:p>
      <w:pPr>
        <w:spacing w:after="60"/>
        <w:jc w:val="center"/>
      </w:pPr>
      <w:r>
        <w:rPr>
          <w:color w:val="666666"/>
          <w:sz w:val="26"/>
          <w:szCs w:val="26"/>
        </w:rPr>
        <w:t xml:space="preserve">Data &amp; Database Design Pack — BIBA Specification Report Inputs</w:t>
      </w:r>
    </w:p>
    <w:p>
      <w:pPr>
        <w:spacing w:after="240"/>
        <w:jc w:val="center"/>
      </w:pPr>
      <w:r>
        <w:rPr>
          <w:i/>
          <w:iCs/>
          <w:color w:val="666666"/>
          <w:sz w:val="19"/>
          <w:szCs w:val="19"/>
        </w:rPr>
        <w:t xml:space="preserve">School-uniform manufacturer, Dublin · Dataset: delighton_data (23 tables, ~13,600 rows) · All figures computed directly from the mock data</w:t>
      </w:r>
    </w:p>
    <w:p>
      <w:pPr>
        <w:pStyle w:val="Heading1"/>
        <w:spacing w:after="140" w:before="280"/>
      </w:pPr>
      <w:r>
        <w:rPr>
          <w:color w:val="1F3B5C"/>
        </w:rPr>
        <w:t xml:space="preserve">1. System Architecture &amp; Data Capture Flow</w:t>
      </w:r>
    </w:p>
    <w:p>
      <w:pPr>
        <w:spacing w:after="110"/>
        <w:jc w:val="both"/>
      </w:pPr>
      <w:r>
        <w:rPr>
          <w:b w:val="false"/>
          <w:bCs w:val="false"/>
          <w:i w:val="false"/>
          <w:iCs w:val="false"/>
          <w:color w:val="000000"/>
          <w:sz w:val="21"/>
          <w:szCs w:val="21"/>
        </w:rPr>
        <w:t xml:space="preserve">DelightOn's operational data enters the business at four physical points: the sales office (CRM), the measurement visit at each school, the factory floor, and the dispatch dock. Every downstream table is generated by one of these capture events, and each stage carries the keys of the stage before it, giving an unbroken lineage from first enquiry to the individual delivered garment.</w:t>
      </w:r>
    </w:p>
    <w:p>
      <w:pPr>
        <w:spacing w:after="60" w:before="80"/>
        <w:jc w:val="center"/>
      </w:pPr>
      <w:r>
        <w:drawing>
          <wp:inline distT="0" distB="0" distL="0" distR="0">
            <wp:extent cx="5905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76650"/>
                    </a:xfrm>
                    <a:prstGeom prst="rect">
                      <a:avLst/>
                    </a:prstGeom>
                  </pic:spPr>
                </pic:pic>
              </a:graphicData>
            </a:graphic>
          </wp:inline>
        </w:drawing>
      </w:r>
    </w:p>
    <w:p>
      <w:pPr>
        <w:spacing w:after="170"/>
        <w:jc w:val="center"/>
      </w:pPr>
      <w:r>
        <w:rPr>
          <w:i/>
          <w:iCs/>
          <w:color w:val="666666"/>
          <w:sz w:val="18"/>
          <w:szCs w:val="18"/>
        </w:rPr>
        <w:t xml:space="preserve">Figure 1 — End-to-end data capture flow across the four operating lanes.</w:t>
      </w:r>
    </w:p>
    <w:p>
      <w:pPr>
        <w:pStyle w:val="Heading2"/>
        <w:spacing w:after="110" w:before="220"/>
      </w:pPr>
      <w:r>
        <w:rPr>
          <w:color w:val="1F3B5C"/>
        </w:rPr>
        <w:t xml:space="preserve">Capture workflow, step by step</w:t>
      </w:r>
    </w:p>
    <w:p>
      <w:pPr>
        <w:pStyle w:val="ListParagraph"/>
        <w:numPr>
          <w:ilvl w:val="0"/>
          <w:numId w:val="2"/>
        </w:numPr>
        <w:spacing w:after="90"/>
      </w:pPr>
      <w:r>
        <w:rPr>
          <w:b/>
          <w:bCs/>
          <w:sz w:val="21"/>
          <w:szCs w:val="21"/>
        </w:rPr>
        <w:t xml:space="preserve">Lead captured (CRM). </w:t>
      </w:r>
      <w:r>
        <w:rPr>
          <w:sz w:val="21"/>
          <w:szCs w:val="21"/>
        </w:rPr>
        <w:t xml:space="preserve">A school enquiry arrives (website, referral, trade fair…) and a sales rep creates a row in leads_master, classified by lead_sources and lead_statuses and assigned to a user.</w:t>
      </w:r>
    </w:p>
    <w:p>
      <w:pPr>
        <w:pStyle w:val="ListParagraph"/>
        <w:numPr>
          <w:ilvl w:val="0"/>
          <w:numId w:val="2"/>
        </w:numPr>
        <w:spacing w:after="90"/>
      </w:pPr>
      <w:r>
        <w:rPr>
          <w:b/>
          <w:bCs/>
          <w:sz w:val="21"/>
          <w:szCs w:val="21"/>
        </w:rPr>
        <w:t xml:space="preserve">Qualification &amp; quotation. </w:t>
      </w:r>
      <w:r>
        <w:rPr>
          <w:sz w:val="21"/>
          <w:szCs w:val="21"/>
        </w:rPr>
        <w:t xml:space="preserve">The lead moves New → Contacted → Quotation Sent → Negotiation. Per-student prices for male and female uniform sets are recorded on the lead (male_payment_amount / female_payment_amount, EUR).</w:t>
      </w:r>
    </w:p>
    <w:p>
      <w:pPr>
        <w:pStyle w:val="ListParagraph"/>
        <w:numPr>
          <w:ilvl w:val="0"/>
          <w:numId w:val="2"/>
        </w:numPr>
        <w:spacing w:after="90"/>
      </w:pPr>
      <w:r>
        <w:rPr>
          <w:b/>
          <w:bCs/>
          <w:sz w:val="21"/>
          <w:szCs w:val="21"/>
        </w:rPr>
        <w:t xml:space="preserve">Conversion → order. </w:t>
      </w:r>
      <w:r>
        <w:rPr>
          <w:sz w:val="21"/>
          <w:szCs w:val="21"/>
        </w:rPr>
        <w:t xml:space="preserve">On winning, the school is created (or matched) in customer_master and an order is opened in order_master with a human-readable business key order_id (e.g. DLO-2026-014) and an expected_delivery_date.</w:t>
      </w:r>
    </w:p>
    <w:p>
      <w:pPr>
        <w:pStyle w:val="ListParagraph"/>
        <w:numPr>
          <w:ilvl w:val="0"/>
          <w:numId w:val="2"/>
        </w:numPr>
        <w:spacing w:after="90"/>
      </w:pPr>
      <w:r>
        <w:rPr>
          <w:b/>
          <w:bCs/>
          <w:sz w:val="21"/>
          <w:szCs w:val="21"/>
        </w:rPr>
        <w:t xml:space="preserve">Measurement day. </w:t>
      </w:r>
      <w:r>
        <w:rPr>
          <w:sz w:val="21"/>
          <w:szCs w:val="21"/>
        </w:rPr>
        <w:t xml:space="preserve">Staff visit the school on measurement day: one measurements row per student captures garments, sizes and quantities as JSON, plus total_payable, payment_received and balance_amount per parent.</w:t>
      </w:r>
    </w:p>
    <w:p>
      <w:pPr>
        <w:pStyle w:val="ListParagraph"/>
        <w:numPr>
          <w:ilvl w:val="0"/>
          <w:numId w:val="2"/>
        </w:numPr>
        <w:spacing w:after="90"/>
      </w:pPr>
      <w:r>
        <w:rPr>
          <w:b/>
          <w:bCs/>
          <w:sz w:val="21"/>
          <w:szCs w:val="21"/>
        </w:rPr>
        <w:t xml:space="preserve">Fabric procurement. </w:t>
      </w:r>
      <w:r>
        <w:rPr>
          <w:sz w:val="21"/>
          <w:szCs w:val="21"/>
        </w:rPr>
        <w:t xml:space="preserve">The order's fabric requirement triggers purchase_orders (with purchase_order_items) to vendors; goods arrive against fabric_purchases invoices and are booked as roll-level fabric_lots with initial and remaining quantities.</w:t>
      </w:r>
    </w:p>
    <w:p>
      <w:pPr>
        <w:pStyle w:val="ListParagraph"/>
        <w:numPr>
          <w:ilvl w:val="0"/>
          <w:numId w:val="2"/>
        </w:numPr>
        <w:spacing w:after="90"/>
      </w:pPr>
      <w:r>
        <w:rPr>
          <w:b/>
          <w:bCs/>
          <w:sz w:val="21"/>
          <w:szCs w:val="21"/>
        </w:rPr>
        <w:t xml:space="preserve">Cutting. </w:t>
      </w:r>
      <w:r>
        <w:rPr>
          <w:sz w:val="21"/>
          <w:szCs w:val="21"/>
        </w:rPr>
        <w:t xml:space="preserve">The cutting floor groups students into size ratios (cutting_groups) and records every lay in cutting_log — the fabric lot consumed, metres used, pieces produced and expected vs actual wastage, signed by the cutter (employees).</w:t>
      </w:r>
    </w:p>
    <w:p>
      <w:pPr>
        <w:pStyle w:val="ListParagraph"/>
        <w:numPr>
          <w:ilvl w:val="0"/>
          <w:numId w:val="2"/>
        </w:numPr>
        <w:spacing w:after="90"/>
      </w:pPr>
      <w:r>
        <w:rPr>
          <w:b/>
          <w:bCs/>
          <w:sz w:val="21"/>
          <w:szCs w:val="21"/>
        </w:rPr>
        <w:t xml:space="preserve">Production tracking. </w:t>
      </w:r>
      <w:r>
        <w:rPr>
          <w:sz w:val="21"/>
          <w:szCs w:val="21"/>
        </w:rPr>
        <w:t xml:space="preserve">daily_production_log tracks each employee's output through six phases (Cutting → Stitching → Embroidery &amp; Cresting → Finishing &amp; Pressing → Quality Check → Packing). Ready garments post to stock_master.</w:t>
      </w:r>
    </w:p>
    <w:p>
      <w:pPr>
        <w:pStyle w:val="ListParagraph"/>
        <w:numPr>
          <w:ilvl w:val="0"/>
          <w:numId w:val="2"/>
        </w:numPr>
        <w:spacing w:after="90"/>
      </w:pPr>
      <w:r>
        <w:rPr>
          <w:b/>
          <w:bCs/>
          <w:sz w:val="21"/>
          <w:szCs w:val="21"/>
        </w:rPr>
        <w:t xml:space="preserve">Piece-level delivery &amp; returns. </w:t>
      </w:r>
      <w:r>
        <w:rPr>
          <w:sz w:val="21"/>
          <w:szCs w:val="21"/>
        </w:rPr>
        <w:t xml:space="preserve">Dispatch writes one delivery_records row per physical garment (5,370 pieces) with a unique_code and DC number; delivered_at, returned_at and return_reason capture the piece's final fate.</w:t>
      </w:r>
    </w:p>
    <w:p>
      <w:pPr>
        <w:pStyle w:val="ListParagraph"/>
        <w:numPr>
          <w:ilvl w:val="0"/>
          <w:numId w:val="2"/>
        </w:numPr>
        <w:spacing w:after="90"/>
      </w:pPr>
      <w:r>
        <w:rPr>
          <w:b/>
          <w:bCs/>
          <w:sz w:val="21"/>
          <w:szCs w:val="21"/>
        </w:rPr>
        <w:t xml:space="preserve">Billing &amp; receipts. </w:t>
      </w:r>
      <w:r>
        <w:rPr>
          <w:sz w:val="21"/>
          <w:szCs w:val="21"/>
        </w:rPr>
        <w:t xml:space="preserve">order_invoices bills each order (net + Irish VAT: 0% for children's clothing, 23% for adult sizes) and order_payments records cash/card/transfer/cheque receipts. The identity grand_total = net_total + vat_amount and grand_total = advance + payments + balance holds for every invoice in the dataset.</w:t>
      </w:r>
    </w:p>
    <w:p>
      <w:pPr>
        <w:pStyle w:val="ListParagraph"/>
        <w:numPr>
          <w:ilvl w:val="0"/>
          <w:numId w:val="2"/>
        </w:numPr>
        <w:spacing w:after="90"/>
      </w:pPr>
      <w:r>
        <w:rPr>
          <w:b/>
          <w:bCs/>
          <w:sz w:val="21"/>
          <w:szCs w:val="21"/>
        </w:rPr>
        <w:t xml:space="preserve">BI layer. </w:t>
      </w:r>
      <w:r>
        <w:rPr>
          <w:sz w:val="21"/>
          <w:szCs w:val="21"/>
        </w:rPr>
        <w:t xml:space="preserve">All 23 tables feed the Power BI / CRM analytics layer, which surfaces the conversion, punctuality, wastage and receivables measures analysed in Section 4.</w:t>
      </w:r>
    </w:p>
    <w:p>
      <w:r>
        <w:br w:type="page"/>
      </w:r>
    </w:p>
    <w:p>
      <w:pPr>
        <w:pStyle w:val="Heading1"/>
        <w:spacing w:after="140" w:before="280"/>
      </w:pPr>
      <w:r>
        <w:rPr>
          <w:color w:val="1F3B5C"/>
        </w:rPr>
        <w:t xml:space="preserve">2. Entity-Relationship Diagram (ERD)</w:t>
      </w:r>
    </w:p>
    <w:p>
      <w:pPr>
        <w:spacing w:after="110"/>
        <w:jc w:val="both"/>
      </w:pPr>
      <w:r>
        <w:rPr>
          <w:b w:val="false"/>
          <w:bCs w:val="false"/>
          <w:i w:val="false"/>
          <w:iCs w:val="false"/>
          <w:color w:val="000000"/>
          <w:sz w:val="21"/>
          <w:szCs w:val="21"/>
        </w:rPr>
        <w:t xml:space="preserve">The rewritten erd_core.mermaid accompanies this document and reflects the mock data exactly: 23 entities, 66 foreign-key relationships (all verified to resolve), and the dual order-referencing convention. Most child tables reference the surrogate key order_master.id (integer); cutting_groups and delivery_records instead reference the business key order_master.order_id (varchar, e.g. DLO-2026-014), shown dashed red below. Audit relationships (created_by / updated_by → users.id) exist on nearly every table and are omitted from the visual for clarity.</w:t>
      </w:r>
    </w:p>
    <w:p>
      <w:pPr>
        <w:spacing w:after="60" w:before="80"/>
        <w:jc w:val="center"/>
      </w:pPr>
      <w:r>
        <w:drawing>
          <wp:inline distT="0" distB="0" distL="0" distR="0">
            <wp:extent cx="6096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00475"/>
                    </a:xfrm>
                    <a:prstGeom prst="rect">
                      <a:avLst/>
                    </a:prstGeom>
                  </pic:spPr>
                </pic:pic>
              </a:graphicData>
            </a:graphic>
          </wp:inline>
        </w:drawing>
      </w:r>
    </w:p>
    <w:p>
      <w:pPr>
        <w:spacing w:after="170"/>
        <w:jc w:val="center"/>
      </w:pPr>
      <w:r>
        <w:rPr>
          <w:i/>
          <w:iCs/>
          <w:color w:val="666666"/>
          <w:sz w:val="18"/>
          <w:szCs w:val="18"/>
        </w:rPr>
        <w:t xml:space="preserve">Figure 2 — Core ERD rendered from the verified relationship set (audit FKs omitted).</w:t>
      </w:r>
    </w:p>
    <w:p>
      <w:pPr>
        <w:pStyle w:val="ListParagraph"/>
        <w:numPr>
          <w:ilvl w:val="0"/>
          <w:numId w:val="3"/>
        </w:numPr>
        <w:spacing w:after="70"/>
      </w:pPr>
      <w:r>
        <w:rPr>
          <w:sz w:val="21"/>
          <w:szCs w:val="21"/>
        </w:rPr>
        <w:t xml:space="preserve">Unique business keys: order_master.order_id, order_invoices.invoice_number, purchase_orders.po_number, fabric_lots.lot_number, delivery_records.unique_code.</w:t>
      </w:r>
    </w:p>
    <w:p>
      <w:pPr>
        <w:pStyle w:val="ListParagraph"/>
        <w:numPr>
          <w:ilvl w:val="0"/>
          <w:numId w:val="3"/>
        </w:numPr>
        <w:spacing w:after="70"/>
      </w:pPr>
      <w:r>
        <w:rPr>
          <w:sz w:val="21"/>
          <w:szCs w:val="21"/>
        </w:rPr>
        <w:t xml:space="preserve">Cardinality is one-to-many throughout (each ||—o{ edge): e.g. one order → many measurements (avg 126 students/order), one measurement → 1–2 delivery pieces, one fabric purchase → one lot in this dataset (1:1 realised, 1:N by design).</w:t>
      </w:r>
    </w:p>
    <w:p>
      <w:pPr>
        <w:pStyle w:val="ListParagraph"/>
        <w:numPr>
          <w:ilvl w:val="0"/>
          <w:numId w:val="3"/>
        </w:numPr>
        <w:spacing w:after="70"/>
      </w:pPr>
      <w:r>
        <w:rPr>
          <w:sz w:val="21"/>
          <w:szCs w:val="21"/>
        </w:rPr>
        <w:t xml:space="preserve">measurements is the busiest hub: it carries FKs to the lead, the order and the school, so student-level revenue can be sliced by acquisition source without extra joins.</w:t>
      </w:r>
    </w:p>
    <w:p>
      <w:r>
        <w:br w:type="page"/>
      </w:r>
    </w:p>
    <w:p>
      <w:pPr>
        <w:pStyle w:val="Heading1"/>
        <w:spacing w:after="140" w:before="280"/>
      </w:pPr>
      <w:r>
        <w:rPr>
          <w:color w:val="1F3B5C"/>
        </w:rPr>
        <w:t xml:space="preserve">3. Data Dictionary</w:t>
      </w:r>
    </w:p>
    <w:p>
      <w:pPr>
        <w:spacing w:after="110"/>
        <w:jc w:val="both"/>
      </w:pPr>
      <w:r>
        <w:rPr>
          <w:b w:val="false"/>
          <w:bCs w:val="false"/>
          <w:i w:val="false"/>
          <w:iCs w:val="false"/>
          <w:color w:val="000000"/>
          <w:sz w:val="21"/>
          <w:szCs w:val="21"/>
        </w:rPr>
        <w:t xml:space="preserve">The dictionary below lists all 338 columns of the 23 implemented tables, regenerated 1:1 from the mock CSVs (types cross-checked against the PostgreSQL schema; nullability observed from the data; every FK validated). Monetary columns are numeric(12,2) or numeric(10,2) in EUR with an explicit currency column; measurement and requirement payloads are jsonb.</w:t>
      </w:r>
    </w:p>
    <w:tbl>
      <w:tblPr>
        <w:tblW w:type="dxa" w:w="9350"/>
        <w:tblBorders>
          <w:top w:val="single" w:color="BBBBBB" w:sz="2"/>
          <w:left w:val="single" w:color="BBBBBB" w:sz="2"/>
          <w:bottom w:val="single" w:color="BBBBBB" w:sz="2"/>
          <w:right w:val="single" w:color="BBBBBB" w:sz="2"/>
          <w:insideH w:val="single" w:color="DDDDDD" w:sz="2"/>
          <w:insideV w:val="single" w:color="DDDDDD" w:sz="2"/>
        </w:tblBorders>
      </w:tblPr>
      <w:tblGrid>
        <w:gridCol w:w="1750"/>
        <w:gridCol w:w="2250"/>
        <w:gridCol w:w="2150"/>
        <w:gridCol w:w="700"/>
        <w:gridCol w:w="2500"/>
      </w:tblGrid>
      <w:tr>
        <w:trPr>
          <w:tblHeader/>
        </w:trPr>
        <w:tc>
          <w:tcPr>
            <w:tcW w:type="dxa" w:w="1750"/>
            <w:shd w:fill="1F3B5C" w:val="clear"/>
            <w:tcMar>
              <w:top w:type="dxa" w:w="26"/>
              <w:left w:type="dxa" w:w="70"/>
              <w:bottom w:type="dxa" w:w="26"/>
              <w:right w:type="dxa" w:w="70"/>
            </w:tcMar>
          </w:tcPr>
          <w:p>
            <w:r>
              <w:rPr>
                <w:rFonts w:ascii="Arial" w:cs="Arial" w:eastAsia="Arial" w:hAnsi="Arial"/>
                <w:b/>
                <w:bCs/>
                <w:color w:val="FFFFFF"/>
                <w:sz w:val="16"/>
                <w:szCs w:val="16"/>
              </w:rPr>
              <w:t xml:space="preserve">Table</w:t>
            </w:r>
          </w:p>
        </w:tc>
        <w:tc>
          <w:tcPr>
            <w:tcW w:type="dxa" w:w="2250"/>
            <w:shd w:fill="1F3B5C" w:val="clear"/>
            <w:tcMar>
              <w:top w:type="dxa" w:w="26"/>
              <w:left w:type="dxa" w:w="70"/>
              <w:bottom w:type="dxa" w:w="26"/>
              <w:right w:type="dxa" w:w="70"/>
            </w:tcMar>
          </w:tcPr>
          <w:p>
            <w:r>
              <w:rPr>
                <w:rFonts w:ascii="Arial" w:cs="Arial" w:eastAsia="Arial" w:hAnsi="Arial"/>
                <w:b/>
                <w:bCs/>
                <w:color w:val="FFFFFF"/>
                <w:sz w:val="16"/>
                <w:szCs w:val="16"/>
              </w:rPr>
              <w:t xml:space="preserve">Column</w:t>
            </w:r>
          </w:p>
        </w:tc>
        <w:tc>
          <w:tcPr>
            <w:tcW w:type="dxa" w:w="2150"/>
            <w:shd w:fill="1F3B5C" w:val="clear"/>
            <w:tcMar>
              <w:top w:type="dxa" w:w="26"/>
              <w:left w:type="dxa" w:w="70"/>
              <w:bottom w:type="dxa" w:w="26"/>
              <w:right w:type="dxa" w:w="70"/>
            </w:tcMar>
          </w:tcPr>
          <w:p>
            <w:r>
              <w:rPr>
                <w:rFonts w:ascii="Arial" w:cs="Arial" w:eastAsia="Arial" w:hAnsi="Arial"/>
                <w:b/>
                <w:bCs/>
                <w:color w:val="FFFFFF"/>
                <w:sz w:val="16"/>
                <w:szCs w:val="16"/>
              </w:rPr>
              <w:t xml:space="preserve">Data type</w:t>
            </w:r>
          </w:p>
        </w:tc>
        <w:tc>
          <w:tcPr>
            <w:tcW w:type="dxa" w:w="700"/>
            <w:shd w:fill="1F3B5C" w:val="clear"/>
            <w:tcMar>
              <w:top w:type="dxa" w:w="26"/>
              <w:left w:type="dxa" w:w="70"/>
              <w:bottom w:type="dxa" w:w="26"/>
              <w:right w:type="dxa" w:w="70"/>
            </w:tcMar>
          </w:tcPr>
          <w:p>
            <w:r>
              <w:rPr>
                <w:rFonts w:ascii="Arial" w:cs="Arial" w:eastAsia="Arial" w:hAnsi="Arial"/>
                <w:b/>
                <w:bCs/>
                <w:color w:val="FFFFFF"/>
                <w:sz w:val="16"/>
                <w:szCs w:val="16"/>
              </w:rPr>
              <w:t xml:space="preserve">Null</w:t>
            </w:r>
          </w:p>
        </w:tc>
        <w:tc>
          <w:tcPr>
            <w:tcW w:type="dxa" w:w="2500"/>
            <w:shd w:fill="1F3B5C" w:val="clear"/>
            <w:tcMar>
              <w:top w:type="dxa" w:w="26"/>
              <w:left w:type="dxa" w:w="70"/>
              <w:bottom w:type="dxa" w:w="26"/>
              <w:right w:type="dxa" w:w="70"/>
            </w:tcMar>
          </w:tcPr>
          <w:p>
            <w:r>
              <w:rPr>
                <w:rFonts w:ascii="Arial" w:cs="Arial" w:eastAsia="Arial" w:hAnsi="Arial"/>
                <w:b/>
                <w:bCs/>
                <w:color w:val="FFFFFF"/>
                <w:sz w:val="16"/>
                <w:szCs w:val="16"/>
              </w:rPr>
              <w:t xml:space="preserve">Key</w:t>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users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email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role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employees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role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phone_number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deactivated_at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lead_sources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description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lead_statuses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description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sort_order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process_stage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customer_master</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short_code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institution_type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address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contact_person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contact_number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email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password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leads_master</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school_name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institution_type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requirement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contact_person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phone_number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email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location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follow_up_date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next_action_plan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remarks_notes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assigned_to</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lead_source_id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lead_sources.id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lead_status_id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lead_statuses.id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required_clothing_types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required_male_clothing_types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required_female_clothing_types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year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customer_id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customer_master.id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payment_collection_type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male_payment_amount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female_payment_amount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is_potential_customer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referrer_name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batch_label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garment_types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description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gender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clothing_category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fabric_types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composition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gsm</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width</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"numeric(8</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price_per_meter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supplier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color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vendors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contact_person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email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phone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address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payment_terms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order_master</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UQ (business key)</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lead_id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leads_master.id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customer_id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customer_master.id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school_name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year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institution_type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status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requirements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contact_person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phone_number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email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location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expected_delivery_date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actual_delivery_date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payment_contact_name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payment_contact_mobile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batch_label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assigned_to</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measurements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lead_id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leads_master.id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school_id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customer_master.id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person_name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student_name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student_class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student_section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roll_number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gender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mobile_number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clothing_types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measurements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quantities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total_payable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payment_received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balance_amount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measurement_date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measurement_status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taken_by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order_invoices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invoice_number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UQ</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invoice_date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line_items_json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net_total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vat_rate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grand_total</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advance_paid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balance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bill_to_name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bill_to_address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bank_details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comments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signatory_name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is_draft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order_payments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payment_date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payment_mode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transaction_type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receipt_number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recorded_by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purchase_orders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po_number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UQ</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vendor_id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vendors.id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total_amount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po_date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expected_delivery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actual_delivery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status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remarks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purchase_order_items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purchase_order_id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purchase_orders.id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fabric_type_id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fabric_types.id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quantity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4)"</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unit_of_measure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unit_price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net_price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vat_rate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total_price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specifications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clothing_type_id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garment_types.id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material_type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manufacturer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color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buffer_stock</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4)"</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per_piece_requirement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4)"</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piece_count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fabric_purchases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invoice_number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invoice_date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vendor_id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vendors.id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vendor_name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fabric_type_id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fabric_types.id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manufacturer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color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quantity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unit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cost_per_unit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net_cost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vat_rate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vat_amount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total_cost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fabric_lots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lot_number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UQ</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purchase_id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fabric_purchases.id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fabric_type_id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fabric_types.id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color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initial_quantity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remaining_quantity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unit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price_per_unit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production_phases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varying(100)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sequence_order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is_active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boolean</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cutting_groups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order_master.order_id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garment_type_id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garment_types.id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group_number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adjusted_measurements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cutting_log</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clothing_type_id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garment_types.id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fabric_lot_id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fabric_lots.id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fabric_consumed_meters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pieces_produced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expected_wastage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actual_wastage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wastage_reason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cut_by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employees.id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cut_date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daily_production_log</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phase_id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production_phases.id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clothing_type_id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garment_types.id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production_date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employee_id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employees.id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pieces_completed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pieces_in_progress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pieces_pending</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notes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delivery_records</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unique_code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UQ</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order_id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order_master.order_id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measurement_id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measurements.id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garment_type_id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garment_types.id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cutting_group_id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cutting_groups.id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student_name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student_class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student_section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adjusted_measurements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original_measurements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jsonb</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status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varying(30)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dc_number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piece_index</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delivered_at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delivered_by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returned_at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returned_by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users.id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return_reason</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YES</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shd w:fill="EAF2FB" w:val="clear"/>
            <w:tcMar>
              <w:top w:type="dxa" w:w="26"/>
              <w:left w:type="dxa" w:w="70"/>
              <w:bottom w:type="dxa" w:w="26"/>
              <w:right w:type="dxa" w:w="70"/>
            </w:tcMar>
          </w:tcPr>
          <w:p>
            <w:r>
              <w:rPr>
                <w:rFonts w:ascii="Arial" w:cs="Arial" w:eastAsia="Arial" w:hAnsi="Arial"/>
                <w:b/>
                <w:bCs/>
                <w:color w:val="000000"/>
                <w:sz w:val="15"/>
                <w:szCs w:val="15"/>
              </w:rPr>
              <w:t xml:space="preserve">stock_master</w:t>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PK</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clothing_type_id</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integer</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666666"/>
                <w:sz w:val="15"/>
                <w:szCs w:val="15"/>
              </w:rPr>
              <w:t xml:space="preserve">FK -&gt; garment_types.id</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item_code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lot_batch</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varying(50)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material_type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manufacturer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material_color</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varying(255)</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available_qty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unit_of_measure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 varying(20)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purchase_price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"numeric(10</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vat_rate</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"numeric(12</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2)"</w:t>
            </w:r>
          </w:p>
        </w:tc>
        <w:tc>
          <w:tcPr>
            <w:tcW w:type="dxa" w:w="2500"/>
            <w:tcMar>
              <w:top w:type="dxa" w:w="26"/>
              <w:left w:type="dxa" w:w="70"/>
              <w:bottom w:type="dxa" w:w="26"/>
              <w:right w:type="dxa" w:w="70"/>
            </w:tcMar>
          </w:tcPr>
          <w:p>
            <w:r>
              <w:rPr>
                <w:rFonts w:ascii="Arial" w:cs="Arial" w:eastAsia="Arial" w:hAnsi="Arial"/>
                <w:b w:val="false"/>
                <w:bCs w:val="false"/>
                <w:color w:val="1F3B5C"/>
                <w:sz w:val="15"/>
                <w:szCs w:val="15"/>
              </w:rPr>
              <w:t xml:space="preserve">NO</w:t>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currency</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character(3)</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created_at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updated_at</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timestamp without time zone</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r>
        <w:tc>
          <w:tcPr>
            <w:tcW w:type="dxa" w:w="1750"/>
            <w:tcMar>
              <w:top w:type="dxa" w:w="26"/>
              <w:left w:type="dxa" w:w="70"/>
              <w:bottom w:type="dxa" w:w="26"/>
              <w:right w:type="dxa" w:w="70"/>
            </w:tcMar>
          </w:tcPr>
          <w:p>
            <w:r>
              <w:rPr>
                <w:rFonts w:ascii="Arial" w:cs="Arial" w:eastAsia="Arial" w:hAnsi="Arial"/>
                <w:b w:val="false"/>
                <w:bCs w:val="false"/>
                <w:color w:val="000000"/>
                <w:sz w:val="15"/>
                <w:szCs w:val="15"/>
              </w:rPr>
              <w:t xml:space="preserve"/>
            </w:r>
          </w:p>
        </w:tc>
        <w:tc>
          <w:tcPr>
            <w:tcW w:type="dxa" w:w="2250"/>
            <w:tcMar>
              <w:top w:type="dxa" w:w="26"/>
              <w:left w:type="dxa" w:w="70"/>
              <w:bottom w:type="dxa" w:w="26"/>
              <w:right w:type="dxa" w:w="70"/>
            </w:tcMar>
          </w:tcPr>
          <w:p>
            <w:r>
              <w:rPr>
                <w:rFonts w:ascii="Arial" w:cs="Arial" w:eastAsia="Arial" w:hAnsi="Arial"/>
                <w:b w:val="false"/>
                <w:bCs w:val="false"/>
                <w:color w:val="000000"/>
                <w:sz w:val="15"/>
                <w:szCs w:val="15"/>
              </w:rPr>
              <w:t xml:space="preserve">remarks</w:t>
            </w:r>
          </w:p>
        </w:tc>
        <w:tc>
          <w:tcPr>
            <w:tcW w:type="dxa" w:w="2150"/>
            <w:tcMar>
              <w:top w:type="dxa" w:w="26"/>
              <w:left w:type="dxa" w:w="70"/>
              <w:bottom w:type="dxa" w:w="26"/>
              <w:right w:type="dxa" w:w="70"/>
            </w:tcMar>
          </w:tcPr>
          <w:p>
            <w:r>
              <w:rPr>
                <w:rFonts w:ascii="Arial" w:cs="Arial" w:eastAsia="Arial" w:hAnsi="Arial"/>
                <w:b w:val="false"/>
                <w:bCs w:val="false"/>
                <w:color w:val="000000"/>
                <w:sz w:val="15"/>
                <w:szCs w:val="15"/>
              </w:rPr>
              <w:t xml:space="preserve">text</w:t>
            </w:r>
          </w:p>
        </w:tc>
        <w:tc>
          <w:tcPr>
            <w:tcW w:type="dxa" w:w="700"/>
            <w:tcMar>
              <w:top w:type="dxa" w:w="26"/>
              <w:left w:type="dxa" w:w="70"/>
              <w:bottom w:type="dxa" w:w="26"/>
              <w:right w:type="dxa" w:w="70"/>
            </w:tcMar>
          </w:tcPr>
          <w:p>
            <w:r>
              <w:rPr>
                <w:rFonts w:ascii="Arial" w:cs="Arial" w:eastAsia="Arial" w:hAnsi="Arial"/>
                <w:b w:val="false"/>
                <w:bCs w:val="false"/>
                <w:color w:val="000000"/>
                <w:sz w:val="15"/>
                <w:szCs w:val="15"/>
              </w:rPr>
              <w:t xml:space="preserve">NO</w:t>
            </w:r>
          </w:p>
        </w:tc>
        <w:tc>
          <w:tcPr>
            <w:tcW w:type="dxa" w:w="2500"/>
            <w:tcMar>
              <w:top w:type="dxa" w:w="26"/>
              <w:left w:type="dxa" w:w="70"/>
              <w:bottom w:type="dxa" w:w="26"/>
              <w:right w:type="dxa" w:w="70"/>
            </w:tcMar>
          </w:tcPr>
          <w:p>
            <w:r>
              <w:rPr>
                <w:rFonts w:ascii="Arial" w:cs="Arial" w:eastAsia="Arial" w:hAnsi="Arial"/>
                <w:b w:val="false"/>
                <w:bCs w:val="false"/>
                <w:color w:val="000000"/>
                <w:sz w:val="15"/>
                <w:szCs w:val="15"/>
              </w:rPr>
              <w:t xml:space="preserve"/>
            </w:r>
          </w:p>
        </w:tc>
      </w:tr>
    </w:tbl>
    <w:p>
      <w:pPr>
        <w:spacing w:after="170"/>
        <w:jc w:val="center"/>
      </w:pPr>
      <w:r>
        <w:rPr>
          <w:i/>
          <w:iCs/>
          <w:color w:val="666666"/>
          <w:sz w:val="18"/>
          <w:szCs w:val="18"/>
        </w:rPr>
        <w:t xml:space="preserve">Table 1 — Full data dictionary (23 tables · 338 columns · 66 validated FKs).</w:t>
      </w:r>
    </w:p>
    <w:p>
      <w:r>
        <w:br w:type="page"/>
      </w:r>
    </w:p>
    <w:p>
      <w:pPr>
        <w:pStyle w:val="Heading1"/>
        <w:spacing w:after="140" w:before="280"/>
      </w:pPr>
      <w:r>
        <w:rPr>
          <w:color w:val="1F3B5C"/>
        </w:rPr>
        <w:t xml:space="preserve">4. Exploratory Data Analysis (EDA) Highlights</w:t>
      </w:r>
    </w:p>
    <w:p>
      <w:pPr>
        <w:spacing w:after="110"/>
        <w:jc w:val="both"/>
      </w:pPr>
      <w:r>
        <w:rPr>
          <w:b w:val="false"/>
          <w:bCs w:val="false"/>
          <w:i w:val="false"/>
          <w:iCs w:val="false"/>
          <w:color w:val="000000"/>
          <w:sz w:val="21"/>
          <w:szCs w:val="21"/>
        </w:rPr>
        <w:t xml:space="preserve">All statistics below are computed directly from the mock CSVs and are reproducible with the queries in the accompanying schema. Together they quantify the operational distress that motivates the SWOT/gap analysis and the CRM + BI intervention.</w:t>
      </w:r>
    </w:p>
    <w:tbl>
      <w:tblPr>
        <w:tblW w:type="dxa" w:w="10200"/>
        <w:tblBorders>
          <w:top w:val="single" w:color="BBBBBB" w:sz="2"/>
          <w:left w:val="single" w:color="BBBBBB" w:sz="2"/>
          <w:bottom w:val="single" w:color="BBBBBB" w:sz="2"/>
          <w:right w:val="single" w:color="BBBBBB" w:sz="2"/>
          <w:insideH w:val="single" w:color="DDDDDD" w:sz="2"/>
          <w:insideV w:val="single" w:color="DDDDDD" w:sz="2"/>
        </w:tblBorders>
      </w:tblPr>
      <w:tblGrid>
        <w:gridCol w:w="3400"/>
        <w:gridCol w:w="2000"/>
        <w:gridCol w:w="2000"/>
        <w:gridCol w:w="2800"/>
      </w:tblGrid>
      <w:tr>
        <w:trPr>
          <w:tblHeader/>
        </w:trPr>
        <w:tc>
          <w:tcPr>
            <w:tcW w:type="dxa" w:w="3400"/>
            <w:shd w:fill="1F3B5C" w:val="clear"/>
            <w:tcMar>
              <w:top w:type="dxa" w:w="26"/>
              <w:left w:type="dxa" w:w="70"/>
              <w:bottom w:type="dxa" w:w="26"/>
              <w:right w:type="dxa" w:w="70"/>
            </w:tcMar>
          </w:tcPr>
          <w:p>
            <w:r>
              <w:rPr>
                <w:rFonts w:ascii="Arial" w:cs="Arial" w:eastAsia="Arial" w:hAnsi="Arial"/>
                <w:b/>
                <w:bCs/>
                <w:color w:val="FFFFFF"/>
                <w:sz w:val="17"/>
                <w:szCs w:val="17"/>
              </w:rPr>
              <w:t xml:space="preserve">Metric</w:t>
            </w:r>
          </w:p>
        </w:tc>
        <w:tc>
          <w:tcPr>
            <w:tcW w:type="dxa" w:w="2000"/>
            <w:shd w:fill="1F3B5C" w:val="clear"/>
            <w:tcMar>
              <w:top w:type="dxa" w:w="26"/>
              <w:left w:type="dxa" w:w="70"/>
              <w:bottom w:type="dxa" w:w="26"/>
              <w:right w:type="dxa" w:w="70"/>
            </w:tcMar>
          </w:tcPr>
          <w:p>
            <w:r>
              <w:rPr>
                <w:rFonts w:ascii="Arial" w:cs="Arial" w:eastAsia="Arial" w:hAnsi="Arial"/>
                <w:b/>
                <w:bCs/>
                <w:color w:val="FFFFFF"/>
                <w:sz w:val="17"/>
                <w:szCs w:val="17"/>
              </w:rPr>
              <w:t xml:space="preserve">AY 2025</w:t>
            </w:r>
          </w:p>
        </w:tc>
        <w:tc>
          <w:tcPr>
            <w:tcW w:type="dxa" w:w="2000"/>
            <w:shd w:fill="1F3B5C" w:val="clear"/>
            <w:tcMar>
              <w:top w:type="dxa" w:w="26"/>
              <w:left w:type="dxa" w:w="70"/>
              <w:bottom w:type="dxa" w:w="26"/>
              <w:right w:type="dxa" w:w="70"/>
            </w:tcMar>
          </w:tcPr>
          <w:p>
            <w:r>
              <w:rPr>
                <w:rFonts w:ascii="Arial" w:cs="Arial" w:eastAsia="Arial" w:hAnsi="Arial"/>
                <w:b/>
                <w:bCs/>
                <w:color w:val="FFFFFF"/>
                <w:sz w:val="17"/>
                <w:szCs w:val="17"/>
              </w:rPr>
              <w:t xml:space="preserve">AY 2026</w:t>
            </w:r>
          </w:p>
        </w:tc>
        <w:tc>
          <w:tcPr>
            <w:tcW w:type="dxa" w:w="2800"/>
            <w:shd w:fill="1F3B5C" w:val="clear"/>
            <w:tcMar>
              <w:top w:type="dxa" w:w="26"/>
              <w:left w:type="dxa" w:w="70"/>
              <w:bottom w:type="dxa" w:w="26"/>
              <w:right w:type="dxa" w:w="70"/>
            </w:tcMar>
          </w:tcPr>
          <w:p>
            <w:r>
              <w:rPr>
                <w:rFonts w:ascii="Arial" w:cs="Arial" w:eastAsia="Arial" w:hAnsi="Arial"/>
                <w:b/>
                <w:bCs/>
                <w:color w:val="FFFFFF"/>
                <w:sz w:val="17"/>
                <w:szCs w:val="17"/>
              </w:rPr>
              <w:t xml:space="preserve">Reading</w:t>
            </w:r>
          </w:p>
        </w:tc>
      </w:tr>
      <w:tr>
        <w:tc>
          <w:tcPr>
            <w:tcW w:type="dxa" w:w="3400"/>
            <w:tcMar>
              <w:top w:type="dxa" w:w="26"/>
              <w:left w:type="dxa" w:w="70"/>
              <w:bottom w:type="dxa" w:w="26"/>
              <w:right w:type="dxa" w:w="70"/>
            </w:tcMar>
          </w:tcPr>
          <w:p>
            <w:r>
              <w:rPr>
                <w:rFonts w:ascii="Arial" w:cs="Arial" w:eastAsia="Arial" w:hAnsi="Arial"/>
                <w:b w:val="false"/>
                <w:bCs w:val="false"/>
                <w:color w:val="000000"/>
                <w:sz w:val="17"/>
                <w:szCs w:val="17"/>
              </w:rPr>
              <w:t xml:space="preserve">Lead → order conversion</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27.1% (19/70)</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15.5% (17/110)</w:t>
            </w:r>
          </w:p>
        </w:tc>
        <w:tc>
          <w:tcPr>
            <w:tcW w:type="dxa" w:w="2800"/>
            <w:tcMar>
              <w:top w:type="dxa" w:w="26"/>
              <w:left w:type="dxa" w:w="70"/>
              <w:bottom w:type="dxa" w:w="26"/>
              <w:right w:type="dxa" w:w="70"/>
            </w:tcMar>
          </w:tcPr>
          <w:p>
            <w:r>
              <w:rPr>
                <w:rFonts w:ascii="Arial" w:cs="Arial" w:eastAsia="Arial" w:hAnsi="Arial"/>
                <w:b w:val="false"/>
                <w:bCs w:val="false"/>
                <w:color w:val="666666"/>
                <w:sz w:val="17"/>
                <w:szCs w:val="17"/>
              </w:rPr>
              <w:t xml:space="preserve">Down 11.6 pts despite 57% more leads</w:t>
            </w:r>
          </w:p>
        </w:tc>
      </w:tr>
      <w:tr>
        <w:tc>
          <w:tcPr>
            <w:tcW w:type="dxa" w:w="3400"/>
            <w:tcMar>
              <w:top w:type="dxa" w:w="26"/>
              <w:left w:type="dxa" w:w="70"/>
              <w:bottom w:type="dxa" w:w="26"/>
              <w:right w:type="dxa" w:w="70"/>
            </w:tcMar>
          </w:tcPr>
          <w:p>
            <w:r>
              <w:rPr>
                <w:rFonts w:ascii="Arial" w:cs="Arial" w:eastAsia="Arial" w:hAnsi="Arial"/>
                <w:b w:val="false"/>
                <w:bCs w:val="false"/>
                <w:color w:val="000000"/>
                <w:sz w:val="17"/>
                <w:szCs w:val="17"/>
              </w:rPr>
              <w:t xml:space="preserve">Orders delivered late</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47.4% (9/19)</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85.7% (12/14)</w:t>
            </w:r>
          </w:p>
        </w:tc>
        <w:tc>
          <w:tcPr>
            <w:tcW w:type="dxa" w:w="2800"/>
            <w:tcMar>
              <w:top w:type="dxa" w:w="26"/>
              <w:left w:type="dxa" w:w="70"/>
              <w:bottom w:type="dxa" w:w="26"/>
              <w:right w:type="dxa" w:w="70"/>
            </w:tcMar>
          </w:tcPr>
          <w:p>
            <w:r>
              <w:rPr>
                <w:rFonts w:ascii="Arial" w:cs="Arial" w:eastAsia="Arial" w:hAnsi="Arial"/>
                <w:b w:val="false"/>
                <w:bCs w:val="false"/>
                <w:color w:val="666666"/>
                <w:sz w:val="17"/>
                <w:szCs w:val="17"/>
              </w:rPr>
              <w:t xml:space="preserve">Avg slip 5.5 → 12.6 days</w:t>
            </w:r>
          </w:p>
        </w:tc>
      </w:tr>
      <w:tr>
        <w:tc>
          <w:tcPr>
            <w:tcW w:type="dxa" w:w="3400"/>
            <w:tcMar>
              <w:top w:type="dxa" w:w="26"/>
              <w:left w:type="dxa" w:w="70"/>
              <w:bottom w:type="dxa" w:w="26"/>
              <w:right w:type="dxa" w:w="70"/>
            </w:tcMar>
          </w:tcPr>
          <w:p>
            <w:r>
              <w:rPr>
                <w:rFonts w:ascii="Arial" w:cs="Arial" w:eastAsia="Arial" w:hAnsi="Arial"/>
                <w:b w:val="false"/>
                <w:bCs w:val="false"/>
                <w:color w:val="000000"/>
                <w:sz w:val="17"/>
                <w:szCs w:val="17"/>
              </w:rPr>
              <w:t xml:space="preserve">Fabric POs delivered late</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38.9% overall (14/36)</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w:t>
            </w:r>
          </w:p>
        </w:tc>
        <w:tc>
          <w:tcPr>
            <w:tcW w:type="dxa" w:w="2800"/>
            <w:tcMar>
              <w:top w:type="dxa" w:w="26"/>
              <w:left w:type="dxa" w:w="70"/>
              <w:bottom w:type="dxa" w:w="26"/>
              <w:right w:type="dxa" w:w="70"/>
            </w:tcMar>
          </w:tcPr>
          <w:p>
            <w:r>
              <w:rPr>
                <w:rFonts w:ascii="Arial" w:cs="Arial" w:eastAsia="Arial" w:hAnsi="Arial"/>
                <w:b w:val="false"/>
                <w:bCs w:val="false"/>
                <w:color w:val="666666"/>
                <w:sz w:val="17"/>
                <w:szCs w:val="17"/>
              </w:rPr>
              <w:t xml:space="preserve">Quayside 6/9 and Boyne Valley 4/8 late</w:t>
            </w:r>
          </w:p>
        </w:tc>
      </w:tr>
      <w:tr>
        <w:tc>
          <w:tcPr>
            <w:tcW w:type="dxa" w:w="3400"/>
            <w:tcMar>
              <w:top w:type="dxa" w:w="26"/>
              <w:left w:type="dxa" w:w="70"/>
              <w:bottom w:type="dxa" w:w="26"/>
              <w:right w:type="dxa" w:w="70"/>
            </w:tcMar>
          </w:tcPr>
          <w:p>
            <w:r>
              <w:rPr>
                <w:rFonts w:ascii="Arial" w:cs="Arial" w:eastAsia="Arial" w:hAnsi="Arial"/>
                <w:b w:val="false"/>
                <w:bCs w:val="false"/>
                <w:color w:val="000000"/>
                <w:sz w:val="17"/>
                <w:szCs w:val="17"/>
              </w:rPr>
              <w:t xml:space="preserve">Cutting wastage (mean of 194 lays)</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11.2% actual vs 4.6% planned</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w:t>
            </w:r>
          </w:p>
        </w:tc>
        <w:tc>
          <w:tcPr>
            <w:tcW w:type="dxa" w:w="2800"/>
            <w:tcMar>
              <w:top w:type="dxa" w:w="26"/>
              <w:left w:type="dxa" w:w="70"/>
              <w:bottom w:type="dxa" w:w="26"/>
              <w:right w:type="dxa" w:w="70"/>
            </w:tcMar>
          </w:tcPr>
          <w:p>
            <w:r>
              <w:rPr>
                <w:rFonts w:ascii="Arial" w:cs="Arial" w:eastAsia="Arial" w:hAnsi="Arial"/>
                <w:b w:val="false"/>
                <w:bCs w:val="false"/>
                <w:color w:val="666666"/>
                <w:sz w:val="17"/>
                <w:szCs w:val="17"/>
              </w:rPr>
              <w:t xml:space="preserve">Range 0.5%–34%; 2.4× plan</w:t>
            </w:r>
          </w:p>
        </w:tc>
      </w:tr>
      <w:tr>
        <w:tc>
          <w:tcPr>
            <w:tcW w:type="dxa" w:w="3400"/>
            <w:tcMar>
              <w:top w:type="dxa" w:w="26"/>
              <w:left w:type="dxa" w:w="70"/>
              <w:bottom w:type="dxa" w:w="26"/>
              <w:right w:type="dxa" w:w="70"/>
            </w:tcMar>
          </w:tcPr>
          <w:p>
            <w:r>
              <w:rPr>
                <w:rFonts w:ascii="Arial" w:cs="Arial" w:eastAsia="Arial" w:hAnsi="Arial"/>
                <w:b w:val="false"/>
                <w:bCs w:val="false"/>
                <w:color w:val="000000"/>
                <w:sz w:val="17"/>
                <w:szCs w:val="17"/>
              </w:rPr>
              <w:t xml:space="preserve">Fabric idle in lots</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17.5% of 22,417 m</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w:t>
            </w:r>
          </w:p>
        </w:tc>
        <w:tc>
          <w:tcPr>
            <w:tcW w:type="dxa" w:w="2800"/>
            <w:tcMar>
              <w:top w:type="dxa" w:w="26"/>
              <w:left w:type="dxa" w:w="70"/>
              <w:bottom w:type="dxa" w:w="26"/>
              <w:right w:type="dxa" w:w="70"/>
            </w:tcMar>
          </w:tcPr>
          <w:p>
            <w:r>
              <w:rPr>
                <w:rFonts w:ascii="Arial" w:cs="Arial" w:eastAsia="Arial" w:hAnsi="Arial"/>
                <w:b w:val="false"/>
                <w:bCs w:val="false"/>
                <w:color w:val="666666"/>
                <w:sz w:val="17"/>
                <w:szCs w:val="17"/>
              </w:rPr>
              <w:t xml:space="preserve">€209,214 total fabric spend</w:t>
            </w:r>
          </w:p>
        </w:tc>
      </w:tr>
      <w:tr>
        <w:tc>
          <w:tcPr>
            <w:tcW w:type="dxa" w:w="3400"/>
            <w:tcMar>
              <w:top w:type="dxa" w:w="26"/>
              <w:left w:type="dxa" w:w="70"/>
              <w:bottom w:type="dxa" w:w="26"/>
              <w:right w:type="dxa" w:w="70"/>
            </w:tcMar>
          </w:tcPr>
          <w:p>
            <w:r>
              <w:rPr>
                <w:rFonts w:ascii="Arial" w:cs="Arial" w:eastAsia="Arial" w:hAnsi="Arial"/>
                <w:b w:val="false"/>
                <w:bCs w:val="false"/>
                <w:color w:val="000000"/>
                <w:sz w:val="17"/>
                <w:szCs w:val="17"/>
              </w:rPr>
              <w:t xml:space="preserve">Garment return rate</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4.8% (256 of 5,370 pieces)</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w:t>
            </w:r>
          </w:p>
        </w:tc>
        <w:tc>
          <w:tcPr>
            <w:tcW w:type="dxa" w:w="2800"/>
            <w:tcMar>
              <w:top w:type="dxa" w:w="26"/>
              <w:left w:type="dxa" w:w="70"/>
              <w:bottom w:type="dxa" w:w="26"/>
              <w:right w:type="dxa" w:w="70"/>
            </w:tcMar>
          </w:tcPr>
          <w:p>
            <w:r>
              <w:rPr>
                <w:rFonts w:ascii="Arial" w:cs="Arial" w:eastAsia="Arial" w:hAnsi="Arial"/>
                <w:b w:val="false"/>
                <w:bCs w:val="false"/>
                <w:color w:val="666666"/>
                <w:sz w:val="17"/>
                <w:szCs w:val="17"/>
              </w:rPr>
              <w:t xml:space="preserve">Top: size remakes, hem faults, shade mismatch</w:t>
            </w:r>
          </w:p>
        </w:tc>
      </w:tr>
      <w:tr>
        <w:tc>
          <w:tcPr>
            <w:tcW w:type="dxa" w:w="3400"/>
            <w:tcMar>
              <w:top w:type="dxa" w:w="26"/>
              <w:left w:type="dxa" w:w="70"/>
              <w:bottom w:type="dxa" w:w="26"/>
              <w:right w:type="dxa" w:w="70"/>
            </w:tcMar>
          </w:tcPr>
          <w:p>
            <w:r>
              <w:rPr>
                <w:rFonts w:ascii="Arial" w:cs="Arial" w:eastAsia="Arial" w:hAnsi="Arial"/>
                <w:b w:val="false"/>
                <w:bCs w:val="false"/>
                <w:color w:val="000000"/>
                <w:sz w:val="17"/>
                <w:szCs w:val="17"/>
              </w:rPr>
              <w:t xml:space="preserve">Invoiced vs collected</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€514,905 invoiced</w:t>
            </w:r>
          </w:p>
        </w:tc>
        <w:tc>
          <w:tcPr>
            <w:tcW w:type="dxa" w:w="2000"/>
            <w:tcMar>
              <w:top w:type="dxa" w:w="26"/>
              <w:left w:type="dxa" w:w="70"/>
              <w:bottom w:type="dxa" w:w="26"/>
              <w:right w:type="dxa" w:w="70"/>
            </w:tcMar>
          </w:tcPr>
          <w:p>
            <w:r>
              <w:rPr>
                <w:rFonts w:ascii="Arial" w:cs="Arial" w:eastAsia="Arial" w:hAnsi="Arial"/>
                <w:b w:val="false"/>
                <w:bCs w:val="false"/>
                <w:color w:val="000000"/>
                <w:sz w:val="17"/>
                <w:szCs w:val="17"/>
              </w:rPr>
              <w:t xml:space="preserve">€445,913 collected</w:t>
            </w:r>
          </w:p>
        </w:tc>
        <w:tc>
          <w:tcPr>
            <w:tcW w:type="dxa" w:w="2800"/>
            <w:tcMar>
              <w:top w:type="dxa" w:w="26"/>
              <w:left w:type="dxa" w:w="70"/>
              <w:bottom w:type="dxa" w:w="26"/>
              <w:right w:type="dxa" w:w="70"/>
            </w:tcMar>
          </w:tcPr>
          <w:p>
            <w:r>
              <w:rPr>
                <w:rFonts w:ascii="Arial" w:cs="Arial" w:eastAsia="Arial" w:hAnsi="Arial"/>
                <w:b w:val="false"/>
                <w:bCs w:val="false"/>
                <w:color w:val="666666"/>
                <w:sz w:val="17"/>
                <w:szCs w:val="17"/>
              </w:rPr>
              <w:t xml:space="preserve">€68,992 (13.4%) receivables outstanding</w:t>
            </w:r>
          </w:p>
        </w:tc>
      </w:tr>
    </w:tbl>
    <w:p>
      <w:pPr>
        <w:spacing w:after="170"/>
        <w:jc w:val="center"/>
      </w:pPr>
      <w:r>
        <w:rPr>
          <w:i/>
          <w:iCs/>
          <w:color w:val="666666"/>
          <w:sz w:val="18"/>
          <w:szCs w:val="18"/>
        </w:rPr>
        <w:t xml:space="preserve">Table 2 — Headline metrics by academic year.</w:t>
      </w:r>
    </w:p>
    <w:p>
      <w:pPr>
        <w:pStyle w:val="Heading2"/>
        <w:spacing w:after="110" w:before="220"/>
      </w:pPr>
      <w:r>
        <w:rPr>
          <w:color w:val="1F3B5C"/>
        </w:rPr>
        <w:t xml:space="preserve">4.1 The sales funnel is leaking</w:t>
      </w:r>
    </w:p>
    <w:p>
      <w:pPr>
        <w:spacing w:after="60" w:before="80"/>
        <w:jc w:val="center"/>
      </w:pPr>
      <w:r>
        <w:drawing>
          <wp:inline distT="0" distB="0" distL="0" distR="0">
            <wp:extent cx="4476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33650"/>
                    </a:xfrm>
                    <a:prstGeom prst="rect">
                      <a:avLst/>
                    </a:prstGeom>
                  </pic:spPr>
                </pic:pic>
              </a:graphicData>
            </a:graphic>
          </wp:inline>
        </w:drawing>
      </w:r>
    </w:p>
    <w:p>
      <w:pPr>
        <w:spacing w:after="170"/>
        <w:jc w:val="center"/>
      </w:pPr>
      <w:r>
        <w:rPr>
          <w:i/>
          <w:iCs/>
          <w:color w:val="666666"/>
          <w:sz w:val="18"/>
          <w:szCs w:val="18"/>
        </w:rPr>
        <w:t xml:space="preserve">Figure 3 — Leads rose 70 → 110, but conversions fell 19 → 17.</w:t>
      </w:r>
    </w:p>
    <w:p>
      <w:pPr>
        <w:spacing w:after="110"/>
        <w:jc w:val="both"/>
      </w:pPr>
      <w:r>
        <w:rPr>
          <w:b w:val="false"/>
          <w:bCs w:val="false"/>
          <w:i w:val="false"/>
          <w:iCs w:val="false"/>
          <w:color w:val="000000"/>
          <w:sz w:val="21"/>
          <w:szCs w:val="21"/>
        </w:rPr>
        <w:t xml:space="preserve">Marketing is generating more demand than ever, yet conversion nearly halved (27.1% → 15.5%). 60 of 180 leads ended Lost and 21 sit Dormant — evidence of follow-up failure rather than demand failure, since follow-up dates and next actions are frequently overdue in leads_master.</w:t>
      </w:r>
    </w:p>
    <w:p>
      <w:pPr>
        <w:spacing w:after="60" w:before="8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170"/>
        <w:jc w:val="center"/>
      </w:pPr>
      <w:r>
        <w:rPr>
          <w:i/>
          <w:iCs/>
          <w:color w:val="666666"/>
          <w:sz w:val="18"/>
          <w:szCs w:val="18"/>
        </w:rPr>
        <w:t xml:space="preserve">Figure 4 — Conversion by source; volume ≠ quality.</w:t>
      </w:r>
    </w:p>
    <w:p>
      <w:pPr>
        <w:spacing w:after="110"/>
        <w:jc w:val="both"/>
      </w:pPr>
      <w:r>
        <w:rPr>
          <w:b w:val="false"/>
          <w:bCs w:val="false"/>
          <w:i w:val="false"/>
          <w:iCs w:val="false"/>
          <w:color w:val="000000"/>
          <w:sz w:val="21"/>
          <w:szCs w:val="21"/>
        </w:rPr>
        <w:t xml:space="preserve">Education trade fairs (29.4%) and the website (26.1%, and the largest source at 46 leads) outperform; Social Media converted 0 of 14 leads and Repeat Customer conversion (14.8%) is alarmingly low for what should be the warmest segment — a retention red flag.</w:t>
      </w:r>
    </w:p>
    <w:p>
      <w:pPr>
        <w:pStyle w:val="Heading2"/>
        <w:spacing w:after="110" w:before="220"/>
      </w:pPr>
      <w:r>
        <w:rPr>
          <w:color w:val="1F3B5C"/>
        </w:rPr>
        <w:t xml:space="preserve">4.2 Delivery punctuality is collapsing</w:t>
      </w:r>
    </w:p>
    <w:p>
      <w:pPr>
        <w:spacing w:after="60" w:before="80"/>
        <w:jc w:val="center"/>
      </w:pPr>
      <w:r>
        <w:drawing>
          <wp:inline distT="0" distB="0" distL="0" distR="0">
            <wp:extent cx="4476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33650"/>
                    </a:xfrm>
                    <a:prstGeom prst="rect">
                      <a:avLst/>
                    </a:prstGeom>
                  </pic:spPr>
                </pic:pic>
              </a:graphicData>
            </a:graphic>
          </wp:inline>
        </w:drawing>
      </w:r>
    </w:p>
    <w:p>
      <w:pPr>
        <w:spacing w:after="170"/>
        <w:jc w:val="center"/>
      </w:pPr>
      <w:r>
        <w:rPr>
          <w:i/>
          <w:iCs/>
          <w:color w:val="666666"/>
          <w:sz w:val="18"/>
          <w:szCs w:val="18"/>
        </w:rPr>
        <w:t xml:space="preserve">Figure 5 — Late deliveries 47% → 86% of delivered orders; average slip 5.5 → 12.6 days.</w:t>
      </w:r>
    </w:p>
    <w:p>
      <w:pPr>
        <w:spacing w:after="60" w:before="8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86050"/>
                    </a:xfrm>
                    <a:prstGeom prst="rect">
                      <a:avLst/>
                    </a:prstGeom>
                  </pic:spPr>
                </pic:pic>
              </a:graphicData>
            </a:graphic>
          </wp:inline>
        </w:drawing>
      </w:r>
    </w:p>
    <w:p>
      <w:pPr>
        <w:spacing w:after="170"/>
        <w:jc w:val="center"/>
      </w:pPr>
      <w:r>
        <w:rPr>
          <w:i/>
          <w:iCs/>
          <w:color w:val="666666"/>
          <w:sz w:val="18"/>
          <w:szCs w:val="18"/>
        </w:rPr>
        <w:t xml:space="preserve">Figure 6 — 14 of 36 fabric POs (39%) arrived late; Quayside Fabric Traders (6/9) and Boyne Valley Textiles (4/8) are chronic.</w:t>
      </w:r>
    </w:p>
    <w:p>
      <w:pPr>
        <w:spacing w:after="110"/>
        <w:jc w:val="both"/>
      </w:pPr>
      <w:r>
        <w:rPr>
          <w:b w:val="false"/>
          <w:bCs w:val="false"/>
          <w:i w:val="false"/>
          <w:iCs w:val="false"/>
          <w:color w:val="000000"/>
          <w:sz w:val="21"/>
          <w:szCs w:val="21"/>
        </w:rPr>
        <w:t xml:space="preserve">Late fabric arrivals cascade directly into late school deliveries — orders supplied by the two chronic vendors dominate the AY2026 late list. Uniforms that miss the back-to-school window are the single biggest driver of the returns and reputation damage below.</w:t>
      </w:r>
    </w:p>
    <w:p>
      <w:pPr>
        <w:pStyle w:val="Heading2"/>
        <w:spacing w:after="110" w:before="220"/>
      </w:pPr>
      <w:r>
        <w:rPr>
          <w:color w:val="1F3B5C"/>
        </w:rPr>
        <w:t xml:space="preserve">4.3 The factory burns margin</w:t>
      </w:r>
    </w:p>
    <w:p>
      <w:pPr>
        <w:spacing w:after="60" w:before="80"/>
        <w:jc w:val="center"/>
      </w:pPr>
      <w:r>
        <w:drawing>
          <wp:inline distT="0" distB="0" distL="0" distR="0">
            <wp:extent cx="4476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33650"/>
                    </a:xfrm>
                    <a:prstGeom prst="rect">
                      <a:avLst/>
                    </a:prstGeom>
                  </pic:spPr>
                </pic:pic>
              </a:graphicData>
            </a:graphic>
          </wp:inline>
        </w:drawing>
      </w:r>
    </w:p>
    <w:p>
      <w:pPr>
        <w:spacing w:after="170"/>
        <w:jc w:val="center"/>
      </w:pPr>
      <w:r>
        <w:rPr>
          <w:i/>
          <w:iCs/>
          <w:color w:val="666666"/>
          <w:sz w:val="18"/>
          <w:szCs w:val="18"/>
        </w:rPr>
        <w:t xml:space="preserve">Figure 7 — Actual wastage per lay vs the 5% plan.</w:t>
      </w:r>
    </w:p>
    <w:p>
      <w:pPr>
        <w:spacing w:after="110"/>
        <w:jc w:val="both"/>
      </w:pPr>
      <w:r>
        <w:rPr>
          <w:b w:val="false"/>
          <w:bCs w:val="false"/>
          <w:i w:val="false"/>
          <w:iCs w:val="false"/>
          <w:color w:val="000000"/>
          <w:sz w:val="21"/>
          <w:szCs w:val="21"/>
        </w:rPr>
        <w:t xml:space="preserve">Mean wastage of 11.2% vs 4.6% planned, with lays as high as 34%. The recorded reasons are process problems, not fabric problems: operator re-cuts (40 entries), shade variation between lots (38) and tartan pattern misalignment (30) lead the Pareto — all addressable with marker software and lot-shade controls.</w:t>
      </w:r>
    </w:p>
    <w:p>
      <w:pPr>
        <w:spacing w:after="60" w:before="80"/>
        <w:jc w:val="center"/>
      </w:pPr>
      <w:r>
        <w:drawing>
          <wp:inline distT="0" distB="0" distL="0" distR="0">
            <wp:extent cx="4476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90775"/>
                    </a:xfrm>
                    <a:prstGeom prst="rect">
                      <a:avLst/>
                    </a:prstGeom>
                  </pic:spPr>
                </pic:pic>
              </a:graphicData>
            </a:graphic>
          </wp:inline>
        </w:drawing>
      </w:r>
    </w:p>
    <w:p>
      <w:pPr>
        <w:spacing w:after="170"/>
        <w:jc w:val="center"/>
      </w:pPr>
      <w:r>
        <w:rPr>
          <w:i/>
          <w:iCs/>
          <w:color w:val="666666"/>
          <w:sz w:val="18"/>
          <w:szCs w:val="18"/>
        </w:rPr>
        <w:t xml:space="preserve">Figure 8 — 17.5% of purchased fabric (≈3,913 m of 22,417 m) sits idle across 149 lots.</w:t>
      </w:r>
    </w:p>
    <w:p>
      <w:pPr>
        <w:pStyle w:val="Heading2"/>
        <w:spacing w:after="110" w:before="220"/>
      </w:pPr>
      <w:r>
        <w:rPr>
          <w:color w:val="1F3B5C"/>
        </w:rPr>
        <w:t xml:space="preserve">4.4 Quality and cash leakage</w:t>
      </w:r>
    </w:p>
    <w:p>
      <w:pPr>
        <w:spacing w:after="60" w:before="8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19325"/>
                    </a:xfrm>
                    <a:prstGeom prst="rect">
                      <a:avLst/>
                    </a:prstGeom>
                  </pic:spPr>
                </pic:pic>
              </a:graphicData>
            </a:graphic>
          </wp:inline>
        </w:drawing>
      </w:r>
    </w:p>
    <w:p>
      <w:pPr>
        <w:spacing w:after="170"/>
        <w:jc w:val="center"/>
      </w:pPr>
      <w:r>
        <w:rPr>
          <w:i/>
          <w:iCs/>
          <w:color w:val="666666"/>
          <w:sz w:val="18"/>
          <w:szCs w:val="18"/>
        </w:rPr>
        <w:t xml:space="preserve">Figure 9 — Receivables and piece-level returns.</w:t>
      </w:r>
    </w:p>
    <w:p>
      <w:pPr>
        <w:spacing w:after="110"/>
        <w:jc w:val="both"/>
      </w:pPr>
      <w:r>
        <w:rPr>
          <w:b w:val="false"/>
          <w:bCs w:val="false"/>
          <w:i w:val="false"/>
          <w:iCs w:val="false"/>
          <w:color w:val="000000"/>
          <w:sz w:val="21"/>
          <w:szCs w:val="21"/>
        </w:rPr>
        <w:t xml:space="preserve">4.8% of delivered garments come back — size remakes (57), hem faults (52) and fabric shade mismatch (51) top the reasons, tying quality directly to the cutting-floor findings. Financially, €68,992 of €514,905 invoiced remains outstanding, and at student level €220,818 of €437,940 payable is still uncollected — the receivables-ageing problem the BI layer must make visible. Every invoice satisfies grand_total = net_total + vat_amount, with 27 invoices at 23% VAT (adult sizes) and 9 at 0% (children's clothing).</w:t>
      </w:r>
    </w:p>
    <w:p>
      <w:pPr>
        <w:pStyle w:val="Heading2"/>
        <w:spacing w:after="110" w:before="220"/>
      </w:pPr>
      <w:r>
        <w:rPr>
          <w:color w:val="1F3B5C"/>
        </w:rPr>
        <w:t xml:space="preserve">4.5 Linking the EDA to the SWOT / gap analysis</w:t>
      </w:r>
    </w:p>
    <w:tbl>
      <w:tblPr>
        <w:tblW w:type="dxa" w:w="10200"/>
        <w:tblBorders>
          <w:top w:val="single" w:color="BBBBBB" w:sz="2"/>
          <w:left w:val="single" w:color="BBBBBB" w:sz="2"/>
          <w:bottom w:val="single" w:color="BBBBBB" w:sz="2"/>
          <w:right w:val="single" w:color="BBBBBB" w:sz="2"/>
          <w:insideH w:val="single" w:color="DDDDDD" w:sz="2"/>
          <w:insideV w:val="single" w:color="DDDDDD" w:sz="2"/>
        </w:tblBorders>
      </w:tblPr>
      <w:tblGrid>
        <w:gridCol w:w="3200"/>
        <w:gridCol w:w="3500"/>
        <w:gridCol w:w="3500"/>
      </w:tblGrid>
      <w:tr>
        <w:trPr>
          <w:tblHeader/>
        </w:trPr>
        <w:tc>
          <w:tcPr>
            <w:tcW w:type="dxa" w:w="3200"/>
            <w:shd w:fill="1F3B5C" w:val="clear"/>
            <w:tcMar>
              <w:top w:type="dxa" w:w="26"/>
              <w:left w:type="dxa" w:w="70"/>
              <w:bottom w:type="dxa" w:w="26"/>
              <w:right w:type="dxa" w:w="70"/>
            </w:tcMar>
          </w:tcPr>
          <w:p>
            <w:r>
              <w:rPr>
                <w:rFonts w:ascii="Arial" w:cs="Arial" w:eastAsia="Arial" w:hAnsi="Arial"/>
                <w:b/>
                <w:bCs/>
                <w:color w:val="FFFFFF"/>
                <w:sz w:val="17"/>
                <w:szCs w:val="17"/>
              </w:rPr>
              <w:t xml:space="preserve">SWOT / gap item</w:t>
            </w:r>
          </w:p>
        </w:tc>
        <w:tc>
          <w:tcPr>
            <w:tcW w:type="dxa" w:w="3500"/>
            <w:shd w:fill="1F3B5C" w:val="clear"/>
            <w:tcMar>
              <w:top w:type="dxa" w:w="26"/>
              <w:left w:type="dxa" w:w="70"/>
              <w:bottom w:type="dxa" w:w="26"/>
              <w:right w:type="dxa" w:w="70"/>
            </w:tcMar>
          </w:tcPr>
          <w:p>
            <w:r>
              <w:rPr>
                <w:rFonts w:ascii="Arial" w:cs="Arial" w:eastAsia="Arial" w:hAnsi="Arial"/>
                <w:b/>
                <w:bCs/>
                <w:color w:val="FFFFFF"/>
                <w:sz w:val="17"/>
                <w:szCs w:val="17"/>
              </w:rPr>
              <w:t xml:space="preserve">Evidence in the mock data</w:t>
            </w:r>
          </w:p>
        </w:tc>
        <w:tc>
          <w:tcPr>
            <w:tcW w:type="dxa" w:w="3500"/>
            <w:shd w:fill="1F3B5C" w:val="clear"/>
            <w:tcMar>
              <w:top w:type="dxa" w:w="26"/>
              <w:left w:type="dxa" w:w="70"/>
              <w:bottom w:type="dxa" w:w="26"/>
              <w:right w:type="dxa" w:w="70"/>
            </w:tcMar>
          </w:tcPr>
          <w:p>
            <w:r>
              <w:rPr>
                <w:rFonts w:ascii="Arial" w:cs="Arial" w:eastAsia="Arial" w:hAnsi="Arial"/>
                <w:b/>
                <w:bCs/>
                <w:color w:val="FFFFFF"/>
                <w:sz w:val="17"/>
                <w:szCs w:val="17"/>
              </w:rPr>
              <w:t xml:space="preserve">BI / CRM response</w:t>
            </w:r>
          </w:p>
        </w:tc>
      </w:tr>
      <w:tr>
        <w:tc>
          <w:tcPr>
            <w:tcW w:type="dxa" w:w="3200"/>
            <w:tcMar>
              <w:top w:type="dxa" w:w="26"/>
              <w:left w:type="dxa" w:w="70"/>
              <w:bottom w:type="dxa" w:w="26"/>
              <w:right w:type="dxa" w:w="70"/>
            </w:tcMar>
          </w:tcPr>
          <w:p>
            <w:r>
              <w:rPr>
                <w:rFonts w:ascii="Arial" w:cs="Arial" w:eastAsia="Arial" w:hAnsi="Arial"/>
                <w:b w:val="false"/>
                <w:bCs w:val="false"/>
                <w:color w:val="000000"/>
                <w:sz w:val="17"/>
                <w:szCs w:val="17"/>
              </w:rPr>
              <w:t xml:space="preserve">Weakness — sales funnel leaking</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Conversion 27.1% → 15.5%; Social Media converts 0/14; 36 leads Lost in AY2026</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CRM pipeline stages, follow-up SLAs, lead-source ROI dashboard</w:t>
            </w:r>
          </w:p>
        </w:tc>
      </w:tr>
      <w:tr>
        <w:tc>
          <w:tcPr>
            <w:tcW w:type="dxa" w:w="3200"/>
            <w:tcMar>
              <w:top w:type="dxa" w:w="26"/>
              <w:left w:type="dxa" w:w="70"/>
              <w:bottom w:type="dxa" w:w="26"/>
              <w:right w:type="dxa" w:w="70"/>
            </w:tcMar>
          </w:tcPr>
          <w:p>
            <w:r>
              <w:rPr>
                <w:rFonts w:ascii="Arial" w:cs="Arial" w:eastAsia="Arial" w:hAnsi="Arial"/>
                <w:b w:val="false"/>
                <w:bCs w:val="false"/>
                <w:color w:val="000000"/>
                <w:sz w:val="17"/>
                <w:szCs w:val="17"/>
              </w:rPr>
              <w:t xml:space="preserve">Weakness — chronic lateness</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86% of AY2026 orders late; late fabric POs correlate with late orders</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Supplier scorecard + order-punctuality dashboard; reorder-point alerts</w:t>
            </w:r>
          </w:p>
        </w:tc>
      </w:tr>
      <w:tr>
        <w:tc>
          <w:tcPr>
            <w:tcW w:type="dxa" w:w="3200"/>
            <w:tcMar>
              <w:top w:type="dxa" w:w="26"/>
              <w:left w:type="dxa" w:w="70"/>
              <w:bottom w:type="dxa" w:w="26"/>
              <w:right w:type="dxa" w:w="70"/>
            </w:tcMar>
          </w:tcPr>
          <w:p>
            <w:r>
              <w:rPr>
                <w:rFonts w:ascii="Arial" w:cs="Arial" w:eastAsia="Arial" w:hAnsi="Arial"/>
                <w:b w:val="false"/>
                <w:bCs w:val="false"/>
                <w:color w:val="000000"/>
                <w:sz w:val="17"/>
                <w:szCs w:val="17"/>
              </w:rPr>
              <w:t xml:space="preserve">Weakness — factory efficiency</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Wastage 2.4× plan; 17.5% of fabric idle (≈€36.6k tied up)</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Wastage-by-reason Pareto; lot-utilisation report</w:t>
            </w:r>
          </w:p>
        </w:tc>
      </w:tr>
      <w:tr>
        <w:tc>
          <w:tcPr>
            <w:tcW w:type="dxa" w:w="3200"/>
            <w:tcMar>
              <w:top w:type="dxa" w:w="26"/>
              <w:left w:type="dxa" w:w="70"/>
              <w:bottom w:type="dxa" w:w="26"/>
              <w:right w:type="dxa" w:w="70"/>
            </w:tcMar>
          </w:tcPr>
          <w:p>
            <w:r>
              <w:rPr>
                <w:rFonts w:ascii="Arial" w:cs="Arial" w:eastAsia="Arial" w:hAnsi="Arial"/>
                <w:b w:val="false"/>
                <w:bCs w:val="false"/>
                <w:color w:val="000000"/>
                <w:sz w:val="17"/>
                <w:szCs w:val="17"/>
              </w:rPr>
              <w:t xml:space="preserve">Weakness — cash collection</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€69k receivables outstanding; €220.8k parent balances unpaid at measurement level</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Receivables-ageing dashboard; automated payment reminders via CRM</w:t>
            </w:r>
          </w:p>
        </w:tc>
      </w:tr>
      <w:tr>
        <w:tc>
          <w:tcPr>
            <w:tcW w:type="dxa" w:w="3200"/>
            <w:tcMar>
              <w:top w:type="dxa" w:w="26"/>
              <w:left w:type="dxa" w:w="70"/>
              <w:bottom w:type="dxa" w:w="26"/>
              <w:right w:type="dxa" w:w="70"/>
            </w:tcMar>
          </w:tcPr>
          <w:p>
            <w:r>
              <w:rPr>
                <w:rFonts w:ascii="Arial" w:cs="Arial" w:eastAsia="Arial" w:hAnsi="Arial"/>
                <w:b w:val="false"/>
                <w:bCs w:val="false"/>
                <w:color w:val="000000"/>
                <w:sz w:val="17"/>
                <w:szCs w:val="17"/>
              </w:rPr>
              <w:t xml:space="preserve">Strength — data capture discipline</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Piece-level delivery_records (5,370 rows), 6-phase production log, lot-level fabric traceability</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Foundation is strong enough to power BI without re-platforming</w:t>
            </w:r>
          </w:p>
        </w:tc>
      </w:tr>
      <w:tr>
        <w:tc>
          <w:tcPr>
            <w:tcW w:type="dxa" w:w="3200"/>
            <w:tcMar>
              <w:top w:type="dxa" w:w="26"/>
              <w:left w:type="dxa" w:w="70"/>
              <w:bottom w:type="dxa" w:w="26"/>
              <w:right w:type="dxa" w:w="70"/>
            </w:tcMar>
          </w:tcPr>
          <w:p>
            <w:r>
              <w:rPr>
                <w:rFonts w:ascii="Arial" w:cs="Arial" w:eastAsia="Arial" w:hAnsi="Arial"/>
                <w:b w:val="false"/>
                <w:bCs w:val="false"/>
                <w:color w:val="000000"/>
                <w:sz w:val="17"/>
                <w:szCs w:val="17"/>
              </w:rPr>
              <w:t xml:space="preserve">Opportunity — repeat business</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27 repeat-customer leads; 40 school accounts on file</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CRM nurture journeys per school year; earlier measurement scheduling</w:t>
            </w:r>
          </w:p>
        </w:tc>
      </w:tr>
      <w:tr>
        <w:tc>
          <w:tcPr>
            <w:tcW w:type="dxa" w:w="3200"/>
            <w:tcMar>
              <w:top w:type="dxa" w:w="26"/>
              <w:left w:type="dxa" w:w="70"/>
              <w:bottom w:type="dxa" w:w="26"/>
              <w:right w:type="dxa" w:w="70"/>
            </w:tcMar>
          </w:tcPr>
          <w:p>
            <w:r>
              <w:rPr>
                <w:rFonts w:ascii="Arial" w:cs="Arial" w:eastAsia="Arial" w:hAnsi="Arial"/>
                <w:b w:val="false"/>
                <w:bCs w:val="false"/>
                <w:color w:val="000000"/>
                <w:sz w:val="17"/>
                <w:szCs w:val="17"/>
              </w:rPr>
              <w:t xml:space="preserve">Threat — vendor concentration</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2 of 8 vendors cause 10 of 14 late POs</w:t>
            </w:r>
          </w:p>
        </w:tc>
        <w:tc>
          <w:tcPr>
            <w:tcW w:type="dxa" w:w="3500"/>
            <w:tcMar>
              <w:top w:type="dxa" w:w="26"/>
              <w:left w:type="dxa" w:w="70"/>
              <w:bottom w:type="dxa" w:w="26"/>
              <w:right w:type="dxa" w:w="70"/>
            </w:tcMar>
          </w:tcPr>
          <w:p>
            <w:r>
              <w:rPr>
                <w:rFonts w:ascii="Arial" w:cs="Arial" w:eastAsia="Arial" w:hAnsi="Arial"/>
                <w:b w:val="false"/>
                <w:bCs w:val="false"/>
                <w:color w:val="000000"/>
                <w:sz w:val="17"/>
                <w:szCs w:val="17"/>
              </w:rPr>
              <w:t xml:space="preserve">Dual-sourcing rules; vendor OTIF KPI in dashboard</w:t>
            </w:r>
          </w:p>
        </w:tc>
      </w:tr>
    </w:tbl>
    <w:p>
      <w:pPr>
        <w:spacing w:after="170"/>
        <w:jc w:val="center"/>
      </w:pPr>
      <w:r>
        <w:rPr>
          <w:i/>
          <w:iCs/>
          <w:color w:val="666666"/>
          <w:sz w:val="18"/>
          <w:szCs w:val="18"/>
        </w:rPr>
        <w:t xml:space="preserve">Table 3 — Evidence-to-intervention mapping used in the SWOT/gap analysis.</w:t>
      </w:r>
    </w:p>
    <w:p>
      <w:r>
        <w:br w:type="page"/>
      </w:r>
    </w:p>
    <w:p>
      <w:pPr>
        <w:pStyle w:val="Heading1"/>
        <w:spacing w:after="140" w:before="280"/>
      </w:pPr>
      <w:r>
        <w:rPr>
          <w:color w:val="1F3B5C"/>
        </w:rPr>
        <w:t xml:space="preserve">5. Data Pre-Processing Steps</w:t>
      </w:r>
    </w:p>
    <w:p>
      <w:pPr>
        <w:spacing w:after="110"/>
        <w:jc w:val="both"/>
      </w:pPr>
      <w:r>
        <w:rPr>
          <w:b w:val="false"/>
          <w:bCs w:val="false"/>
          <w:i w:val="false"/>
          <w:iCs w:val="false"/>
          <w:color w:val="000000"/>
          <w:sz w:val="21"/>
          <w:szCs w:val="21"/>
        </w:rPr>
        <w:t xml:space="preserve">The dataset was synthesised, cleaned and validated before loading into the CRM and BI tools. The pipeline (Python 3 / pandas / Faker, fixed seed 4321 for full reproducibility) applied the following steps in order:</w:t>
      </w:r>
    </w:p>
    <w:p>
      <w:pPr>
        <w:pStyle w:val="ListParagraph"/>
        <w:numPr>
          <w:ilvl w:val="0"/>
          <w:numId w:val="4"/>
        </w:numPr>
        <w:spacing w:after="90"/>
      </w:pPr>
      <w:r>
        <w:rPr>
          <w:b/>
          <w:bCs/>
          <w:sz w:val="21"/>
          <w:szCs w:val="21"/>
        </w:rPr>
        <w:t xml:space="preserve">Seed reference entities. </w:t>
      </w:r>
      <w:r>
        <w:rPr>
          <w:sz w:val="21"/>
          <w:szCs w:val="21"/>
        </w:rPr>
        <w:t xml:space="preserve">Reference data first — users, employees, vendors, fabric_types, garment_types, lead_sources, lead_statuses and production_phases were generated as controlled vocabularies so that every later fact row could key into them.</w:t>
      </w:r>
    </w:p>
    <w:p>
      <w:pPr>
        <w:pStyle w:val="ListParagraph"/>
        <w:numPr>
          <w:ilvl w:val="0"/>
          <w:numId w:val="4"/>
        </w:numPr>
        <w:spacing w:after="90"/>
      </w:pPr>
      <w:r>
        <w:rPr>
          <w:b/>
          <w:bCs/>
          <w:sz w:val="21"/>
          <w:szCs w:val="21"/>
        </w:rPr>
        <w:t xml:space="preserve">Synthetic PII generation. </w:t>
      </w:r>
      <w:r>
        <w:rPr>
          <w:sz w:val="21"/>
          <w:szCs w:val="21"/>
        </w:rPr>
        <w:t xml:space="preserve">All personal data (school names, contact people, parents' and students' names, phone numbers, emails, Eircodes) was produced with the en_IE Faker locale — no real PII exists anywhere in the dataset, satisfying GDPR-safe handling for coursework.</w:t>
      </w:r>
    </w:p>
    <w:p>
      <w:pPr>
        <w:pStyle w:val="ListParagraph"/>
        <w:numPr>
          <w:ilvl w:val="0"/>
          <w:numId w:val="4"/>
        </w:numPr>
        <w:spacing w:after="90"/>
      </w:pPr>
      <w:r>
        <w:rPr>
          <w:b/>
          <w:bCs/>
          <w:sz w:val="21"/>
          <w:szCs w:val="21"/>
        </w:rPr>
        <w:t xml:space="preserve">Currency normalisation. </w:t>
      </w:r>
      <w:r>
        <w:rPr>
          <w:sz w:val="21"/>
          <w:szCs w:val="21"/>
        </w:rPr>
        <w:t xml:space="preserve">Every monetary value was normalised to EUR, rounded to 2 decimal places, and each financial table carries an explicit currency = 'EUR' column; no legacy GST fields remain (vendors carry vat_number).</w:t>
      </w:r>
    </w:p>
    <w:p>
      <w:pPr>
        <w:pStyle w:val="ListParagraph"/>
        <w:numPr>
          <w:ilvl w:val="0"/>
          <w:numId w:val="4"/>
        </w:numPr>
        <w:spacing w:after="90"/>
      </w:pPr>
      <w:r>
        <w:rPr>
          <w:b/>
          <w:bCs/>
          <w:sz w:val="21"/>
          <w:szCs w:val="21"/>
        </w:rPr>
        <w:t xml:space="preserve">VAT computation &amp; financial identities. </w:t>
      </w:r>
      <w:r>
        <w:rPr>
          <w:sz w:val="21"/>
          <w:szCs w:val="21"/>
        </w:rPr>
        <w:t xml:space="preserve">Irish VAT was calculated, not randomised: 0% on children's clothing (Primary School / Gaelscoil orders), 23% on adult-size clothing (Secondary / College) and on B2B fabric purchases. The identities grand_total = net_total + vat_amount and grand_total = advance + payments + balance were enforced and re-verified to a maximum error of 4 × 10⁻¹² across all 36 invoices.</w:t>
      </w:r>
    </w:p>
    <w:p>
      <w:pPr>
        <w:pStyle w:val="ListParagraph"/>
        <w:numPr>
          <w:ilvl w:val="0"/>
          <w:numId w:val="4"/>
        </w:numPr>
        <w:spacing w:after="90"/>
      </w:pPr>
      <w:r>
        <w:rPr>
          <w:b/>
          <w:bCs/>
          <w:sz w:val="21"/>
          <w:szCs w:val="21"/>
        </w:rPr>
        <w:t xml:space="preserve">JSON encoding of measurements. </w:t>
      </w:r>
      <w:r>
        <w:rPr>
          <w:sz w:val="21"/>
          <w:szCs w:val="21"/>
        </w:rPr>
        <w:t xml:space="preserve">Semi-structured attributes — per-student sizes, garment lists, quantities and order requirements — were serialised as JSON (jsonb) so a single measurements row fully describes a student while remaining queryable.</w:t>
      </w:r>
    </w:p>
    <w:p>
      <w:pPr>
        <w:pStyle w:val="ListParagraph"/>
        <w:numPr>
          <w:ilvl w:val="0"/>
          <w:numId w:val="4"/>
        </w:numPr>
        <w:spacing w:after="90"/>
      </w:pPr>
      <w:r>
        <w:rPr>
          <w:b/>
          <w:bCs/>
          <w:sz w:val="21"/>
          <w:szCs w:val="21"/>
        </w:rPr>
        <w:t xml:space="preserve">Temporal ordering. </w:t>
      </w:r>
      <w:r>
        <w:rPr>
          <w:sz w:val="21"/>
          <w:szCs w:val="21"/>
        </w:rPr>
        <w:t xml:space="preserve">Chronological causality was enforced: no effect precedes its cause (lead before order, order before measurement, PO before lot, cutting before production, production before delivery, delivery before return).</w:t>
      </w:r>
    </w:p>
    <w:p>
      <w:pPr>
        <w:pStyle w:val="ListParagraph"/>
        <w:numPr>
          <w:ilvl w:val="0"/>
          <w:numId w:val="4"/>
        </w:numPr>
        <w:spacing w:after="90"/>
      </w:pPr>
      <w:r>
        <w:rPr>
          <w:b/>
          <w:bCs/>
          <w:sz w:val="21"/>
          <w:szCs w:val="21"/>
        </w:rPr>
        <w:t xml:space="preserve">Referential-integrity validation. </w:t>
      </w:r>
      <w:r>
        <w:rPr>
          <w:sz w:val="21"/>
          <w:szCs w:val="21"/>
        </w:rPr>
        <w:t xml:space="preserve">All 66 foreign keys were programmatically validated to resolve — including the two varchar references (cutting_groups.order_id, delivery_records.order_id → order_master.order_id) — and lot consistency (remaining_quantity ≤ initial_quantity) was checked on all 149 fabric lots.</w:t>
      </w:r>
    </w:p>
    <w:p>
      <w:pPr>
        <w:pStyle w:val="ListParagraph"/>
        <w:numPr>
          <w:ilvl w:val="0"/>
          <w:numId w:val="4"/>
        </w:numPr>
        <w:spacing w:after="90"/>
      </w:pPr>
      <w:r>
        <w:rPr>
          <w:b/>
          <w:bCs/>
          <w:sz w:val="21"/>
          <w:szCs w:val="21"/>
        </w:rPr>
        <w:t xml:space="preserve">Distress-signal injection. </w:t>
      </w:r>
      <w:r>
        <w:rPr>
          <w:sz w:val="21"/>
          <w:szCs w:val="21"/>
        </w:rPr>
        <w:t xml:space="preserve">Known business-distress patterns were injected at controlled rates so dashboards have signal to find: falling conversion, worsening lateness concentrated in two vendors, above-plan wastage, ~5% returns and ageing receivables (Section 4 quantifies each).</w:t>
      </w:r>
    </w:p>
    <w:p>
      <w:pPr>
        <w:pStyle w:val="ListParagraph"/>
        <w:numPr>
          <w:ilvl w:val="0"/>
          <w:numId w:val="4"/>
        </w:numPr>
        <w:spacing w:after="90"/>
      </w:pPr>
      <w:r>
        <w:rPr>
          <w:b/>
          <w:bCs/>
          <w:sz w:val="21"/>
          <w:szCs w:val="21"/>
        </w:rPr>
        <w:t xml:space="preserve">Load-test against the DDL. </w:t>
      </w:r>
      <w:r>
        <w:rPr>
          <w:sz w:val="21"/>
          <w:szCs w:val="21"/>
        </w:rPr>
        <w:t xml:space="preserve">As a final gate, the rewritten schema.sql (PK, FK, UNIQUE and NOT NULL constraints) was executed in a fresh database and all 23 CSVs were bulk-loaded in dependency order with constraints enforced — 100% of rows loaded, proving the data and structure agree exactly.</w:t>
      </w:r>
    </w:p>
    <w:p>
      <w:pPr>
        <w:pStyle w:val="ListParagraph"/>
        <w:numPr>
          <w:ilvl w:val="0"/>
          <w:numId w:val="4"/>
        </w:numPr>
        <w:spacing w:after="90"/>
      </w:pPr>
      <w:r>
        <w:rPr>
          <w:b/>
          <w:bCs/>
          <w:sz w:val="21"/>
          <w:szCs w:val="21"/>
        </w:rPr>
        <w:t xml:space="preserve">Export &amp; load. </w:t>
      </w:r>
      <w:r>
        <w:rPr>
          <w:sz w:val="21"/>
          <w:szCs w:val="21"/>
        </w:rPr>
        <w:t xml:space="preserve">CSVs were exported UTF-8 with ISO-8601 timestamps, then imported into the CRM (leads, accounts, contacts, orders) and the BI tool (full star of fact and dimension tables) without further transformation.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420"/>
      </w:pPr>
    </w:lvl>
  </w:abstractNum>
  <w:abstractNum w:abstractNumId="4"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e23b70026fe4986fe68c6af064e02399d35458.png"/><Relationship Id="rId8" Type="http://schemas.openxmlformats.org/officeDocument/2006/relationships/image" Target="media/9393f738f6567f2fbbc0bc07e2a03696e6b0b39d.png"/><Relationship Id="rId9" Type="http://schemas.openxmlformats.org/officeDocument/2006/relationships/image" Target="media/bf14967423adc817f07627d88b88e453cf7f6daa.png"/><Relationship Id="rId10" Type="http://schemas.openxmlformats.org/officeDocument/2006/relationships/image" Target="media/4775f8694f57f2d8fe3f8e6efb5ed132aec9efa4.png"/><Relationship Id="rId11" Type="http://schemas.openxmlformats.org/officeDocument/2006/relationships/image" Target="media/de1bbde1925965b282cf3c9a8151cf4712a224de.png"/><Relationship Id="rId12" Type="http://schemas.openxmlformats.org/officeDocument/2006/relationships/image" Target="media/865065c7ee3da69549f3e1632c04861358bf88ee.png"/><Relationship Id="rId13" Type="http://schemas.openxmlformats.org/officeDocument/2006/relationships/image" Target="media/4aca19473acee1c3a44eed1c0a42d82efc79efde.png"/><Relationship Id="rId14" Type="http://schemas.openxmlformats.org/officeDocument/2006/relationships/image" Target="media/6b12b801e2afda217f30578da7f3790308fc747d.png"/><Relationship Id="rId15" Type="http://schemas.openxmlformats.org/officeDocument/2006/relationships/image" Target="media/4afa3f57b73bd8efa0f2d1f8c3d3b97b0d27c9e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2026-07-23T21:47:05.711Z</dcterms:created>
  <dcterms:modified xsi:type="dcterms:W3CDTF">2026-07-23T21:47:05.711Z</dcterms:modified>
</cp:coreProperties>
</file>

<file path=docProps/custom.xml><?xml version="1.0" encoding="utf-8"?>
<Properties xmlns="http://schemas.openxmlformats.org/officeDocument/2006/custom-properties" xmlns:vt="http://schemas.openxmlformats.org/officeDocument/2006/docPropsVTypes"/>
</file>