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200" w:before="1000"/>
        <w:jc w:val="center"/>
      </w:pPr>
      <w:r>
        <w:rPr>
          <w:rFonts w:ascii="Arial" w:cs="Arial" w:eastAsia="Arial" w:hAnsi="Arial"/>
          <w:color w:val="888888"/>
          <w:sz w:val="28"/>
          <w:szCs w:val="28"/>
        </w:rPr>
        <w:t xml:space="preserve">PROPOSAL IN RESPONSE TO</w:t>
      </w:r>
    </w:p>
    <w:p>
      <w:pPr>
        <w:spacing w:after="160" w:before="0"/>
        <w:jc w:val="center"/>
      </w:pPr>
      <w:r>
        <w:rPr>
          <w:rFonts w:ascii="Arial" w:cs="Arial" w:eastAsia="Arial" w:hAnsi="Arial"/>
          <w:b/>
          <w:bCs/>
          <w:color w:val="1F4E79"/>
          <w:sz w:val="40"/>
          <w:szCs w:val="40"/>
        </w:rPr>
        <w:t xml:space="preserve">Smart Energy Meter Firmware Development</w:t>
      </w:r>
    </w:p>
    <w:p>
      <w:pPr>
        <w:spacing w:after="80" w:before="0"/>
        <w:jc w:val="center"/>
      </w:pPr>
      <w:r>
        <w:rPr>
          <w:rFonts w:ascii="Arial" w:cs="Arial" w:eastAsia="Arial" w:hAnsi="Arial"/>
          <w:color w:val="2E75B6"/>
          <w:sz w:val="24"/>
          <w:szCs w:val="24"/>
        </w:rPr>
        <w:t xml:space="preserve">Submitted to: PowerGrid Utilities Ltd.</w:t>
      </w:r>
    </w:p>
    <w:p>
      <w:pPr>
        <w:pBdr>
          <w:bottom w:val="single" w:color="2E75B6" w:sz="12" w:space="8"/>
        </w:pBdr>
        <w:spacing w:after="480" w:before="0"/>
        <w:jc w:val="center"/>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RFP Reference Number</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RFP-2024-EMB-001</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Submitted By (Vendor)</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NexCore Embedded Solutions Pvt. Ltd.</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Submitted To (Client)</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PowerGrid Utilities Ltd.</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Submission Date</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July 2024</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Proposed Engagement Duration</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10 months</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Total Proposed Cost</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148,000</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Proposal Validity</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90 days from submission date</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Point of Contact</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Contact Name, Email, Phone]</w:t>
            </w:r>
          </w:p>
        </w:tc>
      </w:tr>
    </w:tbl>
    <w:p>
      <w:pPr>
        <w:spacing w:after="80" w:before="80"/>
      </w:pPr>
      <w:r>
        <w:t xml:space="preserve"/>
      </w:r>
    </w:p>
    <w:p>
      <w:pPr>
        <w:spacing w:after="0" w:before="400"/>
        <w:jc w:val="center"/>
      </w:pPr>
      <w:r>
        <w:rPr>
          <w:rFonts w:ascii="Arial" w:cs="Arial" w:eastAsia="Arial" w:hAnsi="Arial"/>
          <w:b/>
          <w:bCs/>
          <w:color w:val="888888"/>
          <w:sz w:val="18"/>
          <w:szCs w:val="18"/>
        </w:rPr>
        <w:t xml:space="preserve">CONFIDENTIAL — FOR CLIENT USE ONLY</w:t>
      </w:r>
    </w:p>
    <w:p>
      <w:pPr>
        <w:pageBreakBefore/>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Executive Summary</w:t>
      </w:r>
    </w:p>
    <w:p>
      <w:pPr>
        <w:spacing w:after="80" w:before="80"/>
      </w:pPr>
      <w:r>
        <w:rPr>
          <w:rFonts w:ascii="Arial" w:cs="Arial" w:eastAsia="Arial" w:hAnsi="Arial"/>
          <w:color w:val="1A1A1A"/>
          <w:sz w:val="22"/>
          <w:szCs w:val="22"/>
        </w:rPr>
        <w:t xml:space="preserve">NexCore Embedded Solutions proposes a comprehensive firmware development solution for PowerGrid Utilities' next-generation smart energy meter platform. Our team will deliver a fully certified, DLMS/COSEM-compliant firmware stack running on the STM32G0 series microcontroller, complete with tamper detection, AES-128 encryption, and over-the-air (OTA) update capability via NB-IoT. With 9 years of experience delivering metering firmware to Tier-1 utilities, we are uniquely positioned to meet PowerGrid's schedule, quality, and regulatory requirements.</w:t>
      </w:r>
    </w:p>
    <w:p>
      <w:pPr>
        <w:spacing w:after="80" w:before="80"/>
      </w:pPr>
      <w:r>
        <w:t xml:space="preserve"/>
      </w:r>
    </w:p>
    <w:p>
      <w:pPr>
        <w:shd w:fill="D6F0E0" w:val="clear"/>
        <w:spacing w:after="80" w:before="80"/>
      </w:pPr>
      <w:r>
        <w:rPr>
          <w:rFonts w:ascii="Arial" w:cs="Arial" w:eastAsia="Arial" w:hAnsi="Arial"/>
          <w:i/>
          <w:iCs/>
          <w:color w:val="1E6B3C"/>
          <w:sz w:val="20"/>
          <w:szCs w:val="20"/>
        </w:rPr>
        <w:t xml:space="preserve">✔  This proposal is submitted in full compliance with the requirements set forth in RFP-2024-EMB-001.</w:t>
      </w:r>
    </w:p>
    <w:p>
      <w:pPr>
        <w:pStyle w:val="Heading1"/>
        <w:pBdr>
          <w:bottom w:val="single" w:color="2E75B6" w:sz="6" w:space="4"/>
        </w:pBdr>
        <w:spacing w:after="160" w:before="320"/>
      </w:pPr>
      <w:r>
        <w:rPr>
          <w:rFonts w:ascii="Arial" w:cs="Arial" w:eastAsia="Arial" w:hAnsi="Arial"/>
          <w:b/>
          <w:bCs/>
          <w:color w:val="1F4E79"/>
          <w:sz w:val="28"/>
          <w:szCs w:val="28"/>
        </w:rPr>
        <w:t xml:space="preserve">2. Company Profile</w:t>
      </w:r>
    </w:p>
    <w:p>
      <w:pPr>
        <w:spacing w:after="80" w:before="80"/>
      </w:pPr>
      <w:r>
        <w:rPr>
          <w:rFonts w:ascii="Arial" w:cs="Arial" w:eastAsia="Arial" w:hAnsi="Arial"/>
          <w:b/>
          <w:bCs/>
          <w:color w:val="1F4E79"/>
          <w:sz w:val="22"/>
          <w:szCs w:val="22"/>
        </w:rPr>
        <w:t xml:space="preserve">Company Name: </w:t>
      </w:r>
      <w:r>
        <w:rPr>
          <w:rFonts w:ascii="Arial" w:cs="Arial" w:eastAsia="Arial" w:hAnsi="Arial"/>
          <w:color w:val="1A1A1A"/>
          <w:sz w:val="22"/>
          <w:szCs w:val="22"/>
        </w:rPr>
        <w:t xml:space="preserve">NexCore Embedded Solutions Pvt. Ltd.</w:t>
      </w:r>
    </w:p>
    <w:p>
      <w:pPr>
        <w:spacing w:after="80" w:before="80"/>
      </w:pPr>
      <w:r>
        <w:rPr>
          <w:rFonts w:ascii="Arial" w:cs="Arial" w:eastAsia="Arial" w:hAnsi="Arial"/>
          <w:b/>
          <w:bCs/>
          <w:color w:val="1F4E79"/>
          <w:sz w:val="22"/>
          <w:szCs w:val="22"/>
        </w:rPr>
        <w:t xml:space="preserve">Headquarters: </w:t>
      </w:r>
      <w:r>
        <w:rPr>
          <w:rFonts w:ascii="Arial" w:cs="Arial" w:eastAsia="Arial" w:hAnsi="Arial"/>
          <w:color w:val="1A1A1A"/>
          <w:sz w:val="22"/>
          <w:szCs w:val="22"/>
        </w:rPr>
        <w:t xml:space="preserve">[City, Country]</w:t>
      </w:r>
    </w:p>
    <w:p>
      <w:pPr>
        <w:spacing w:after="80" w:before="80"/>
      </w:pPr>
      <w:r>
        <w:rPr>
          <w:rFonts w:ascii="Arial" w:cs="Arial" w:eastAsia="Arial" w:hAnsi="Arial"/>
          <w:b/>
          <w:bCs/>
          <w:color w:val="1F4E79"/>
          <w:sz w:val="22"/>
          <w:szCs w:val="22"/>
        </w:rPr>
        <w:t xml:space="preserve">Founded: </w:t>
      </w:r>
      <w:r>
        <w:rPr>
          <w:rFonts w:ascii="Arial" w:cs="Arial" w:eastAsia="Arial" w:hAnsi="Arial"/>
          <w:color w:val="1A1A1A"/>
          <w:sz w:val="22"/>
          <w:szCs w:val="22"/>
        </w:rPr>
        <w:t xml:space="preserve">[Year]</w:t>
      </w:r>
    </w:p>
    <w:p>
      <w:pPr>
        <w:spacing w:after="80" w:before="80"/>
      </w:pPr>
      <w:r>
        <w:rPr>
          <w:rFonts w:ascii="Arial" w:cs="Arial" w:eastAsia="Arial" w:hAnsi="Arial"/>
          <w:b/>
          <w:bCs/>
          <w:color w:val="1F4E79"/>
          <w:sz w:val="22"/>
          <w:szCs w:val="22"/>
        </w:rPr>
        <w:t xml:space="preserve">Team Size: </w:t>
      </w:r>
      <w:r>
        <w:rPr>
          <w:rFonts w:ascii="Arial" w:cs="Arial" w:eastAsia="Arial" w:hAnsi="Arial"/>
          <w:color w:val="1A1A1A"/>
          <w:sz w:val="22"/>
          <w:szCs w:val="22"/>
        </w:rPr>
        <w:t xml:space="preserve">[X] engineers (embedded firmware, hardware, test)</w:t>
      </w:r>
    </w:p>
    <w:p>
      <w:pPr>
        <w:spacing w:after="80" w:before="80"/>
      </w:pPr>
      <w:r>
        <w:rPr>
          <w:rFonts w:ascii="Arial" w:cs="Arial" w:eastAsia="Arial" w:hAnsi="Arial"/>
          <w:b/>
          <w:bCs/>
          <w:color w:val="1F4E79"/>
          <w:sz w:val="22"/>
          <w:szCs w:val="22"/>
        </w:rPr>
        <w:t xml:space="preserve">Certifications: </w:t>
      </w:r>
      <w:r>
        <w:rPr>
          <w:rFonts w:ascii="Arial" w:cs="Arial" w:eastAsia="Arial" w:hAnsi="Arial"/>
          <w:color w:val="1A1A1A"/>
          <w:sz w:val="22"/>
          <w:szCs w:val="22"/>
        </w:rPr>
        <w:t xml:space="preserve">[ISO 9001:2015 / ISO 13485:2016 / CMMI Level 3 — as applicable]</w:t>
      </w:r>
    </w:p>
    <w:p>
      <w:pPr>
        <w:spacing w:after="80" w:before="80"/>
      </w:pPr>
      <w:r>
        <w:rPr>
          <w:rFonts w:ascii="Arial" w:cs="Arial" w:eastAsia="Arial" w:hAnsi="Arial"/>
          <w:b/>
          <w:bCs/>
          <w:color w:val="1F4E79"/>
          <w:sz w:val="22"/>
          <w:szCs w:val="22"/>
        </w:rPr>
        <w:t xml:space="preserve">Relevant Domains: </w:t>
      </w:r>
      <w:r>
        <w:rPr>
          <w:rFonts w:ascii="Arial" w:cs="Arial" w:eastAsia="Arial" w:hAnsi="Arial"/>
          <w:color w:val="1A1A1A"/>
          <w:sz w:val="22"/>
          <w:szCs w:val="22"/>
        </w:rPr>
        <w:t xml:space="preserve">[Automotive / Medical / Industrial / Defense / Consumer]</w:t>
      </w:r>
    </w:p>
    <w:p>
      <w:pPr>
        <w:spacing w:after="80" w:before="80"/>
      </w:pPr>
      <w:r>
        <w:t xml:space="preserve"/>
      </w:r>
    </w:p>
    <w:p>
      <w:pPr>
        <w:spacing w:after="80" w:before="80"/>
      </w:pPr>
      <w:r>
        <w:rPr>
          <w:rFonts w:ascii="Arial" w:cs="Arial" w:eastAsia="Arial" w:hAnsi="Arial"/>
          <w:color w:val="1A1A1A"/>
          <w:sz w:val="22"/>
          <w:szCs w:val="22"/>
        </w:rPr>
        <w:t xml:space="preserve">Key credentials relevant to this engagement:</w:t>
      </w:r>
    </w:p>
    <w:p>
      <w:pPr>
        <w:pStyle w:val="ListParagraph"/>
        <w:numPr>
          <w:ilvl w:val="0"/>
          <w:numId w:val="2"/>
        </w:numPr>
        <w:spacing w:after="40" w:before="40"/>
      </w:pPr>
      <w:r>
        <w:rPr>
          <w:rFonts w:ascii="Arial" w:cs="Arial" w:eastAsia="Arial" w:hAnsi="Arial"/>
          <w:color w:val="1A1A1A"/>
          <w:sz w:val="22"/>
          <w:szCs w:val="22"/>
        </w:rPr>
        <w:t xml:space="preserve">Delivered certified metering firmware for 3 national utilities across India and Southeast Asia</w:t>
      </w:r>
    </w:p>
    <w:p>
      <w:pPr>
        <w:pStyle w:val="ListParagraph"/>
        <w:numPr>
          <w:ilvl w:val="0"/>
          <w:numId w:val="2"/>
        </w:numPr>
        <w:spacing w:after="40" w:before="40"/>
      </w:pPr>
      <w:r>
        <w:rPr>
          <w:rFonts w:ascii="Arial" w:cs="Arial" w:eastAsia="Arial" w:hAnsi="Arial"/>
          <w:color w:val="1A1A1A"/>
          <w:sz w:val="22"/>
          <w:szCs w:val="22"/>
        </w:rPr>
        <w:t xml:space="preserve">In-house DLMS/COSEM stack with IEC 62056 test suite — no third-party licensing cost passed to client</w:t>
      </w:r>
    </w:p>
    <w:p>
      <w:pPr>
        <w:pStyle w:val="ListParagraph"/>
        <w:numPr>
          <w:ilvl w:val="0"/>
          <w:numId w:val="2"/>
        </w:numPr>
        <w:spacing w:after="40" w:before="40"/>
      </w:pPr>
      <w:r>
        <w:rPr>
          <w:rFonts w:ascii="Arial" w:cs="Arial" w:eastAsia="Arial" w:hAnsi="Arial"/>
          <w:color w:val="1A1A1A"/>
          <w:sz w:val="22"/>
          <w:szCs w:val="22"/>
        </w:rPr>
        <w:t xml:space="preserve">Dedicated functional safety and regulatory compliance engineer on the team</w:t>
      </w:r>
    </w:p>
    <w:p>
      <w:pPr>
        <w:pStyle w:val="ListParagraph"/>
        <w:numPr>
          <w:ilvl w:val="0"/>
          <w:numId w:val="2"/>
        </w:numPr>
        <w:spacing w:after="40" w:before="40"/>
      </w:pPr>
      <w:r>
        <w:rPr>
          <w:rFonts w:ascii="Arial" w:cs="Arial" w:eastAsia="Arial" w:hAnsi="Arial"/>
          <w:color w:val="1A1A1A"/>
          <w:sz w:val="22"/>
          <w:szCs w:val="22"/>
        </w:rPr>
        <w:t xml:space="preserve">ISO 9001:2015 certified development processes with full traceability from requirements to test</w:t>
      </w:r>
    </w:p>
    <w:p>
      <w:pPr>
        <w:pStyle w:val="Heading1"/>
        <w:pBdr>
          <w:bottom w:val="single" w:color="2E75B6" w:sz="6" w:space="4"/>
        </w:pBdr>
        <w:spacing w:after="160" w:before="320"/>
      </w:pPr>
      <w:r>
        <w:rPr>
          <w:rFonts w:ascii="Arial" w:cs="Arial" w:eastAsia="Arial" w:hAnsi="Arial"/>
          <w:b/>
          <w:bCs/>
          <w:color w:val="1F4E79"/>
          <w:sz w:val="28"/>
          <w:szCs w:val="28"/>
        </w:rPr>
        <w:t xml:space="preserve">3. Technical Approach</w:t>
      </w:r>
    </w:p>
    <w:p>
      <w:pPr>
        <w:pStyle w:val="Heading2"/>
        <w:spacing w:after="120" w:before="240"/>
      </w:pPr>
      <w:r>
        <w:rPr>
          <w:rFonts w:ascii="Arial" w:cs="Arial" w:eastAsia="Arial" w:hAnsi="Arial"/>
          <w:b/>
          <w:bCs/>
          <w:color w:val="2E75B6"/>
          <w:sz w:val="24"/>
          <w:szCs w:val="24"/>
        </w:rPr>
        <w:t xml:space="preserve">3.1 Solution Architecture Overview</w:t>
      </w:r>
    </w:p>
    <w:p>
      <w:pPr>
        <w:spacing w:after="80" w:before="80"/>
      </w:pPr>
      <w:r>
        <w:rPr>
          <w:rFonts w:ascii="Arial" w:cs="Arial" w:eastAsia="Arial" w:hAnsi="Arial"/>
          <w:color w:val="1A1A1A"/>
          <w:sz w:val="22"/>
          <w:szCs w:val="22"/>
        </w:rPr>
        <w:t xml:space="preserve">Our proposed architecture for the Smart Energy Meter Firmware Development is described below. All components have been selected based on the requirements stated in RFP-2024-EMB-001 and validated against our prior project baselines.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Proposed Solution</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MCU</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STM32G0B1RET6 (ARM Cortex-M0+, 64 MHz, 512 KB Flash, 144 KB RAM)</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RTOS</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FreeRTOS v10.5 (bare-metal fallback for safety-critical ISR paths)</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Metering IC</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ADE9078 (Analog Devices) — 3-phase, Class 0.2S accuracy</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Connectivity</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NB-IoT (Quectel BC66), DLMS optical port (IEC 62056-21)</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AES-128-CTR, SHA-256 firmware signature, OTP key storage</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Toolchain</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GCC ARM 12.2, STM32CubeIDE, CMake, Unity test framework</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Standards</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IEC 62056 (DLMS/COSEM), OIML R46, IS 16444 Part 3</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3.2 Implementation Methodology</w:t>
      </w:r>
    </w:p>
    <w:p>
      <w:pPr>
        <w:spacing w:after="80" w:before="80"/>
      </w:pPr>
      <w:r>
        <w:rPr>
          <w:rFonts w:ascii="Arial" w:cs="Arial" w:eastAsia="Arial" w:hAnsi="Arial"/>
          <w:color w:val="1A1A1A"/>
          <w:sz w:val="22"/>
          <w:szCs w:val="22"/>
        </w:rPr>
        <w:t xml:space="preserve">Our development approach follows an incremental, milestone-gated model with continuous integration and automated regression testing. Key methodology elements:</w:t>
      </w:r>
    </w:p>
    <w:p>
      <w:pPr>
        <w:pStyle w:val="ListParagraph"/>
        <w:numPr>
          <w:ilvl w:val="0"/>
          <w:numId w:val="2"/>
        </w:numPr>
        <w:spacing w:after="40" w:before="40"/>
      </w:pPr>
      <w:r>
        <w:rPr>
          <w:rFonts w:ascii="Arial" w:cs="Arial" w:eastAsia="Arial" w:hAnsi="Arial"/>
          <w:color w:val="1A1A1A"/>
          <w:sz w:val="22"/>
          <w:szCs w:val="22"/>
        </w:rPr>
        <w:t xml:space="preserve">Bare-metal firmware architecture on STM32G0B1 with FreeRTOS task scheduler for metering, comms, and UI subsystems</w:t>
      </w:r>
    </w:p>
    <w:p>
      <w:pPr>
        <w:pStyle w:val="ListParagraph"/>
        <w:numPr>
          <w:ilvl w:val="0"/>
          <w:numId w:val="2"/>
        </w:numPr>
        <w:spacing w:after="40" w:before="40"/>
      </w:pPr>
      <w:r>
        <w:rPr>
          <w:rFonts w:ascii="Arial" w:cs="Arial" w:eastAsia="Arial" w:hAnsi="Arial"/>
          <w:color w:val="1A1A1A"/>
          <w:sz w:val="22"/>
          <w:szCs w:val="22"/>
        </w:rPr>
        <w:t xml:space="preserve">DLMS/COSEM application layer compliant with IEC 62056-21 using open-source gurux library ported and certified for the target platform</w:t>
      </w:r>
    </w:p>
    <w:p>
      <w:pPr>
        <w:pStyle w:val="ListParagraph"/>
        <w:numPr>
          <w:ilvl w:val="0"/>
          <w:numId w:val="2"/>
        </w:numPr>
        <w:spacing w:after="40" w:before="40"/>
      </w:pPr>
      <w:r>
        <w:rPr>
          <w:rFonts w:ascii="Arial" w:cs="Arial" w:eastAsia="Arial" w:hAnsi="Arial"/>
          <w:color w:val="1A1A1A"/>
          <w:sz w:val="22"/>
          <w:szCs w:val="22"/>
        </w:rPr>
        <w:t xml:space="preserve">Tamper detection: magnetic, optical, and current reversal events logged to non-volatile EEPROM with RTC timestamp</w:t>
      </w:r>
    </w:p>
    <w:p>
      <w:pPr>
        <w:pStyle w:val="ListParagraph"/>
        <w:numPr>
          <w:ilvl w:val="0"/>
          <w:numId w:val="2"/>
        </w:numPr>
        <w:spacing w:after="40" w:before="40"/>
      </w:pPr>
      <w:r>
        <w:rPr>
          <w:rFonts w:ascii="Arial" w:cs="Arial" w:eastAsia="Arial" w:hAnsi="Arial"/>
          <w:color w:val="1A1A1A"/>
          <w:sz w:val="22"/>
          <w:szCs w:val="22"/>
        </w:rPr>
        <w:t xml:space="preserve">NB-IoT modem integration (Quectel BC66) with MQTT-SN for cloud push of interval data every 15 minutes</w:t>
      </w:r>
    </w:p>
    <w:p>
      <w:pPr>
        <w:pStyle w:val="ListParagraph"/>
        <w:numPr>
          <w:ilvl w:val="0"/>
          <w:numId w:val="2"/>
        </w:numPr>
        <w:spacing w:after="40" w:before="40"/>
      </w:pPr>
      <w:r>
        <w:rPr>
          <w:rFonts w:ascii="Arial" w:cs="Arial" w:eastAsia="Arial" w:hAnsi="Arial"/>
          <w:color w:val="1A1A1A"/>
          <w:sz w:val="22"/>
          <w:szCs w:val="22"/>
        </w:rPr>
        <w:t xml:space="preserve">AES-128-CTR encryption of all metering payloads; secure key provisioning during manufacturing via JTAG one-time-programmable (OTP) fuses</w:t>
      </w:r>
    </w:p>
    <w:p>
      <w:pPr>
        <w:pStyle w:val="ListParagraph"/>
        <w:numPr>
          <w:ilvl w:val="0"/>
          <w:numId w:val="2"/>
        </w:numPr>
        <w:spacing w:after="40" w:before="40"/>
      </w:pPr>
      <w:r>
        <w:rPr>
          <w:rFonts w:ascii="Arial" w:cs="Arial" w:eastAsia="Arial" w:hAnsi="Arial"/>
          <w:color w:val="1A1A1A"/>
          <w:sz w:val="22"/>
          <w:szCs w:val="22"/>
        </w:rPr>
        <w:t xml:space="preserve">OTA firmware update via FOTA bootloader with rollback on CRC failure</w:t>
      </w:r>
    </w:p>
    <w:p>
      <w:pPr>
        <w:pStyle w:val="ListParagraph"/>
        <w:numPr>
          <w:ilvl w:val="0"/>
          <w:numId w:val="2"/>
        </w:numPr>
        <w:spacing w:after="40" w:before="40"/>
      </w:pPr>
      <w:r>
        <w:rPr>
          <w:rFonts w:ascii="Arial" w:cs="Arial" w:eastAsia="Arial" w:hAnsi="Arial"/>
          <w:color w:val="1A1A1A"/>
          <w:sz w:val="22"/>
          <w:szCs w:val="22"/>
        </w:rPr>
        <w:t xml:space="preserve">Production test firmware and boundary-scan test vectors for factory line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3.3 Tools &amp;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3480"/>
      </w:tblGrid>
      <w:tr>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3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Platform</w:t>
            </w:r>
          </w:p>
        </w:tc>
        <w:tc>
          <w:tcPr>
            <w:tcW w:type="dxa" w:w="34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 / Toolchain</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IDE &amp; GCC/LLVM version]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editing, compilation, debugging</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Version Control</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Git (GitLab self-hosted)</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Source control, MR-based code review</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GitLab CI + custom runners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static analysis, unit test on every commit</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Static Analysis</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[PC-lint / Polyspace / Coverity]</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MISRA-C / coding standard enforcement</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Testing</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[Unity / GoogleTest / CppUTest]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unit &amp; integration test</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[JIRA + Polarion / IBM DOORS]</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 traceability matrix (RTM)</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HIL/SIL</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[dSPACE / X-Plane / custom harness]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&amp; software in-the-loop testing</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4. Project Plan &amp; Schedule</w:t>
      </w:r>
    </w:p>
    <w:p>
      <w:pPr>
        <w:pStyle w:val="Heading2"/>
        <w:spacing w:after="120" w:before="240"/>
      </w:pPr>
      <w:r>
        <w:rPr>
          <w:rFonts w:ascii="Arial" w:cs="Arial" w:eastAsia="Arial" w:hAnsi="Arial"/>
          <w:b/>
          <w:bCs/>
          <w:color w:val="2E75B6"/>
          <w:sz w:val="24"/>
          <w:szCs w:val="24"/>
        </w:rPr>
        <w:t xml:space="preserve">4.1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5040"/>
        <w:gridCol w:w="3480"/>
      </w:tblGrid>
      <w:tr>
        <w:tc>
          <w:tcPr>
            <w:tcW w:type="dxa" w:w="8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4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Requirements Freeze &amp; Architecture Sign-off</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2</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M2</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BSP &amp; RTOS Bring-up on EVK</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6</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Metering + Tamper Firmware Alpha</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14</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M4</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NB-IoT &amp; DLMS Stack Integration</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20</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M5</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&amp; OTA Implementation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26</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M6</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System V&amp;V &amp; Regulatory Testing</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36</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M7</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Production Firmware &amp; Documentation Delivery</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42</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4.2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200"/>
        <w:gridCol w:w="4080"/>
      </w:tblGrid>
      <w:tr>
        <w:tc>
          <w:tcPr>
            <w:tcW w:type="dxa" w:w="28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 supply chain delay (long-lead semiconductors)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Place orders at M1; dual-source critical ICs identified</w:t>
            </w:r>
          </w:p>
        </w:tc>
      </w:tr>
      <w:tr>
        <w:tc>
          <w:tcPr>
            <w:tcW w:type="dxa" w:w="28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 creep post architecture freeze</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Formal change control via signed ECO; impact assessed before action</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Third-party IP / stack integration delays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Pre-evaluated in proposal; fallback open-source options identified</w:t>
            </w:r>
          </w:p>
        </w:tc>
      </w:tr>
      <w:tr>
        <w:tc>
          <w:tcPr>
            <w:tcW w:type="dxa" w:w="28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Regulatory/certification timeline extension</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Early engagement with test lab; pre-compliance checks at M4</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personnel availability</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Named resources contractually committed; documented handover plan</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5. Proposed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2520"/>
        <w:gridCol w:w="2160"/>
      </w:tblGrid>
      <w:tr>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Engagement / Program Manager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PM in embedded programs</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Lead Firmware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[relevant MCU/domain]</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 PCB Engineer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[CAD tool]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System / Safety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[standard]</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50%</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&amp; Verification Engineer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HIL/SIL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Software QA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[QMS experience]</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40%</w:t>
            </w:r>
          </w:p>
        </w:tc>
      </w:tr>
    </w:tbl>
    <w:p>
      <w:pPr>
        <w:spacing w:after="80" w:before="80"/>
      </w:pPr>
      <w:r>
        <w:t xml:space="preserve"/>
      </w:r>
    </w:p>
    <w:p>
      <w:pPr>
        <w:spacing w:after="80" w:before="80"/>
      </w:pPr>
      <w:r>
        <w:rPr>
          <w:rFonts w:ascii="Arial" w:cs="Arial" w:eastAsia="Arial" w:hAnsi="Arial"/>
          <w:color w:val="1A1A1A"/>
          <w:sz w:val="22"/>
          <w:szCs w:val="22"/>
        </w:rPr>
        <w:t xml:space="preserve">All named personnel are available for this engagement from project kickoff. Any substitution requires written client approval.</w:t>
      </w:r>
    </w:p>
    <w:p>
      <w:pPr>
        <w:pStyle w:val="Heading1"/>
        <w:pBdr>
          <w:bottom w:val="single" w:color="2E75B6" w:sz="6" w:space="4"/>
        </w:pBdr>
        <w:spacing w:after="160" w:before="320"/>
      </w:pPr>
      <w:r>
        <w:rPr>
          <w:rFonts w:ascii="Arial" w:cs="Arial" w:eastAsia="Arial" w:hAnsi="Arial"/>
          <w:b/>
          <w:bCs/>
          <w:color w:val="1F4E79"/>
          <w:sz w:val="28"/>
          <w:szCs w:val="28"/>
        </w:rPr>
        <w:t xml:space="preserve">6. Past Performance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080"/>
        <w:gridCol w:w="2160"/>
        <w:gridCol w:w="1800"/>
      </w:tblGrid>
      <w:tr>
        <w:tc>
          <w:tcPr>
            <w:tcW w:type="dxa" w:w="18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10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Reference Contact</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A]</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On-time, certified delivery</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email]</w:t>
            </w:r>
          </w:p>
        </w:tc>
      </w:tr>
      <w:tr>
        <w:tc>
          <w:tcPr>
            <w:tcW w:type="dxa" w:w="18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[Client B]</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Zero field defects post-deployment</w:t>
            </w:r>
          </w:p>
        </w:tc>
        <w:tc>
          <w:tcPr>
            <w:tcW w:type="dxa" w:w="18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 email]</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C]</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approval achieved</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email]</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7. Pricing &amp; Cost Breakdown</w:t>
      </w:r>
    </w:p>
    <w:p>
      <w:pPr>
        <w:shd w:fill="D6F0E0" w:val="clear"/>
        <w:spacing w:after="80" w:before="80"/>
      </w:pPr>
      <w:r>
        <w:rPr>
          <w:rFonts w:ascii="Arial" w:cs="Arial" w:eastAsia="Arial" w:hAnsi="Arial"/>
          <w:i/>
          <w:iCs/>
          <w:color w:val="1E6B3C"/>
          <w:sz w:val="20"/>
          <w:szCs w:val="20"/>
        </w:rPr>
        <w:t xml:space="preserve">✔  All prices are fixed-price per milestone. T&amp;M rates available for change orders: Senior Engineer USD [X]/hr, Engineer USD [X]/hr.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 Deliverable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 (USD)</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Requirements &amp; Architecture</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12,000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BSP &amp; Driver Development</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22,000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Firmware (Metering, Tamper, UI)</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38,000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Communications Stack (NB-IoT, DLMS)</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28,000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Layer &amp; OTA Bootloader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18,000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Testing, V&amp;V &amp; Regulatory Support</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20,000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Documentation &amp; Knowledge Transfer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10,000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148,000</w:t>
            </w:r>
          </w:p>
        </w:tc>
      </w:tr>
    </w:tbl>
    <w:p>
      <w:pPr>
        <w:spacing w:after="80" w:before="80"/>
      </w:pPr>
      <w:r>
        <w:t xml:space="preserve"/>
      </w:r>
    </w:p>
    <w:p>
      <w:pPr>
        <w:spacing w:after="80" w:before="80"/>
      </w:pPr>
      <w:r>
        <w:rPr>
          <w:rFonts w:ascii="Arial" w:cs="Arial" w:eastAsia="Arial" w:hAnsi="Arial"/>
          <w:color w:val="1A1A1A"/>
          <w:sz w:val="22"/>
          <w:szCs w:val="22"/>
        </w:rPr>
        <w:t xml:space="preserve">Payment milestones aligned with M1–M7 above. 20% advance on contract signing; remainder milestone-gated.</w:t>
      </w:r>
    </w:p>
    <w:p>
      <w:pPr>
        <w:pStyle w:val="Heading1"/>
        <w:pBdr>
          <w:bottom w:val="single" w:color="2E75B6" w:sz="6" w:space="4"/>
        </w:pBdr>
        <w:spacing w:after="160" w:before="320"/>
      </w:pPr>
      <w:r>
        <w:rPr>
          <w:rFonts w:ascii="Arial" w:cs="Arial" w:eastAsia="Arial" w:hAnsi="Arial"/>
          <w:b/>
          <w:bCs/>
          <w:color w:val="1F4E79"/>
          <w:sz w:val="28"/>
          <w:szCs w:val="28"/>
        </w:rPr>
        <w:t xml:space="preserve">8. Assumptions &amp; Exclusions</w:t>
      </w:r>
    </w:p>
    <w:p>
      <w:pPr>
        <w:pStyle w:val="Heading2"/>
        <w:spacing w:after="120" w:before="240"/>
      </w:pPr>
      <w:r>
        <w:rPr>
          <w:rFonts w:ascii="Arial" w:cs="Arial" w:eastAsia="Arial" w:hAnsi="Arial"/>
          <w:b/>
          <w:bCs/>
          <w:color w:val="2E75B6"/>
          <w:sz w:val="24"/>
          <w:szCs w:val="24"/>
        </w:rPr>
        <w:t xml:space="preserve">8.1 Assumptions</w:t>
      </w:r>
    </w:p>
    <w:p>
      <w:pPr>
        <w:pStyle w:val="ListParagraph"/>
        <w:numPr>
          <w:ilvl w:val="0"/>
          <w:numId w:val="2"/>
        </w:numPr>
        <w:spacing w:after="40" w:before="40"/>
      </w:pPr>
      <w:r>
        <w:rPr>
          <w:rFonts w:ascii="Arial" w:cs="Arial" w:eastAsia="Arial" w:hAnsi="Arial"/>
          <w:color w:val="1A1A1A"/>
          <w:sz w:val="22"/>
          <w:szCs w:val="22"/>
        </w:rPr>
        <w:t xml:space="preserve">Client will provide detailed technical requirements document within 5 business days of kickoff</w:t>
      </w:r>
    </w:p>
    <w:p>
      <w:pPr>
        <w:pStyle w:val="ListParagraph"/>
        <w:numPr>
          <w:ilvl w:val="0"/>
          <w:numId w:val="2"/>
        </w:numPr>
        <w:spacing w:after="40" w:before="40"/>
      </w:pPr>
      <w:r>
        <w:rPr>
          <w:rFonts w:ascii="Arial" w:cs="Arial" w:eastAsia="Arial" w:hAnsi="Arial"/>
          <w:color w:val="1A1A1A"/>
          <w:sz w:val="22"/>
          <w:szCs w:val="22"/>
        </w:rPr>
        <w:t xml:space="preserve">Client hardware (EVK / DVT boards) will be available to vendor within 2 weeks of project start</w:t>
      </w:r>
    </w:p>
    <w:p>
      <w:pPr>
        <w:pStyle w:val="ListParagraph"/>
        <w:numPr>
          <w:ilvl w:val="0"/>
          <w:numId w:val="2"/>
        </w:numPr>
        <w:spacing w:after="40" w:before="40"/>
      </w:pPr>
      <w:r>
        <w:rPr>
          <w:rFonts w:ascii="Arial" w:cs="Arial" w:eastAsia="Arial" w:hAnsi="Arial"/>
          <w:color w:val="1A1A1A"/>
          <w:sz w:val="22"/>
          <w:szCs w:val="22"/>
        </w:rPr>
        <w:t xml:space="preserve">Client will designate a named technical point of contact available for at least 4 hours/week</w:t>
      </w:r>
    </w:p>
    <w:p>
      <w:pPr>
        <w:pStyle w:val="ListParagraph"/>
        <w:numPr>
          <w:ilvl w:val="0"/>
          <w:numId w:val="2"/>
        </w:numPr>
        <w:spacing w:after="40" w:before="40"/>
      </w:pPr>
      <w:r>
        <w:rPr>
          <w:rFonts w:ascii="Arial" w:cs="Arial" w:eastAsia="Arial" w:hAnsi="Arial"/>
          <w:color w:val="1A1A1A"/>
          <w:sz w:val="22"/>
          <w:szCs w:val="22"/>
        </w:rPr>
        <w:t xml:space="preserve">All third-party tool licenses (if client-mandated) will be provided by client</w:t>
      </w:r>
    </w:p>
    <w:p>
      <w:pPr>
        <w:pStyle w:val="ListParagraph"/>
        <w:numPr>
          <w:ilvl w:val="0"/>
          <w:numId w:val="2"/>
        </w:numPr>
        <w:spacing w:after="40" w:before="40"/>
      </w:pPr>
      <w:r>
        <w:rPr>
          <w:rFonts w:ascii="Arial" w:cs="Arial" w:eastAsia="Arial" w:hAnsi="Arial"/>
          <w:color w:val="1A1A1A"/>
          <w:sz w:val="22"/>
          <w:szCs w:val="22"/>
        </w:rPr>
        <w:t xml:space="preserve">Travel costs (if on-site visits required) will be billed at actuals with prior written approval</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8.2 Exclusions</w:t>
      </w:r>
    </w:p>
    <w:p>
      <w:pPr>
        <w:pStyle w:val="ListParagraph"/>
        <w:numPr>
          <w:ilvl w:val="0"/>
          <w:numId w:val="2"/>
        </w:numPr>
        <w:spacing w:after="40" w:before="40"/>
      </w:pPr>
      <w:r>
        <w:rPr>
          <w:rFonts w:ascii="Arial" w:cs="Arial" w:eastAsia="Arial" w:hAnsi="Arial"/>
          <w:color w:val="1A1A1A"/>
          <w:sz w:val="22"/>
          <w:szCs w:val="22"/>
        </w:rPr>
        <w:t xml:space="preserve">Mechanical / enclosure design and fabrication</w:t>
      </w:r>
    </w:p>
    <w:p>
      <w:pPr>
        <w:pStyle w:val="ListParagraph"/>
        <w:numPr>
          <w:ilvl w:val="0"/>
          <w:numId w:val="2"/>
        </w:numPr>
        <w:spacing w:after="40" w:before="40"/>
      </w:pPr>
      <w:r>
        <w:rPr>
          <w:rFonts w:ascii="Arial" w:cs="Arial" w:eastAsia="Arial" w:hAnsi="Arial"/>
          <w:color w:val="1A1A1A"/>
          <w:sz w:val="22"/>
          <w:szCs w:val="22"/>
        </w:rPr>
        <w:t xml:space="preserve">Mass production PCB assembly or component procurement beyond prototypes</w:t>
      </w:r>
    </w:p>
    <w:p>
      <w:pPr>
        <w:pStyle w:val="ListParagraph"/>
        <w:numPr>
          <w:ilvl w:val="0"/>
          <w:numId w:val="2"/>
        </w:numPr>
        <w:spacing w:after="40" w:before="40"/>
      </w:pPr>
      <w:r>
        <w:rPr>
          <w:rFonts w:ascii="Arial" w:cs="Arial" w:eastAsia="Arial" w:hAnsi="Arial"/>
          <w:color w:val="1A1A1A"/>
          <w:sz w:val="22"/>
          <w:szCs w:val="22"/>
        </w:rPr>
        <w:t xml:space="preserve">Regulatory certification filing fees and test lab charges (budgeted separately)</w:t>
      </w:r>
    </w:p>
    <w:p>
      <w:pPr>
        <w:pStyle w:val="ListParagraph"/>
        <w:numPr>
          <w:ilvl w:val="0"/>
          <w:numId w:val="2"/>
        </w:numPr>
        <w:spacing w:after="40" w:before="40"/>
      </w:pPr>
      <w:r>
        <w:rPr>
          <w:rFonts w:ascii="Arial" w:cs="Arial" w:eastAsia="Arial" w:hAnsi="Arial"/>
          <w:color w:val="1A1A1A"/>
          <w:sz w:val="22"/>
          <w:szCs w:val="22"/>
        </w:rPr>
        <w:t xml:space="preserve">Cloud backend infrastructure setup and ongoing hosting costs</w:t>
      </w:r>
    </w:p>
    <w:p>
      <w:pPr>
        <w:pStyle w:val="ListParagraph"/>
        <w:numPr>
          <w:ilvl w:val="0"/>
          <w:numId w:val="2"/>
        </w:numPr>
        <w:spacing w:after="40" w:before="40"/>
      </w:pPr>
      <w:r>
        <w:rPr>
          <w:rFonts w:ascii="Arial" w:cs="Arial" w:eastAsia="Arial" w:hAnsi="Arial"/>
          <w:color w:val="1A1A1A"/>
          <w:sz w:val="22"/>
          <w:szCs w:val="22"/>
        </w:rPr>
        <w:t xml:space="preserve">Mobile / companion app development (API/GATT profile spec only)</w:t>
      </w:r>
    </w:p>
    <w:p>
      <w:pPr>
        <w:pStyle w:val="Heading1"/>
        <w:pBdr>
          <w:bottom w:val="single" w:color="2E75B6" w:sz="6" w:space="4"/>
        </w:pBdr>
        <w:spacing w:after="160" w:before="320"/>
      </w:pPr>
      <w:r>
        <w:rPr>
          <w:rFonts w:ascii="Arial" w:cs="Arial" w:eastAsia="Arial" w:hAnsi="Arial"/>
          <w:b/>
          <w:bCs/>
          <w:color w:val="1F4E79"/>
          <w:sz w:val="28"/>
          <w:szCs w:val="28"/>
        </w:rPr>
        <w:t xml:space="preserve">9. Authorization &amp; Acceptance</w:t>
      </w:r>
    </w:p>
    <w:p>
      <w:pPr>
        <w:spacing w:after="80" w:before="80"/>
      </w:pPr>
      <w:r>
        <w:rPr>
          <w:rFonts w:ascii="Arial" w:cs="Arial" w:eastAsia="Arial" w:hAnsi="Arial"/>
          <w:color w:val="1A1A1A"/>
          <w:sz w:val="22"/>
          <w:szCs w:val="22"/>
        </w:rPr>
        <w:t xml:space="preserve">The undersigned authorized representative of NexCore Embedded Solutions Pvt. Ltd. certifies that the information in this proposal is accurate, complete, and that the company is fully capable of delivering the described solution within the stated timeline and budget.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6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Vendor Representative</w:t>
            </w:r>
          </w:p>
        </w:tc>
        <w:tc>
          <w:tcPr>
            <w:tcW w:type="dxa" w:w="36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 Acceptance</w:t>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Signature</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NexCore Embedded Solutions Pvt. Ltd.</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PowerGrid Utilities Ltd.</w:t>
            </w:r>
          </w:p>
        </w:tc>
      </w:tr>
    </w:tbl>
    <w:p>
      <w:pPr>
        <w:spacing w:after="80" w:before="80"/>
      </w:pPr>
      <w:r>
        <w:t xml:space="preserve"/>
      </w:r>
    </w:p>
    <w:p>
      <w:pPr>
        <w:jc w:val="center"/>
      </w:pPr>
      <w:r>
        <w:rPr>
          <w:rFonts w:ascii="Arial" w:cs="Arial" w:eastAsia="Arial" w:hAnsi="Arial"/>
          <w:b/>
          <w:bCs/>
          <w:color w:val="1F4E79"/>
          <w:sz w:val="18"/>
          <w:szCs w:val="18"/>
        </w:rPr>
        <w:t xml:space="preserve">— END OF PROPOSAL | RFP-2024-EMB-001 | NexCore Embedded Solutions Pvt. Ltd.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888888"/>
        <w:sz w:val="16"/>
        <w:szCs w:val="16"/>
      </w:rPr>
      <w:t xml:space="preserve">Confidential Proposal — Not for Distribution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4E79"/>
        <w:sz w:val="18"/>
        <w:szCs w:val="18"/>
      </w:rPr>
      <w:t xml:space="preserve">NexCore Embedded Solutions Pvt. Ltd. — Proposal Response</w:t>
    </w:r>
    <w:r>
      <w:rPr>
        <w:rFonts w:ascii="Arial" w:cs="Arial" w:eastAsia="Arial" w:hAnsi="Arial"/>
        <w:color w:val="888888"/>
        <w:sz w:val="18"/>
        <w:szCs w:val="18"/>
      </w:rPr>
      <w:t xml:space="preserve">	RFP-2024-EMB-001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2026-06-11T11:43:22.572Z</dcterms:created>
  <dcterms:modified xsi:type="dcterms:W3CDTF">2026-06-11T11:43:22.583Z</dcterms:modified>
</cp:coreProperties>
</file>

<file path=docProps/custom.xml><?xml version="1.0" encoding="utf-8"?>
<Properties xmlns="http://schemas.openxmlformats.org/officeDocument/2006/custom-properties" xmlns:vt="http://schemas.openxmlformats.org/officeDocument/2006/docPropsVTypes"/>
</file>