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200" w:before="1000"/>
        <w:jc w:val="center"/>
      </w:pPr>
      <w:r>
        <w:rPr>
          <w:rFonts w:ascii="Arial" w:cs="Arial" w:eastAsia="Arial" w:hAnsi="Arial"/>
          <w:color w:val="888888"/>
          <w:sz w:val="28"/>
          <w:szCs w:val="28"/>
        </w:rPr>
        <w:t xml:space="preserve">PROPOSAL IN RESPONSE TO</w:t>
      </w:r>
    </w:p>
    <w:p>
      <w:pPr>
        <w:spacing w:after="160" w:before="0"/>
        <w:jc w:val="center"/>
      </w:pPr>
      <w:r>
        <w:rPr>
          <w:rFonts w:ascii="Arial" w:cs="Arial" w:eastAsia="Arial" w:hAnsi="Arial"/>
          <w:b/>
          <w:bCs/>
          <w:color w:val="1F4E79"/>
          <w:sz w:val="40"/>
          <w:szCs w:val="40"/>
        </w:rPr>
        <w:t xml:space="preserve">Automotive Body Control Module (BCM) Development</w:t>
      </w:r>
    </w:p>
    <w:p>
      <w:pPr>
        <w:spacing w:after="80" w:before="0"/>
        <w:jc w:val="center"/>
      </w:pPr>
      <w:r>
        <w:rPr>
          <w:rFonts w:ascii="Arial" w:cs="Arial" w:eastAsia="Arial" w:hAnsi="Arial"/>
          <w:color w:val="2E75B6"/>
          <w:sz w:val="24"/>
          <w:szCs w:val="24"/>
        </w:rPr>
        <w:t xml:space="preserve">Submitted to: Velotek Automotive Systems</w:t>
      </w:r>
    </w:p>
    <w:p>
      <w:pPr>
        <w:pBdr>
          <w:bottom w:val="single" w:color="2E75B6" w:sz="12" w:space="8"/>
        </w:pBdr>
        <w:spacing w:after="480" w:before="0"/>
        <w:jc w:val="center"/>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RFP Reference Number</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RFP-2024-EMB-002</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Submitted By (Vendor)</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AutoEdge Embedded Technologies</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Submitted To (Client)</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Velotek Automotive Systems</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Submission Date</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 July 2024</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Proposed Engagement Duration</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14 months</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Total Proposed Cost</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285,000</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Proposal Validity</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90 days from submission date</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Point of Contact</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Contact Name, Email, Phone]</w:t>
            </w:r>
          </w:p>
        </w:tc>
      </w:tr>
    </w:tbl>
    <w:p>
      <w:pPr>
        <w:spacing w:after="80" w:before="80"/>
      </w:pPr>
      <w:r>
        <w:t xml:space="preserve"/>
      </w:r>
    </w:p>
    <w:p>
      <w:pPr>
        <w:spacing w:after="0" w:before="400"/>
        <w:jc w:val="center"/>
      </w:pPr>
      <w:r>
        <w:rPr>
          <w:rFonts w:ascii="Arial" w:cs="Arial" w:eastAsia="Arial" w:hAnsi="Arial"/>
          <w:b/>
          <w:bCs/>
          <w:color w:val="888888"/>
          <w:sz w:val="18"/>
          <w:szCs w:val="18"/>
        </w:rPr>
        <w:t xml:space="preserve">CONFIDENTIAL — FOR CLIENT USE ONLY</w:t>
      </w:r>
    </w:p>
    <w:p>
      <w:pPr>
        <w:pageBreakBefore/>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 Executive Summary</w:t>
      </w:r>
    </w:p>
    <w:p>
      <w:pPr>
        <w:spacing w:after="80" w:before="80"/>
      </w:pPr>
      <w:r>
        <w:rPr>
          <w:rFonts w:ascii="Arial" w:cs="Arial" w:eastAsia="Arial" w:hAnsi="Arial"/>
          <w:color w:val="1A1A1A"/>
          <w:sz w:val="22"/>
          <w:szCs w:val="22"/>
        </w:rPr>
        <w:t xml:space="preserve">AutoEdge Embedded Technologies proposes a full-cycle development solution for Velotek Automotive Systems' Body Control Module (BCM) targeting next-generation passenger vehicles. Our proposal covers hardware design (custom PCB on the Renesas RH850/F1L), AUTOSAR Classic firmware development, LIN/CAN network stack integration, and ISO 26262 ASIL B compliance documentation. AutoEdge has delivered 6 AUTOSAR-compliant ECUs to OEM Tier-1 suppliers in the last 5 years and maintains a dedicated automotive functional safety team.</w:t>
      </w:r>
    </w:p>
    <w:p>
      <w:pPr>
        <w:spacing w:after="80" w:before="80"/>
      </w:pPr>
      <w:r>
        <w:t xml:space="preserve"/>
      </w:r>
    </w:p>
    <w:p>
      <w:pPr>
        <w:shd w:fill="D6F0E0" w:val="clear"/>
        <w:spacing w:after="80" w:before="80"/>
      </w:pPr>
      <w:r>
        <w:rPr>
          <w:rFonts w:ascii="Arial" w:cs="Arial" w:eastAsia="Arial" w:hAnsi="Arial"/>
          <w:i/>
          <w:iCs/>
          <w:color w:val="1E6B3C"/>
          <w:sz w:val="20"/>
          <w:szCs w:val="20"/>
        </w:rPr>
        <w:t xml:space="preserve">✔  This proposal is submitted in full compliance with the requirements set forth in RFP-2024-EMB-002.</w:t>
      </w:r>
    </w:p>
    <w:p>
      <w:pPr>
        <w:pStyle w:val="Heading1"/>
        <w:pBdr>
          <w:bottom w:val="single" w:color="2E75B6" w:sz="6" w:space="4"/>
        </w:pBdr>
        <w:spacing w:after="160" w:before="320"/>
      </w:pPr>
      <w:r>
        <w:rPr>
          <w:rFonts w:ascii="Arial" w:cs="Arial" w:eastAsia="Arial" w:hAnsi="Arial"/>
          <w:b/>
          <w:bCs/>
          <w:color w:val="1F4E79"/>
          <w:sz w:val="28"/>
          <w:szCs w:val="28"/>
        </w:rPr>
        <w:t xml:space="preserve">2. Company Profile</w:t>
      </w:r>
    </w:p>
    <w:p>
      <w:pPr>
        <w:spacing w:after="80" w:before="80"/>
      </w:pPr>
      <w:r>
        <w:rPr>
          <w:rFonts w:ascii="Arial" w:cs="Arial" w:eastAsia="Arial" w:hAnsi="Arial"/>
          <w:b/>
          <w:bCs/>
          <w:color w:val="1F4E79"/>
          <w:sz w:val="22"/>
          <w:szCs w:val="22"/>
        </w:rPr>
        <w:t xml:space="preserve">Company Name: </w:t>
      </w:r>
      <w:r>
        <w:rPr>
          <w:rFonts w:ascii="Arial" w:cs="Arial" w:eastAsia="Arial" w:hAnsi="Arial"/>
          <w:color w:val="1A1A1A"/>
          <w:sz w:val="22"/>
          <w:szCs w:val="22"/>
        </w:rPr>
        <w:t xml:space="preserve">AutoEdge Embedded Technologies</w:t>
      </w:r>
    </w:p>
    <w:p>
      <w:pPr>
        <w:spacing w:after="80" w:before="80"/>
      </w:pPr>
      <w:r>
        <w:rPr>
          <w:rFonts w:ascii="Arial" w:cs="Arial" w:eastAsia="Arial" w:hAnsi="Arial"/>
          <w:b/>
          <w:bCs/>
          <w:color w:val="1F4E79"/>
          <w:sz w:val="22"/>
          <w:szCs w:val="22"/>
        </w:rPr>
        <w:t xml:space="preserve">Headquarters: </w:t>
      </w:r>
      <w:r>
        <w:rPr>
          <w:rFonts w:ascii="Arial" w:cs="Arial" w:eastAsia="Arial" w:hAnsi="Arial"/>
          <w:color w:val="1A1A1A"/>
          <w:sz w:val="22"/>
          <w:szCs w:val="22"/>
        </w:rPr>
        <w:t xml:space="preserve">[City, Country]</w:t>
      </w:r>
    </w:p>
    <w:p>
      <w:pPr>
        <w:spacing w:after="80" w:before="80"/>
      </w:pPr>
      <w:r>
        <w:rPr>
          <w:rFonts w:ascii="Arial" w:cs="Arial" w:eastAsia="Arial" w:hAnsi="Arial"/>
          <w:b/>
          <w:bCs/>
          <w:color w:val="1F4E79"/>
          <w:sz w:val="22"/>
          <w:szCs w:val="22"/>
        </w:rPr>
        <w:t xml:space="preserve">Founded: </w:t>
      </w:r>
      <w:r>
        <w:rPr>
          <w:rFonts w:ascii="Arial" w:cs="Arial" w:eastAsia="Arial" w:hAnsi="Arial"/>
          <w:color w:val="1A1A1A"/>
          <w:sz w:val="22"/>
          <w:szCs w:val="22"/>
        </w:rPr>
        <w:t xml:space="preserve">[Year]</w:t>
      </w:r>
    </w:p>
    <w:p>
      <w:pPr>
        <w:spacing w:after="80" w:before="80"/>
      </w:pPr>
      <w:r>
        <w:rPr>
          <w:rFonts w:ascii="Arial" w:cs="Arial" w:eastAsia="Arial" w:hAnsi="Arial"/>
          <w:b/>
          <w:bCs/>
          <w:color w:val="1F4E79"/>
          <w:sz w:val="22"/>
          <w:szCs w:val="22"/>
        </w:rPr>
        <w:t xml:space="preserve">Team Size: </w:t>
      </w:r>
      <w:r>
        <w:rPr>
          <w:rFonts w:ascii="Arial" w:cs="Arial" w:eastAsia="Arial" w:hAnsi="Arial"/>
          <w:color w:val="1A1A1A"/>
          <w:sz w:val="22"/>
          <w:szCs w:val="22"/>
        </w:rPr>
        <w:t xml:space="preserve">[X] engineers (embedded firmware, hardware, test)</w:t>
      </w:r>
    </w:p>
    <w:p>
      <w:pPr>
        <w:spacing w:after="80" w:before="80"/>
      </w:pPr>
      <w:r>
        <w:rPr>
          <w:rFonts w:ascii="Arial" w:cs="Arial" w:eastAsia="Arial" w:hAnsi="Arial"/>
          <w:b/>
          <w:bCs/>
          <w:color w:val="1F4E79"/>
          <w:sz w:val="22"/>
          <w:szCs w:val="22"/>
        </w:rPr>
        <w:t xml:space="preserve">Certifications: </w:t>
      </w:r>
      <w:r>
        <w:rPr>
          <w:rFonts w:ascii="Arial" w:cs="Arial" w:eastAsia="Arial" w:hAnsi="Arial"/>
          <w:color w:val="1A1A1A"/>
          <w:sz w:val="22"/>
          <w:szCs w:val="22"/>
        </w:rPr>
        <w:t xml:space="preserve">[ISO 9001:2015 / ISO 13485:2016 / CMMI Level 3 — as applicable]</w:t>
      </w:r>
    </w:p>
    <w:p>
      <w:pPr>
        <w:spacing w:after="80" w:before="80"/>
      </w:pPr>
      <w:r>
        <w:rPr>
          <w:rFonts w:ascii="Arial" w:cs="Arial" w:eastAsia="Arial" w:hAnsi="Arial"/>
          <w:b/>
          <w:bCs/>
          <w:color w:val="1F4E79"/>
          <w:sz w:val="22"/>
          <w:szCs w:val="22"/>
        </w:rPr>
        <w:t xml:space="preserve">Relevant Domains: </w:t>
      </w:r>
      <w:r>
        <w:rPr>
          <w:rFonts w:ascii="Arial" w:cs="Arial" w:eastAsia="Arial" w:hAnsi="Arial"/>
          <w:color w:val="1A1A1A"/>
          <w:sz w:val="22"/>
          <w:szCs w:val="22"/>
        </w:rPr>
        <w:t xml:space="preserve">[Automotive / Medical / Industrial / Defense / Consumer]</w:t>
      </w:r>
    </w:p>
    <w:p>
      <w:pPr>
        <w:spacing w:after="80" w:before="80"/>
      </w:pPr>
      <w:r>
        <w:t xml:space="preserve"/>
      </w:r>
    </w:p>
    <w:p>
      <w:pPr>
        <w:spacing w:after="80" w:before="80"/>
      </w:pPr>
      <w:r>
        <w:rPr>
          <w:rFonts w:ascii="Arial" w:cs="Arial" w:eastAsia="Arial" w:hAnsi="Arial"/>
          <w:color w:val="1A1A1A"/>
          <w:sz w:val="22"/>
          <w:szCs w:val="22"/>
        </w:rPr>
        <w:t xml:space="preserve">Key credentials relevant to this engagement:</w:t>
      </w:r>
    </w:p>
    <w:p>
      <w:pPr>
        <w:pStyle w:val="ListParagraph"/>
        <w:numPr>
          <w:ilvl w:val="0"/>
          <w:numId w:val="2"/>
        </w:numPr>
        <w:spacing w:after="40" w:before="40"/>
      </w:pPr>
      <w:r>
        <w:rPr>
          <w:rFonts w:ascii="Arial" w:cs="Arial" w:eastAsia="Arial" w:hAnsi="Arial"/>
          <w:color w:val="1A1A1A"/>
          <w:sz w:val="22"/>
          <w:szCs w:val="22"/>
        </w:rPr>
        <w:t xml:space="preserve">6 production AUTOSAR ECUs delivered across powertrain, body, and chassis domains</w:t>
      </w:r>
    </w:p>
    <w:p>
      <w:pPr>
        <w:pStyle w:val="ListParagraph"/>
        <w:numPr>
          <w:ilvl w:val="0"/>
          <w:numId w:val="2"/>
        </w:numPr>
        <w:spacing w:after="40" w:before="40"/>
      </w:pPr>
      <w:r>
        <w:rPr>
          <w:rFonts w:ascii="Arial" w:cs="Arial" w:eastAsia="Arial" w:hAnsi="Arial"/>
          <w:color w:val="1A1A1A"/>
          <w:sz w:val="22"/>
          <w:szCs w:val="22"/>
        </w:rPr>
        <w:t xml:space="preserve">Certified ISO 26262 Functional Safety Engineer (TUV Rheinland) on core team</w:t>
      </w:r>
    </w:p>
    <w:p>
      <w:pPr>
        <w:pStyle w:val="ListParagraph"/>
        <w:numPr>
          <w:ilvl w:val="0"/>
          <w:numId w:val="2"/>
        </w:numPr>
        <w:spacing w:after="40" w:before="40"/>
      </w:pPr>
      <w:r>
        <w:rPr>
          <w:rFonts w:ascii="Arial" w:cs="Arial" w:eastAsia="Arial" w:hAnsi="Arial"/>
          <w:color w:val="1A1A1A"/>
          <w:sz w:val="22"/>
          <w:szCs w:val="22"/>
        </w:rPr>
        <w:t xml:space="preserve">In-house dSPACE HIL lab — no subcontracting of validation</w:t>
      </w:r>
    </w:p>
    <w:p>
      <w:pPr>
        <w:pStyle w:val="ListParagraph"/>
        <w:numPr>
          <w:ilvl w:val="0"/>
          <w:numId w:val="2"/>
        </w:numPr>
        <w:spacing w:after="40" w:before="40"/>
      </w:pPr>
      <w:r>
        <w:rPr>
          <w:rFonts w:ascii="Arial" w:cs="Arial" w:eastAsia="Arial" w:hAnsi="Arial"/>
          <w:color w:val="1A1A1A"/>
          <w:sz w:val="22"/>
          <w:szCs w:val="22"/>
        </w:rPr>
        <w:t xml:space="preserve">Existing MICROSAR license and toolchain — eliminates ramp-up cost for client</w:t>
      </w:r>
    </w:p>
    <w:p>
      <w:pPr>
        <w:pStyle w:val="Heading1"/>
        <w:pBdr>
          <w:bottom w:val="single" w:color="2E75B6" w:sz="6" w:space="4"/>
        </w:pBdr>
        <w:spacing w:after="160" w:before="320"/>
      </w:pPr>
      <w:r>
        <w:rPr>
          <w:rFonts w:ascii="Arial" w:cs="Arial" w:eastAsia="Arial" w:hAnsi="Arial"/>
          <w:b/>
          <w:bCs/>
          <w:color w:val="1F4E79"/>
          <w:sz w:val="28"/>
          <w:szCs w:val="28"/>
        </w:rPr>
        <w:t xml:space="preserve">3. Technical Approach</w:t>
      </w:r>
    </w:p>
    <w:p>
      <w:pPr>
        <w:pStyle w:val="Heading2"/>
        <w:spacing w:after="120" w:before="240"/>
      </w:pPr>
      <w:r>
        <w:rPr>
          <w:rFonts w:ascii="Arial" w:cs="Arial" w:eastAsia="Arial" w:hAnsi="Arial"/>
          <w:b/>
          <w:bCs/>
          <w:color w:val="2E75B6"/>
          <w:sz w:val="24"/>
          <w:szCs w:val="24"/>
        </w:rPr>
        <w:t xml:space="preserve">3.1 Solution Architecture Overview</w:t>
      </w:r>
    </w:p>
    <w:p>
      <w:pPr>
        <w:spacing w:after="80" w:before="80"/>
      </w:pPr>
      <w:r>
        <w:rPr>
          <w:rFonts w:ascii="Arial" w:cs="Arial" w:eastAsia="Arial" w:hAnsi="Arial"/>
          <w:color w:val="1A1A1A"/>
          <w:sz w:val="22"/>
          <w:szCs w:val="22"/>
        </w:rPr>
        <w:t xml:space="preserve">Our proposed architecture for the Automotive Body Control Module (BCM) Development is described below. All components have been selected based on the requirements stated in RFP-2024-EMB-002 and validated against our prior project baselines.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Proposed Solution</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MCU</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Renesas RH850/F1L (200 MHz, 2 MB Flash, 128 KB RAM, lockstep core)</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AUTOSAR BSW</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Vector MICROSAR R22-11 (Com, NvM, Dcm, Dem, Wdg, Mcu, Port, Dio)</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 FD (ISO 11898-1), LIN 2.2A, ISO 14229 UDS diagnostics</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Smart Switches</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Infineon BTS7008-2EPA (8x2ch, SPI diagnostics)</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HIL Platform</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dSPACE SCALEXIO with DS6001 automotive Ethernet gateway</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Toolchain</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TASKING VX-toolset, Vector CANoe, AUTOSAR Builder, LDRA</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Safety Standard</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 26262:2018 Part 6, ASIL B (hardware ASIL D decomposed)</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3.2 Implementation Methodology</w:t>
      </w:r>
    </w:p>
    <w:p>
      <w:pPr>
        <w:spacing w:after="80" w:before="80"/>
      </w:pPr>
      <w:r>
        <w:rPr>
          <w:rFonts w:ascii="Arial" w:cs="Arial" w:eastAsia="Arial" w:hAnsi="Arial"/>
          <w:color w:val="1A1A1A"/>
          <w:sz w:val="22"/>
          <w:szCs w:val="22"/>
        </w:rPr>
        <w:t xml:space="preserve">Our development approach follows an incremental, milestone-gated model with continuous integration and automated regression testing. Key methodology elements:</w:t>
      </w:r>
    </w:p>
    <w:p>
      <w:pPr>
        <w:pStyle w:val="ListParagraph"/>
        <w:numPr>
          <w:ilvl w:val="0"/>
          <w:numId w:val="2"/>
        </w:numPr>
        <w:spacing w:after="40" w:before="40"/>
      </w:pPr>
      <w:r>
        <w:rPr>
          <w:rFonts w:ascii="Arial" w:cs="Arial" w:eastAsia="Arial" w:hAnsi="Arial"/>
          <w:color w:val="1A1A1A"/>
          <w:sz w:val="22"/>
          <w:szCs w:val="22"/>
        </w:rPr>
        <w:t xml:space="preserve">AUTOSAR Classic (R22-11) layered architecture on Renesas RH850/F1L with Vector MICROSAR BSW stack</w:t>
      </w:r>
    </w:p>
    <w:p>
      <w:pPr>
        <w:pStyle w:val="ListParagraph"/>
        <w:numPr>
          <w:ilvl w:val="0"/>
          <w:numId w:val="2"/>
        </w:numPr>
        <w:spacing w:after="40" w:before="40"/>
      </w:pPr>
      <w:r>
        <w:rPr>
          <w:rFonts w:ascii="Arial" w:cs="Arial" w:eastAsia="Arial" w:hAnsi="Arial"/>
          <w:color w:val="1A1A1A"/>
          <w:sz w:val="22"/>
          <w:szCs w:val="22"/>
        </w:rPr>
        <w:t xml:space="preserve">CAN FD network (ISO 11898-1) for body network communications; LIN 2.2A for low-speed actuator clusters (windows, wipers, mirrors)</w:t>
      </w:r>
    </w:p>
    <w:p>
      <w:pPr>
        <w:pStyle w:val="ListParagraph"/>
        <w:numPr>
          <w:ilvl w:val="0"/>
          <w:numId w:val="2"/>
        </w:numPr>
        <w:spacing w:after="40" w:before="40"/>
      </w:pPr>
      <w:r>
        <w:rPr>
          <w:rFonts w:ascii="Arial" w:cs="Arial" w:eastAsia="Arial" w:hAnsi="Arial"/>
          <w:color w:val="1A1A1A"/>
          <w:sz w:val="22"/>
          <w:szCs w:val="22"/>
        </w:rPr>
        <w:t xml:space="preserve">BCM functions: central locking, interior/exterior lighting control, wiper/washer, power window management, ignition logic</w:t>
      </w:r>
    </w:p>
    <w:p>
      <w:pPr>
        <w:pStyle w:val="ListParagraph"/>
        <w:numPr>
          <w:ilvl w:val="0"/>
          <w:numId w:val="2"/>
        </w:numPr>
        <w:spacing w:after="40" w:before="40"/>
      </w:pPr>
      <w:r>
        <w:rPr>
          <w:rFonts w:ascii="Arial" w:cs="Arial" w:eastAsia="Arial" w:hAnsi="Arial"/>
          <w:color w:val="1A1A1A"/>
          <w:sz w:val="22"/>
          <w:szCs w:val="22"/>
        </w:rPr>
        <w:t xml:space="preserve">ISO 26262 ASIL B compliance: HARA, FMEA, safety goals, software safety requirements, DFA, verification reports</w:t>
      </w:r>
    </w:p>
    <w:p>
      <w:pPr>
        <w:pStyle w:val="ListParagraph"/>
        <w:numPr>
          <w:ilvl w:val="0"/>
          <w:numId w:val="2"/>
        </w:numPr>
        <w:spacing w:after="40" w:before="40"/>
      </w:pPr>
      <w:r>
        <w:rPr>
          <w:rFonts w:ascii="Arial" w:cs="Arial" w:eastAsia="Arial" w:hAnsi="Arial"/>
          <w:color w:val="1A1A1A"/>
          <w:sz w:val="22"/>
          <w:szCs w:val="22"/>
        </w:rPr>
        <w:t xml:space="preserve">Hardware: custom 4-layer PCB with Renesas RH850/F1L, 16-channel smart power switch array (BTS7008), wake-up circuits</w:t>
      </w:r>
    </w:p>
    <w:p>
      <w:pPr>
        <w:pStyle w:val="ListParagraph"/>
        <w:numPr>
          <w:ilvl w:val="0"/>
          <w:numId w:val="2"/>
        </w:numPr>
        <w:spacing w:after="40" w:before="40"/>
      </w:pPr>
      <w:r>
        <w:rPr>
          <w:rFonts w:ascii="Arial" w:cs="Arial" w:eastAsia="Arial" w:hAnsi="Arial"/>
          <w:color w:val="1A1A1A"/>
          <w:sz w:val="22"/>
          <w:szCs w:val="22"/>
        </w:rPr>
        <w:t xml:space="preserve">Hardware-in-the-loop validation using dSPACE SCALEXIO HIL rig simulating vehicle network and actuator loads</w:t>
      </w:r>
    </w:p>
    <w:p>
      <w:pPr>
        <w:pStyle w:val="ListParagraph"/>
        <w:numPr>
          <w:ilvl w:val="0"/>
          <w:numId w:val="2"/>
        </w:numPr>
        <w:spacing w:after="40" w:before="40"/>
      </w:pPr>
      <w:r>
        <w:rPr>
          <w:rFonts w:ascii="Arial" w:cs="Arial" w:eastAsia="Arial" w:hAnsi="Arial"/>
          <w:color w:val="1A1A1A"/>
          <w:sz w:val="22"/>
          <w:szCs w:val="22"/>
        </w:rPr>
        <w:t xml:space="preserve">EOL (end-of-line) flash programming support and diagnostic services (UDS ISO 14229, KWP2000)</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3.3 Tools &amp;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3480"/>
      </w:tblGrid>
      <w:tr>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3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 Platform</w:t>
            </w:r>
          </w:p>
        </w:tc>
        <w:tc>
          <w:tcPr>
            <w:tcW w:type="dxa" w:w="34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 / Toolchain</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IDE &amp; GCC/LLVM version]</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editing, compilation, debugging</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Version Control</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Git (GitLab self-hosted)</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Source control, MR-based code review</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GitLab CI + custom runners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static analysis, unit test on every commit</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Static Analysis</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[PC-lint / Polyspace / Coverity]</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MISRA-C / coding standard enforcement</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Testing</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[Unity / GoogleTest / CppUTest]</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unit &amp; integration test</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[JIRA + Polarion / IBM DOORS]</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 traceability matrix (RTM)</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HIL/SIL</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[dSPACE / X-Plane / custom harness]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&amp; software in-the-loop testing</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4. Project Plan &amp; Schedule</w:t>
      </w:r>
    </w:p>
    <w:p>
      <w:pPr>
        <w:pStyle w:val="Heading2"/>
        <w:spacing w:after="120" w:before="240"/>
      </w:pPr>
      <w:r>
        <w:rPr>
          <w:rFonts w:ascii="Arial" w:cs="Arial" w:eastAsia="Arial" w:hAnsi="Arial"/>
          <w:b/>
          <w:bCs/>
          <w:color w:val="2E75B6"/>
          <w:sz w:val="24"/>
          <w:szCs w:val="24"/>
        </w:rPr>
        <w:t xml:space="preserve">4.1 Milestone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5040"/>
        <w:gridCol w:w="3480"/>
      </w:tblGrid>
      <w:tr>
        <w:tc>
          <w:tcPr>
            <w:tcW w:type="dxa" w:w="8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4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M1</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HARA, Safety Goals &amp; System Architecture</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3</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M2</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Hardware Design Review &amp; PCB Fabrication</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8</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M3</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AUTOSAR BSW Configuration &amp; BSP Bring-up</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14</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M4</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BCM Application Software — Feature Complete</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26</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M5</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HIL Validation Campaign (1st Iteration)</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34</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M6</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ISO 26262 Safety Case &amp; Audit Support</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46</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M7</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V&amp;V, EOL Support &amp; Handover</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56</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4.2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1200"/>
        <w:gridCol w:w="4080"/>
      </w:tblGrid>
      <w:tr>
        <w:tc>
          <w:tcPr>
            <w:tcW w:type="dxa" w:w="28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0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Component supply chain delay (long-lead semiconductors)</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Place orders at M1; dual-source critical ICs identified</w:t>
            </w:r>
          </w:p>
        </w:tc>
      </w:tr>
      <w:tr>
        <w:tc>
          <w:tcPr>
            <w:tcW w:type="dxa" w:w="28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 creep post architecture freeze</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Formal change control via signed ECO; impact assessed before action</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Third-party IP / stack integration delays</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Pre-evaluated in proposal; fallback open-source options identified</w:t>
            </w:r>
          </w:p>
        </w:tc>
      </w:tr>
      <w:tr>
        <w:tc>
          <w:tcPr>
            <w:tcW w:type="dxa" w:w="28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Regulatory/certification timeline extension</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Early engagement with test lab; pre-compliance checks at M4</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personnel availability</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Named resources contractually committed; documented handover plan</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5. Proposed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2520"/>
        <w:gridCol w:w="2160"/>
      </w:tblGrid>
      <w:tr>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Experience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Engagement / Program Manager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PM in embedded programs</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Lead Firmware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[relevant MCU/domain]</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 PCB Engineer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[CAD tool]</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System / Safety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[standard]</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50%</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&amp; Verification Engineer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HIL/SIL</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Software QA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[QMS experience]</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40%</w:t>
            </w:r>
          </w:p>
        </w:tc>
      </w:tr>
    </w:tbl>
    <w:p>
      <w:pPr>
        <w:spacing w:after="80" w:before="80"/>
      </w:pPr>
      <w:r>
        <w:t xml:space="preserve"/>
      </w:r>
    </w:p>
    <w:p>
      <w:pPr>
        <w:spacing w:after="80" w:before="80"/>
      </w:pPr>
      <w:r>
        <w:rPr>
          <w:rFonts w:ascii="Arial" w:cs="Arial" w:eastAsia="Arial" w:hAnsi="Arial"/>
          <w:color w:val="1A1A1A"/>
          <w:sz w:val="22"/>
          <w:szCs w:val="22"/>
        </w:rPr>
        <w:t xml:space="preserve">All named personnel are available for this engagement from project kickoff. Any substitution requires written client approval.</w:t>
      </w:r>
    </w:p>
    <w:p>
      <w:pPr>
        <w:pStyle w:val="Heading1"/>
        <w:pBdr>
          <w:bottom w:val="single" w:color="2E75B6" w:sz="6" w:space="4"/>
        </w:pBdr>
        <w:spacing w:after="160" w:before="320"/>
      </w:pPr>
      <w:r>
        <w:rPr>
          <w:rFonts w:ascii="Arial" w:cs="Arial" w:eastAsia="Arial" w:hAnsi="Arial"/>
          <w:b/>
          <w:bCs/>
          <w:color w:val="1F4E79"/>
          <w:sz w:val="28"/>
          <w:szCs w:val="28"/>
        </w:rPr>
        <w:t xml:space="preserve">6. Past Performance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080"/>
        <w:gridCol w:w="2160"/>
        <w:gridCol w:w="1800"/>
      </w:tblGrid>
      <w:tr>
        <w:tc>
          <w:tcPr>
            <w:tcW w:type="dxa" w:w="18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10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Reference Contact</w:t>
            </w:r>
          </w:p>
        </w:tc>
      </w:tr>
      <w:t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A]</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On-time, certified delivery</w:t>
            </w:r>
          </w:p>
        </w:tc>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email]</w:t>
            </w:r>
          </w:p>
        </w:tc>
      </w:tr>
      <w:tr>
        <w:tc>
          <w:tcPr>
            <w:tcW w:type="dxa" w:w="18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[Client B]</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Zero field defects post-deployment</w:t>
            </w:r>
          </w:p>
        </w:tc>
        <w:tc>
          <w:tcPr>
            <w:tcW w:type="dxa" w:w="18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 email]</w:t>
            </w:r>
          </w:p>
        </w:tc>
      </w:tr>
      <w:t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C]</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Regulatory approval achieved</w:t>
            </w:r>
          </w:p>
        </w:tc>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email]</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7. Pricing &amp; Cost Breakdown</w:t>
      </w:r>
    </w:p>
    <w:p>
      <w:pPr>
        <w:shd w:fill="D6F0E0" w:val="clear"/>
        <w:spacing w:after="80" w:before="80"/>
      </w:pPr>
      <w:r>
        <w:rPr>
          <w:rFonts w:ascii="Arial" w:cs="Arial" w:eastAsia="Arial" w:hAnsi="Arial"/>
          <w:i/>
          <w:iCs/>
          <w:color w:val="1E6B3C"/>
          <w:sz w:val="20"/>
          <w:szCs w:val="20"/>
        </w:rPr>
        <w:t xml:space="preserve">✔  All prices are fixed-price per milestone. T&amp;M rates available for change orders: Senior Engineer USD [X]/hr, Engineer USD [X]/hr.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 Deliverable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 (USD)</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HARA &amp; System Safety Engineering</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28,000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Hardware Design &amp; PCB Fabrication (5 prototypes)</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45,000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AUTOSAR BSW Configuration &amp; BSP</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52,000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BCM Application Software Development</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68,000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HIL Test Development &amp; Execution</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42,000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ISO 26262 Safety Documentation &amp; Audit Support</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35,000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Documentation &amp; Knowledge Transfer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15,000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285,000</w:t>
            </w:r>
          </w:p>
        </w:tc>
      </w:tr>
    </w:tbl>
    <w:p>
      <w:pPr>
        <w:spacing w:after="80" w:before="80"/>
      </w:pPr>
      <w:r>
        <w:t xml:space="preserve"/>
      </w:r>
    </w:p>
    <w:p>
      <w:pPr>
        <w:spacing w:after="80" w:before="80"/>
      </w:pPr>
      <w:r>
        <w:rPr>
          <w:rFonts w:ascii="Arial" w:cs="Arial" w:eastAsia="Arial" w:hAnsi="Arial"/>
          <w:color w:val="1A1A1A"/>
          <w:sz w:val="22"/>
          <w:szCs w:val="22"/>
        </w:rPr>
        <w:t xml:space="preserve">Payment milestones aligned with M1–M7 above. 20% advance on contract signing; remainder milestone-gated.</w:t>
      </w:r>
    </w:p>
    <w:p>
      <w:pPr>
        <w:pStyle w:val="Heading1"/>
        <w:pBdr>
          <w:bottom w:val="single" w:color="2E75B6" w:sz="6" w:space="4"/>
        </w:pBdr>
        <w:spacing w:after="160" w:before="320"/>
      </w:pPr>
      <w:r>
        <w:rPr>
          <w:rFonts w:ascii="Arial" w:cs="Arial" w:eastAsia="Arial" w:hAnsi="Arial"/>
          <w:b/>
          <w:bCs/>
          <w:color w:val="1F4E79"/>
          <w:sz w:val="28"/>
          <w:szCs w:val="28"/>
        </w:rPr>
        <w:t xml:space="preserve">8. Assumptions &amp; Exclusions</w:t>
      </w:r>
    </w:p>
    <w:p>
      <w:pPr>
        <w:pStyle w:val="Heading2"/>
        <w:spacing w:after="120" w:before="240"/>
      </w:pPr>
      <w:r>
        <w:rPr>
          <w:rFonts w:ascii="Arial" w:cs="Arial" w:eastAsia="Arial" w:hAnsi="Arial"/>
          <w:b/>
          <w:bCs/>
          <w:color w:val="2E75B6"/>
          <w:sz w:val="24"/>
          <w:szCs w:val="24"/>
        </w:rPr>
        <w:t xml:space="preserve">8.1 Assumptions</w:t>
      </w:r>
    </w:p>
    <w:p>
      <w:pPr>
        <w:pStyle w:val="ListParagraph"/>
        <w:numPr>
          <w:ilvl w:val="0"/>
          <w:numId w:val="2"/>
        </w:numPr>
        <w:spacing w:after="40" w:before="40"/>
      </w:pPr>
      <w:r>
        <w:rPr>
          <w:rFonts w:ascii="Arial" w:cs="Arial" w:eastAsia="Arial" w:hAnsi="Arial"/>
          <w:color w:val="1A1A1A"/>
          <w:sz w:val="22"/>
          <w:szCs w:val="22"/>
        </w:rPr>
        <w:t xml:space="preserve">Client will provide detailed technical requirements document within 5 business days of kickoff</w:t>
      </w:r>
    </w:p>
    <w:p>
      <w:pPr>
        <w:pStyle w:val="ListParagraph"/>
        <w:numPr>
          <w:ilvl w:val="0"/>
          <w:numId w:val="2"/>
        </w:numPr>
        <w:spacing w:after="40" w:before="40"/>
      </w:pPr>
      <w:r>
        <w:rPr>
          <w:rFonts w:ascii="Arial" w:cs="Arial" w:eastAsia="Arial" w:hAnsi="Arial"/>
          <w:color w:val="1A1A1A"/>
          <w:sz w:val="22"/>
          <w:szCs w:val="22"/>
        </w:rPr>
        <w:t xml:space="preserve">Client hardware (EVK / DVT boards) will be available to vendor within 2 weeks of project start</w:t>
      </w:r>
    </w:p>
    <w:p>
      <w:pPr>
        <w:pStyle w:val="ListParagraph"/>
        <w:numPr>
          <w:ilvl w:val="0"/>
          <w:numId w:val="2"/>
        </w:numPr>
        <w:spacing w:after="40" w:before="40"/>
      </w:pPr>
      <w:r>
        <w:rPr>
          <w:rFonts w:ascii="Arial" w:cs="Arial" w:eastAsia="Arial" w:hAnsi="Arial"/>
          <w:color w:val="1A1A1A"/>
          <w:sz w:val="22"/>
          <w:szCs w:val="22"/>
        </w:rPr>
        <w:t xml:space="preserve">Client will designate a named technical point of contact available for at least 4 hours/week</w:t>
      </w:r>
    </w:p>
    <w:p>
      <w:pPr>
        <w:pStyle w:val="ListParagraph"/>
        <w:numPr>
          <w:ilvl w:val="0"/>
          <w:numId w:val="2"/>
        </w:numPr>
        <w:spacing w:after="40" w:before="40"/>
      </w:pPr>
      <w:r>
        <w:rPr>
          <w:rFonts w:ascii="Arial" w:cs="Arial" w:eastAsia="Arial" w:hAnsi="Arial"/>
          <w:color w:val="1A1A1A"/>
          <w:sz w:val="22"/>
          <w:szCs w:val="22"/>
        </w:rPr>
        <w:t xml:space="preserve">All third-party tool licenses (if client-mandated) will be provided by client</w:t>
      </w:r>
    </w:p>
    <w:p>
      <w:pPr>
        <w:pStyle w:val="ListParagraph"/>
        <w:numPr>
          <w:ilvl w:val="0"/>
          <w:numId w:val="2"/>
        </w:numPr>
        <w:spacing w:after="40" w:before="40"/>
      </w:pPr>
      <w:r>
        <w:rPr>
          <w:rFonts w:ascii="Arial" w:cs="Arial" w:eastAsia="Arial" w:hAnsi="Arial"/>
          <w:color w:val="1A1A1A"/>
          <w:sz w:val="22"/>
          <w:szCs w:val="22"/>
        </w:rPr>
        <w:t xml:space="preserve">Travel costs (if on-site visits required) will be billed at actuals with prior written approval</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8.2 Exclusions</w:t>
      </w:r>
    </w:p>
    <w:p>
      <w:pPr>
        <w:pStyle w:val="ListParagraph"/>
        <w:numPr>
          <w:ilvl w:val="0"/>
          <w:numId w:val="2"/>
        </w:numPr>
        <w:spacing w:after="40" w:before="40"/>
      </w:pPr>
      <w:r>
        <w:rPr>
          <w:rFonts w:ascii="Arial" w:cs="Arial" w:eastAsia="Arial" w:hAnsi="Arial"/>
          <w:color w:val="1A1A1A"/>
          <w:sz w:val="22"/>
          <w:szCs w:val="22"/>
        </w:rPr>
        <w:t xml:space="preserve">Mechanical / enclosure design and fabrication</w:t>
      </w:r>
    </w:p>
    <w:p>
      <w:pPr>
        <w:pStyle w:val="ListParagraph"/>
        <w:numPr>
          <w:ilvl w:val="0"/>
          <w:numId w:val="2"/>
        </w:numPr>
        <w:spacing w:after="40" w:before="40"/>
      </w:pPr>
      <w:r>
        <w:rPr>
          <w:rFonts w:ascii="Arial" w:cs="Arial" w:eastAsia="Arial" w:hAnsi="Arial"/>
          <w:color w:val="1A1A1A"/>
          <w:sz w:val="22"/>
          <w:szCs w:val="22"/>
        </w:rPr>
        <w:t xml:space="preserve">Mass production PCB assembly or component procurement beyond prototypes</w:t>
      </w:r>
    </w:p>
    <w:p>
      <w:pPr>
        <w:pStyle w:val="ListParagraph"/>
        <w:numPr>
          <w:ilvl w:val="0"/>
          <w:numId w:val="2"/>
        </w:numPr>
        <w:spacing w:after="40" w:before="40"/>
      </w:pPr>
      <w:r>
        <w:rPr>
          <w:rFonts w:ascii="Arial" w:cs="Arial" w:eastAsia="Arial" w:hAnsi="Arial"/>
          <w:color w:val="1A1A1A"/>
          <w:sz w:val="22"/>
          <w:szCs w:val="22"/>
        </w:rPr>
        <w:t xml:space="preserve">Regulatory certification filing fees and test lab charges (budgeted separately)</w:t>
      </w:r>
    </w:p>
    <w:p>
      <w:pPr>
        <w:pStyle w:val="ListParagraph"/>
        <w:numPr>
          <w:ilvl w:val="0"/>
          <w:numId w:val="2"/>
        </w:numPr>
        <w:spacing w:after="40" w:before="40"/>
      </w:pPr>
      <w:r>
        <w:rPr>
          <w:rFonts w:ascii="Arial" w:cs="Arial" w:eastAsia="Arial" w:hAnsi="Arial"/>
          <w:color w:val="1A1A1A"/>
          <w:sz w:val="22"/>
          <w:szCs w:val="22"/>
        </w:rPr>
        <w:t xml:space="preserve">Cloud backend infrastructure setup and ongoing hosting costs</w:t>
      </w:r>
    </w:p>
    <w:p>
      <w:pPr>
        <w:pStyle w:val="ListParagraph"/>
        <w:numPr>
          <w:ilvl w:val="0"/>
          <w:numId w:val="2"/>
        </w:numPr>
        <w:spacing w:after="40" w:before="40"/>
      </w:pPr>
      <w:r>
        <w:rPr>
          <w:rFonts w:ascii="Arial" w:cs="Arial" w:eastAsia="Arial" w:hAnsi="Arial"/>
          <w:color w:val="1A1A1A"/>
          <w:sz w:val="22"/>
          <w:szCs w:val="22"/>
        </w:rPr>
        <w:t xml:space="preserve">Mobile / companion app development (API/GATT profile spec only)</w:t>
      </w:r>
    </w:p>
    <w:p>
      <w:pPr>
        <w:pStyle w:val="Heading1"/>
        <w:pBdr>
          <w:bottom w:val="single" w:color="2E75B6" w:sz="6" w:space="4"/>
        </w:pBdr>
        <w:spacing w:after="160" w:before="320"/>
      </w:pPr>
      <w:r>
        <w:rPr>
          <w:rFonts w:ascii="Arial" w:cs="Arial" w:eastAsia="Arial" w:hAnsi="Arial"/>
          <w:b/>
          <w:bCs/>
          <w:color w:val="1F4E79"/>
          <w:sz w:val="28"/>
          <w:szCs w:val="28"/>
        </w:rPr>
        <w:t xml:space="preserve">9. Authorization &amp; Acceptance</w:t>
      </w:r>
    </w:p>
    <w:p>
      <w:pPr>
        <w:spacing w:after="80" w:before="80"/>
      </w:pPr>
      <w:r>
        <w:rPr>
          <w:rFonts w:ascii="Arial" w:cs="Arial" w:eastAsia="Arial" w:hAnsi="Arial"/>
          <w:color w:val="1A1A1A"/>
          <w:sz w:val="22"/>
          <w:szCs w:val="22"/>
        </w:rPr>
        <w:t xml:space="preserve">The undersigned authorized representative of AutoEdge Embedded Technologies certifies that the information in this proposal is accurate, complete, and that the company is fully capable of delivering the described solution within the stated timeline and budget.</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6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Vendor Representative</w:t>
            </w:r>
          </w:p>
        </w:tc>
        <w:tc>
          <w:tcPr>
            <w:tcW w:type="dxa" w:w="36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Client Acceptance</w:t>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Signature</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AutoEdge Embedded Technologies</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Velotek Automotive Systems</w:t>
            </w:r>
          </w:p>
        </w:tc>
      </w:tr>
    </w:tbl>
    <w:p>
      <w:pPr>
        <w:spacing w:after="80" w:before="80"/>
      </w:pPr>
      <w:r>
        <w:t xml:space="preserve"/>
      </w:r>
    </w:p>
    <w:p>
      <w:pPr>
        <w:jc w:val="center"/>
      </w:pPr>
      <w:r>
        <w:rPr>
          <w:rFonts w:ascii="Arial" w:cs="Arial" w:eastAsia="Arial" w:hAnsi="Arial"/>
          <w:b/>
          <w:bCs/>
          <w:color w:val="1F4E79"/>
          <w:sz w:val="18"/>
          <w:szCs w:val="18"/>
        </w:rPr>
        <w:t xml:space="preserve">— END OF PROPOSAL | RFP-2024-EMB-002 | AutoEdge Embedded Technologies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i/>
        <w:iCs/>
        <w:color w:val="888888"/>
        <w:sz w:val="16"/>
        <w:szCs w:val="16"/>
      </w:rPr>
      <w:t xml:space="preserve">Confidential Proposal — Not for Distribution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1F4E79"/>
        <w:sz w:val="18"/>
        <w:szCs w:val="18"/>
      </w:rPr>
      <w:t xml:space="preserve">AutoEdge Embedded Technologies — Proposal Response</w:t>
    </w:r>
    <w:r>
      <w:rPr>
        <w:rFonts w:ascii="Arial" w:cs="Arial" w:eastAsia="Arial" w:hAnsi="Arial"/>
        <w:color w:val="888888"/>
        <w:sz w:val="18"/>
        <w:szCs w:val="18"/>
      </w:rPr>
      <w:t xml:space="preserve">	RFP-2024-EMB-002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2026-06-11T11:43:22.959Z</dcterms:created>
  <dcterms:modified xsi:type="dcterms:W3CDTF">2026-06-11T11:43:22.960Z</dcterms:modified>
</cp:coreProperties>
</file>

<file path=docProps/custom.xml><?xml version="1.0" encoding="utf-8"?>
<Properties xmlns="http://schemas.openxmlformats.org/officeDocument/2006/custom-properties" xmlns:vt="http://schemas.openxmlformats.org/officeDocument/2006/docPropsVTypes"/>
</file>