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200" w:before="1000"/>
        <w:jc w:val="center"/>
      </w:pPr>
      <w:r>
        <w:rPr>
          <w:rFonts w:ascii="Arial" w:cs="Arial" w:eastAsia="Arial" w:hAnsi="Arial"/>
          <w:color w:val="888888"/>
          <w:sz w:val="28"/>
          <w:szCs w:val="28"/>
        </w:rPr>
        <w:t xml:space="preserve">PROPOSAL IN RESPONSE TO</w:t>
      </w:r>
    </w:p>
    <w:p>
      <w:pPr>
        <w:spacing w:after="160" w:before="0"/>
        <w:jc w:val="center"/>
      </w:pPr>
      <w:r>
        <w:rPr>
          <w:rFonts w:ascii="Arial" w:cs="Arial" w:eastAsia="Arial" w:hAnsi="Arial"/>
          <w:b/>
          <w:bCs/>
          <w:color w:val="1F4E79"/>
          <w:sz w:val="40"/>
          <w:szCs w:val="40"/>
        </w:rPr>
        <w:t xml:space="preserve">Industrial IoT Edge Gateway Platform</w:t>
      </w:r>
    </w:p>
    <w:p>
      <w:pPr>
        <w:spacing w:after="80" w:before="0"/>
        <w:jc w:val="center"/>
      </w:pPr>
      <w:r>
        <w:rPr>
          <w:rFonts w:ascii="Arial" w:cs="Arial" w:eastAsia="Arial" w:hAnsi="Arial"/>
          <w:color w:val="2E75B6"/>
          <w:sz w:val="24"/>
          <w:szCs w:val="24"/>
        </w:rPr>
        <w:t xml:space="preserve">Submitted to: IndustraTech Manufacturing Solutions</w:t>
      </w:r>
    </w:p>
    <w:p>
      <w:pPr>
        <w:pBdr>
          <w:bottom w:val="single" w:color="2E75B6" w:sz="12" w:space="8"/>
        </w:pBdr>
        <w:spacing w:after="480" w:before="0"/>
        <w:jc w:val="center"/>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RFP Reference Number</w:t>
            </w:r>
          </w:p>
        </w:tc>
        <w:tc>
          <w:tcPr>
            <w:tcW w:type="dxa" w:w="62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RFP-2024-EMB-003</w:t>
            </w:r>
          </w:p>
        </w:tc>
      </w:tr>
      <w:tr>
        <w:tc>
          <w:tcPr>
            <w:tcW w:type="dxa" w:w="31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Submitted By (Vendor)</w:t>
            </w:r>
          </w:p>
        </w:tc>
        <w:tc>
          <w:tcPr>
            <w:tcW w:type="dxa" w:w="62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EdgeWave Systems Pvt. Ltd.</w:t>
            </w:r>
          </w:p>
        </w:tc>
      </w:tr>
      <w:tr>
        <w:tc>
          <w:tcPr>
            <w:tcW w:type="dxa" w:w="31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Submitted To (Client)</w:t>
            </w:r>
          </w:p>
        </w:tc>
        <w:tc>
          <w:tcPr>
            <w:tcW w:type="dxa" w:w="62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IndustraTech Manufacturing Solutions</w:t>
            </w:r>
          </w:p>
        </w:tc>
      </w:tr>
      <w:tr>
        <w:tc>
          <w:tcPr>
            <w:tcW w:type="dxa" w:w="31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Submission Date</w:t>
            </w:r>
          </w:p>
        </w:tc>
        <w:tc>
          <w:tcPr>
            <w:tcW w:type="dxa" w:w="62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01 August 2024</w:t>
            </w:r>
          </w:p>
        </w:tc>
      </w:tr>
      <w:tr>
        <w:tc>
          <w:tcPr>
            <w:tcW w:type="dxa" w:w="31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Proposed Engagement Duration</w:t>
            </w:r>
          </w:p>
        </w:tc>
        <w:tc>
          <w:tcPr>
            <w:tcW w:type="dxa" w:w="62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12 months</w:t>
            </w:r>
          </w:p>
        </w:tc>
      </w:tr>
      <w:tr>
        <w:tc>
          <w:tcPr>
            <w:tcW w:type="dxa" w:w="31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Total Proposed Cost</w:t>
            </w:r>
          </w:p>
        </w:tc>
        <w:tc>
          <w:tcPr>
            <w:tcW w:type="dxa" w:w="62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USD 195,000</w:t>
            </w:r>
          </w:p>
        </w:tc>
      </w:tr>
      <w:tr>
        <w:tc>
          <w:tcPr>
            <w:tcW w:type="dxa" w:w="31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Proposal Validity</w:t>
            </w:r>
          </w:p>
        </w:tc>
        <w:tc>
          <w:tcPr>
            <w:tcW w:type="dxa" w:w="62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90 days from submission date</w:t>
            </w:r>
          </w:p>
        </w:tc>
      </w:tr>
      <w:tr>
        <w:tc>
          <w:tcPr>
            <w:tcW w:type="dxa" w:w="31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Point of Contact</w:t>
            </w:r>
          </w:p>
        </w:tc>
        <w:tc>
          <w:tcPr>
            <w:tcW w:type="dxa" w:w="62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[Vendor Contact Name, Email, Phone]</w:t>
            </w:r>
          </w:p>
        </w:tc>
      </w:tr>
    </w:tbl>
    <w:p>
      <w:pPr>
        <w:spacing w:after="80" w:before="80"/>
      </w:pPr>
      <w:r>
        <w:t xml:space="preserve"/>
      </w:r>
    </w:p>
    <w:p>
      <w:pPr>
        <w:spacing w:after="0" w:before="400"/>
        <w:jc w:val="center"/>
      </w:pPr>
      <w:r>
        <w:rPr>
          <w:rFonts w:ascii="Arial" w:cs="Arial" w:eastAsia="Arial" w:hAnsi="Arial"/>
          <w:b/>
          <w:bCs/>
          <w:color w:val="888888"/>
          <w:sz w:val="18"/>
          <w:szCs w:val="18"/>
        </w:rPr>
        <w:t xml:space="preserve">CONFIDENTIAL — FOR CLIENT USE ONLY</w:t>
      </w:r>
    </w:p>
    <w:p>
      <w:pPr>
        <w:pageBreakBefore/>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1. Executive Summary</w:t>
      </w:r>
    </w:p>
    <w:p>
      <w:pPr>
        <w:spacing w:after="80" w:before="80"/>
      </w:pPr>
      <w:r>
        <w:rPr>
          <w:rFonts w:ascii="Arial" w:cs="Arial" w:eastAsia="Arial" w:hAnsi="Arial"/>
          <w:color w:val="1A1A1A"/>
          <w:sz w:val="22"/>
          <w:szCs w:val="22"/>
        </w:rPr>
        <w:t xml:space="preserve">EdgeWave Systems proposes a turnkey Industrial IoT Edge Gateway solution for IndustraTech's factory floor digitalization initiative. Our platform is built on the NXP i.MX 8M Mini SoC running a hardened Linux (Yocto) image, providing multi-protocol ingestion (Modbus RTU/TCP, PROFINET, OPC-UA), local edge analytics via ONNX Runtime, and secure cloud telemetry to AWS IoT Core via MQTT over TLS 1.3. The gateway is designed for DIN-rail mounting, -25°C to +70°C operation, and integrates hardware security via TPM 2.0 for device identity and certificate management.</w:t>
      </w:r>
    </w:p>
    <w:p>
      <w:pPr>
        <w:spacing w:after="80" w:before="80"/>
      </w:pPr>
      <w:r>
        <w:t xml:space="preserve"/>
      </w:r>
    </w:p>
    <w:p>
      <w:pPr>
        <w:shd w:fill="D6F0E0" w:val="clear"/>
        <w:spacing w:after="80" w:before="80"/>
      </w:pPr>
      <w:r>
        <w:rPr>
          <w:rFonts w:ascii="Arial" w:cs="Arial" w:eastAsia="Arial" w:hAnsi="Arial"/>
          <w:i/>
          <w:iCs/>
          <w:color w:val="1E6B3C"/>
          <w:sz w:val="20"/>
          <w:szCs w:val="20"/>
        </w:rPr>
        <w:t xml:space="preserve">✔  This proposal is submitted in full compliance with the requirements set forth in RFP-2024-EMB-003.</w:t>
      </w:r>
    </w:p>
    <w:p>
      <w:pPr>
        <w:pStyle w:val="Heading1"/>
        <w:pBdr>
          <w:bottom w:val="single" w:color="2E75B6" w:sz="6" w:space="4"/>
        </w:pBdr>
        <w:spacing w:after="160" w:before="320"/>
      </w:pPr>
      <w:r>
        <w:rPr>
          <w:rFonts w:ascii="Arial" w:cs="Arial" w:eastAsia="Arial" w:hAnsi="Arial"/>
          <w:b/>
          <w:bCs/>
          <w:color w:val="1F4E79"/>
          <w:sz w:val="28"/>
          <w:szCs w:val="28"/>
        </w:rPr>
        <w:t xml:space="preserve">2. Company Profile</w:t>
      </w:r>
    </w:p>
    <w:p>
      <w:pPr>
        <w:spacing w:after="80" w:before="80"/>
      </w:pPr>
      <w:r>
        <w:rPr>
          <w:rFonts w:ascii="Arial" w:cs="Arial" w:eastAsia="Arial" w:hAnsi="Arial"/>
          <w:b/>
          <w:bCs/>
          <w:color w:val="1F4E79"/>
          <w:sz w:val="22"/>
          <w:szCs w:val="22"/>
        </w:rPr>
        <w:t xml:space="preserve">Company Name: </w:t>
      </w:r>
      <w:r>
        <w:rPr>
          <w:rFonts w:ascii="Arial" w:cs="Arial" w:eastAsia="Arial" w:hAnsi="Arial"/>
          <w:color w:val="1A1A1A"/>
          <w:sz w:val="22"/>
          <w:szCs w:val="22"/>
        </w:rPr>
        <w:t xml:space="preserve">EdgeWave Systems Pvt. Ltd.</w:t>
      </w:r>
    </w:p>
    <w:p>
      <w:pPr>
        <w:spacing w:after="80" w:before="80"/>
      </w:pPr>
      <w:r>
        <w:rPr>
          <w:rFonts w:ascii="Arial" w:cs="Arial" w:eastAsia="Arial" w:hAnsi="Arial"/>
          <w:b/>
          <w:bCs/>
          <w:color w:val="1F4E79"/>
          <w:sz w:val="22"/>
          <w:szCs w:val="22"/>
        </w:rPr>
        <w:t xml:space="preserve">Headquarters: </w:t>
      </w:r>
      <w:r>
        <w:rPr>
          <w:rFonts w:ascii="Arial" w:cs="Arial" w:eastAsia="Arial" w:hAnsi="Arial"/>
          <w:color w:val="1A1A1A"/>
          <w:sz w:val="22"/>
          <w:szCs w:val="22"/>
        </w:rPr>
        <w:t xml:space="preserve">[City, Country]</w:t>
      </w:r>
    </w:p>
    <w:p>
      <w:pPr>
        <w:spacing w:after="80" w:before="80"/>
      </w:pPr>
      <w:r>
        <w:rPr>
          <w:rFonts w:ascii="Arial" w:cs="Arial" w:eastAsia="Arial" w:hAnsi="Arial"/>
          <w:b/>
          <w:bCs/>
          <w:color w:val="1F4E79"/>
          <w:sz w:val="22"/>
          <w:szCs w:val="22"/>
        </w:rPr>
        <w:t xml:space="preserve">Founded: </w:t>
      </w:r>
      <w:r>
        <w:rPr>
          <w:rFonts w:ascii="Arial" w:cs="Arial" w:eastAsia="Arial" w:hAnsi="Arial"/>
          <w:color w:val="1A1A1A"/>
          <w:sz w:val="22"/>
          <w:szCs w:val="22"/>
        </w:rPr>
        <w:t xml:space="preserve">[Year]</w:t>
      </w:r>
    </w:p>
    <w:p>
      <w:pPr>
        <w:spacing w:after="80" w:before="80"/>
      </w:pPr>
      <w:r>
        <w:rPr>
          <w:rFonts w:ascii="Arial" w:cs="Arial" w:eastAsia="Arial" w:hAnsi="Arial"/>
          <w:b/>
          <w:bCs/>
          <w:color w:val="1F4E79"/>
          <w:sz w:val="22"/>
          <w:szCs w:val="22"/>
        </w:rPr>
        <w:t xml:space="preserve">Team Size: </w:t>
      </w:r>
      <w:r>
        <w:rPr>
          <w:rFonts w:ascii="Arial" w:cs="Arial" w:eastAsia="Arial" w:hAnsi="Arial"/>
          <w:color w:val="1A1A1A"/>
          <w:sz w:val="22"/>
          <w:szCs w:val="22"/>
        </w:rPr>
        <w:t xml:space="preserve">[X] engineers (embedded firmware, hardware, test)</w:t>
      </w:r>
    </w:p>
    <w:p>
      <w:pPr>
        <w:spacing w:after="80" w:before="80"/>
      </w:pPr>
      <w:r>
        <w:rPr>
          <w:rFonts w:ascii="Arial" w:cs="Arial" w:eastAsia="Arial" w:hAnsi="Arial"/>
          <w:b/>
          <w:bCs/>
          <w:color w:val="1F4E79"/>
          <w:sz w:val="22"/>
          <w:szCs w:val="22"/>
        </w:rPr>
        <w:t xml:space="preserve">Certifications: </w:t>
      </w:r>
      <w:r>
        <w:rPr>
          <w:rFonts w:ascii="Arial" w:cs="Arial" w:eastAsia="Arial" w:hAnsi="Arial"/>
          <w:color w:val="1A1A1A"/>
          <w:sz w:val="22"/>
          <w:szCs w:val="22"/>
        </w:rPr>
        <w:t xml:space="preserve">[ISO 9001:2015 / ISO 13485:2016 / CMMI Level 3 — as applicable]</w:t>
      </w:r>
    </w:p>
    <w:p>
      <w:pPr>
        <w:spacing w:after="80" w:before="80"/>
      </w:pPr>
      <w:r>
        <w:rPr>
          <w:rFonts w:ascii="Arial" w:cs="Arial" w:eastAsia="Arial" w:hAnsi="Arial"/>
          <w:b/>
          <w:bCs/>
          <w:color w:val="1F4E79"/>
          <w:sz w:val="22"/>
          <w:szCs w:val="22"/>
        </w:rPr>
        <w:t xml:space="preserve">Relevant Domains: </w:t>
      </w:r>
      <w:r>
        <w:rPr>
          <w:rFonts w:ascii="Arial" w:cs="Arial" w:eastAsia="Arial" w:hAnsi="Arial"/>
          <w:color w:val="1A1A1A"/>
          <w:sz w:val="22"/>
          <w:szCs w:val="22"/>
        </w:rPr>
        <w:t xml:space="preserve">[Automotive / Medical / Industrial / Defense / Consumer]</w:t>
      </w:r>
    </w:p>
    <w:p>
      <w:pPr>
        <w:spacing w:after="80" w:before="80"/>
      </w:pPr>
      <w:r>
        <w:t xml:space="preserve"/>
      </w:r>
    </w:p>
    <w:p>
      <w:pPr>
        <w:spacing w:after="80" w:before="80"/>
      </w:pPr>
      <w:r>
        <w:rPr>
          <w:rFonts w:ascii="Arial" w:cs="Arial" w:eastAsia="Arial" w:hAnsi="Arial"/>
          <w:color w:val="1A1A1A"/>
          <w:sz w:val="22"/>
          <w:szCs w:val="22"/>
        </w:rPr>
        <w:t xml:space="preserve">Key credentials relevant to this engagement:</w:t>
      </w:r>
    </w:p>
    <w:p>
      <w:pPr>
        <w:pStyle w:val="ListParagraph"/>
        <w:numPr>
          <w:ilvl w:val="0"/>
          <w:numId w:val="2"/>
        </w:numPr>
        <w:spacing w:after="40" w:before="40"/>
      </w:pPr>
      <w:r>
        <w:rPr>
          <w:rFonts w:ascii="Arial" w:cs="Arial" w:eastAsia="Arial" w:hAnsi="Arial"/>
          <w:color w:val="1A1A1A"/>
          <w:sz w:val="22"/>
          <w:szCs w:val="22"/>
        </w:rPr>
        <w:t xml:space="preserve">Deployed 200+ industrial IoT gateways across automotive, food processing, and pharmaceutical sectors</w:t>
      </w:r>
    </w:p>
    <w:p>
      <w:pPr>
        <w:pStyle w:val="ListParagraph"/>
        <w:numPr>
          <w:ilvl w:val="0"/>
          <w:numId w:val="2"/>
        </w:numPr>
        <w:spacing w:after="40" w:before="40"/>
      </w:pPr>
      <w:r>
        <w:rPr>
          <w:rFonts w:ascii="Arial" w:cs="Arial" w:eastAsia="Arial" w:hAnsi="Arial"/>
          <w:color w:val="1A1A1A"/>
          <w:sz w:val="22"/>
          <w:szCs w:val="22"/>
        </w:rPr>
        <w:t xml:space="preserve">Certified AWS IoT Competency Partner with pre-validated Greengrass v2 reference architecture</w:t>
      </w:r>
    </w:p>
    <w:p>
      <w:pPr>
        <w:pStyle w:val="ListParagraph"/>
        <w:numPr>
          <w:ilvl w:val="0"/>
          <w:numId w:val="2"/>
        </w:numPr>
        <w:spacing w:after="40" w:before="40"/>
      </w:pPr>
      <w:r>
        <w:rPr>
          <w:rFonts w:ascii="Arial" w:cs="Arial" w:eastAsia="Arial" w:hAnsi="Arial"/>
          <w:color w:val="1A1A1A"/>
          <w:sz w:val="22"/>
          <w:szCs w:val="22"/>
        </w:rPr>
        <w:t xml:space="preserve">In-house PROFINET conformance test lab — no outsourcing of protocol certification testing</w:t>
      </w:r>
    </w:p>
    <w:p>
      <w:pPr>
        <w:pStyle w:val="ListParagraph"/>
        <w:numPr>
          <w:ilvl w:val="0"/>
          <w:numId w:val="2"/>
        </w:numPr>
        <w:spacing w:after="40" w:before="40"/>
      </w:pPr>
      <w:r>
        <w:rPr>
          <w:rFonts w:ascii="Arial" w:cs="Arial" w:eastAsia="Arial" w:hAnsi="Arial"/>
          <w:color w:val="1A1A1A"/>
          <w:sz w:val="22"/>
          <w:szCs w:val="22"/>
        </w:rPr>
        <w:t xml:space="preserve">Full Yocto BSP development capability; own maintained meta-layer for NXP i.MX family</w:t>
      </w:r>
    </w:p>
    <w:p>
      <w:pPr>
        <w:pStyle w:val="Heading1"/>
        <w:pBdr>
          <w:bottom w:val="single" w:color="2E75B6" w:sz="6" w:space="4"/>
        </w:pBdr>
        <w:spacing w:after="160" w:before="320"/>
      </w:pPr>
      <w:r>
        <w:rPr>
          <w:rFonts w:ascii="Arial" w:cs="Arial" w:eastAsia="Arial" w:hAnsi="Arial"/>
          <w:b/>
          <w:bCs/>
          <w:color w:val="1F4E79"/>
          <w:sz w:val="28"/>
          <w:szCs w:val="28"/>
        </w:rPr>
        <w:t xml:space="preserve">3. Technical Approach</w:t>
      </w:r>
    </w:p>
    <w:p>
      <w:pPr>
        <w:pStyle w:val="Heading2"/>
        <w:spacing w:after="120" w:before="240"/>
      </w:pPr>
      <w:r>
        <w:rPr>
          <w:rFonts w:ascii="Arial" w:cs="Arial" w:eastAsia="Arial" w:hAnsi="Arial"/>
          <w:b/>
          <w:bCs/>
          <w:color w:val="2E75B6"/>
          <w:sz w:val="24"/>
          <w:szCs w:val="24"/>
        </w:rPr>
        <w:t xml:space="preserve">3.1 Solution Architecture Overview</w:t>
      </w:r>
    </w:p>
    <w:p>
      <w:pPr>
        <w:spacing w:after="80" w:before="80"/>
      </w:pPr>
      <w:r>
        <w:rPr>
          <w:rFonts w:ascii="Arial" w:cs="Arial" w:eastAsia="Arial" w:hAnsi="Arial"/>
          <w:color w:val="1A1A1A"/>
          <w:sz w:val="22"/>
          <w:szCs w:val="22"/>
        </w:rPr>
        <w:t xml:space="preserve">Our proposed architecture for the Industrial IoT Edge Gateway Platform is described below. All components have been selected based on the requirements stated in RFP-2024-EMB-003 and validated against our prior project baselines.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24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Proposed Solution</w:t>
            </w:r>
          </w:p>
        </w:tc>
      </w:tr>
      <w:tr>
        <w:tc>
          <w:tcPr>
            <w:tcW w:type="dxa" w:w="31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SoC / SOM</w:t>
            </w:r>
          </w:p>
        </w:tc>
        <w:tc>
          <w:tcPr>
            <w:tcW w:type="dxa" w:w="62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NXP i.MX 8M Mini (4x Cortex-A53 + 1x Cortex-M4F), SMARC 2.1</w:t>
            </w:r>
          </w:p>
        </w:tc>
      </w:tr>
      <w:tr>
        <w:tc>
          <w:tcPr>
            <w:tcW w:type="dxa" w:w="31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OS / Distribution</w:t>
            </w:r>
          </w:p>
        </w:tc>
        <w:tc>
          <w:tcPr>
            <w:tcW w:type="dxa" w:w="62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Yocto Kirkstone, Linux 6.1 PREEMPT_RT, systemd, Docker</w:t>
            </w:r>
          </w:p>
        </w:tc>
      </w:tr>
      <w:tr>
        <w:tc>
          <w:tcPr>
            <w:tcW w:type="dxa" w:w="31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Industrial Protocols</w:t>
            </w:r>
          </w:p>
        </w:tc>
        <w:tc>
          <w:tcPr>
            <w:tcW w:type="dxa" w:w="62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Modbus RTU/TCP, PROFINET RT, OPC-UA (open62541), BACnet</w:t>
            </w:r>
          </w:p>
        </w:tc>
      </w:tr>
      <w:tr>
        <w:tc>
          <w:tcPr>
            <w:tcW w:type="dxa" w:w="31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Connectivity</w:t>
            </w:r>
          </w:p>
        </w:tc>
        <w:tc>
          <w:tcPr>
            <w:tcW w:type="dxa" w:w="62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Dual GbE, 4G LTE (Quectel EC25), Wi-Fi 5 (optional), USB 3.0</w:t>
            </w:r>
          </w:p>
        </w:tc>
      </w:tr>
      <w:tr>
        <w:tc>
          <w:tcPr>
            <w:tcW w:type="dxa" w:w="31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Security</w:t>
            </w:r>
          </w:p>
        </w:tc>
        <w:tc>
          <w:tcPr>
            <w:tcW w:type="dxa" w:w="62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TPM 2.0 (Infineon SLB 9672), Secure Boot, dm-crypt, mTLS</w:t>
            </w:r>
          </w:p>
        </w:tc>
      </w:tr>
      <w:tr>
        <w:tc>
          <w:tcPr>
            <w:tcW w:type="dxa" w:w="31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Cloud Platform</w:t>
            </w:r>
          </w:p>
        </w:tc>
        <w:tc>
          <w:tcPr>
            <w:tcW w:type="dxa" w:w="62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AWS IoT Greengrass v2, MQTT, InfluxDB + Grafana</w:t>
            </w:r>
          </w:p>
        </w:tc>
      </w:tr>
      <w:tr>
        <w:tc>
          <w:tcPr>
            <w:tcW w:type="dxa" w:w="31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Edge AI</w:t>
            </w:r>
          </w:p>
        </w:tc>
        <w:tc>
          <w:tcPr>
            <w:tcW w:type="dxa" w:w="62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ONNX Runtime 1.16, TFLite 2.13, ARM NN delegate</w:t>
            </w:r>
          </w:p>
        </w:tc>
      </w:tr>
    </w:tbl>
    <w:p>
      <w:pPr>
        <w:spacing w:after="80" w:before="80"/>
      </w:pPr>
      <w:r>
        <w:t xml:space="preserve"/>
      </w:r>
    </w:p>
    <w:p>
      <w:pPr>
        <w:pStyle w:val="Heading2"/>
        <w:spacing w:after="120" w:before="240"/>
      </w:pPr>
      <w:r>
        <w:rPr>
          <w:rFonts w:ascii="Arial" w:cs="Arial" w:eastAsia="Arial" w:hAnsi="Arial"/>
          <w:b/>
          <w:bCs/>
          <w:color w:val="2E75B6"/>
          <w:sz w:val="24"/>
          <w:szCs w:val="24"/>
        </w:rPr>
        <w:t xml:space="preserve">3.2 Implementation Methodology</w:t>
      </w:r>
    </w:p>
    <w:p>
      <w:pPr>
        <w:spacing w:after="80" w:before="80"/>
      </w:pPr>
      <w:r>
        <w:rPr>
          <w:rFonts w:ascii="Arial" w:cs="Arial" w:eastAsia="Arial" w:hAnsi="Arial"/>
          <w:color w:val="1A1A1A"/>
          <w:sz w:val="22"/>
          <w:szCs w:val="22"/>
        </w:rPr>
        <w:t xml:space="preserve">Our development approach follows an incremental, milestone-gated model with continuous integration and automated regression testing. Key methodology elements:</w:t>
      </w:r>
    </w:p>
    <w:p>
      <w:pPr>
        <w:pStyle w:val="ListParagraph"/>
        <w:numPr>
          <w:ilvl w:val="0"/>
          <w:numId w:val="2"/>
        </w:numPr>
        <w:spacing w:after="40" w:before="40"/>
      </w:pPr>
      <w:r>
        <w:rPr>
          <w:rFonts w:ascii="Arial" w:cs="Arial" w:eastAsia="Arial" w:hAnsi="Arial"/>
          <w:color w:val="1A1A1A"/>
          <w:sz w:val="22"/>
          <w:szCs w:val="22"/>
        </w:rPr>
        <w:t xml:space="preserve">Hardware: custom carrier board around NXP i.MX 8M Mini SOM (SMARC 2.1), with 4x RS-485 ports, 2x Gigabit Ethernet, 4G LTE modem (Quectel EC25), isolated digital I/O (8 DI / 8 DO), and TPM 2.0 (Infineon SLB 9672)</w:t>
      </w:r>
    </w:p>
    <w:p>
      <w:pPr>
        <w:pStyle w:val="ListParagraph"/>
        <w:numPr>
          <w:ilvl w:val="0"/>
          <w:numId w:val="2"/>
        </w:numPr>
        <w:spacing w:after="40" w:before="40"/>
      </w:pPr>
      <w:r>
        <w:rPr>
          <w:rFonts w:ascii="Arial" w:cs="Arial" w:eastAsia="Arial" w:hAnsi="Arial"/>
          <w:color w:val="1A1A1A"/>
          <w:sz w:val="22"/>
          <w:szCs w:val="22"/>
        </w:rPr>
        <w:t xml:space="preserve">OS: Yocto Project Kirkstone-based image with real-time kernel patch (PREEMPT_RT) for deterministic Modbus polling</w:t>
      </w:r>
    </w:p>
    <w:p>
      <w:pPr>
        <w:pStyle w:val="ListParagraph"/>
        <w:numPr>
          <w:ilvl w:val="0"/>
          <w:numId w:val="2"/>
        </w:numPr>
        <w:spacing w:after="40" w:before="40"/>
      </w:pPr>
      <w:r>
        <w:rPr>
          <w:rFonts w:ascii="Arial" w:cs="Arial" w:eastAsia="Arial" w:hAnsi="Arial"/>
          <w:color w:val="1A1A1A"/>
          <w:sz w:val="22"/>
          <w:szCs w:val="22"/>
        </w:rPr>
        <w:t xml:space="preserve">Protocol translation: open62541 OPC-UA server bridging Modbus RTU/TCP and PROFINET device data to unified OPC-UA information model</w:t>
      </w:r>
    </w:p>
    <w:p>
      <w:pPr>
        <w:pStyle w:val="ListParagraph"/>
        <w:numPr>
          <w:ilvl w:val="0"/>
          <w:numId w:val="2"/>
        </w:numPr>
        <w:spacing w:after="40" w:before="40"/>
      </w:pPr>
      <w:r>
        <w:rPr>
          <w:rFonts w:ascii="Arial" w:cs="Arial" w:eastAsia="Arial" w:hAnsi="Arial"/>
          <w:color w:val="1A1A1A"/>
          <w:sz w:val="22"/>
          <w:szCs w:val="22"/>
        </w:rPr>
        <w:t xml:space="preserve">Edge ML inference: ONNX Runtime 1.16 with anomaly detection models (vibration, temperature) running at the edge with &lt;50 ms inference latency</w:t>
      </w:r>
    </w:p>
    <w:p>
      <w:pPr>
        <w:pStyle w:val="ListParagraph"/>
        <w:numPr>
          <w:ilvl w:val="0"/>
          <w:numId w:val="2"/>
        </w:numPr>
        <w:spacing w:after="40" w:before="40"/>
      </w:pPr>
      <w:r>
        <w:rPr>
          <w:rFonts w:ascii="Arial" w:cs="Arial" w:eastAsia="Arial" w:hAnsi="Arial"/>
          <w:color w:val="1A1A1A"/>
          <w:sz w:val="22"/>
          <w:szCs w:val="22"/>
        </w:rPr>
        <w:t xml:space="preserve">Cloud connectivity: AWS IoT Greengrass v2 for component lifecycle management; MQTT telemetry with TLS 1.3 and X.509 mutual auth</w:t>
      </w:r>
    </w:p>
    <w:p>
      <w:pPr>
        <w:pStyle w:val="ListParagraph"/>
        <w:numPr>
          <w:ilvl w:val="0"/>
          <w:numId w:val="2"/>
        </w:numPr>
        <w:spacing w:after="40" w:before="40"/>
      </w:pPr>
      <w:r>
        <w:rPr>
          <w:rFonts w:ascii="Arial" w:cs="Arial" w:eastAsia="Arial" w:hAnsi="Arial"/>
          <w:color w:val="1A1A1A"/>
          <w:sz w:val="22"/>
          <w:szCs w:val="22"/>
        </w:rPr>
        <w:t xml:space="preserve">Remote management: Balena Fleet for OTA OS/container updates; device health dashboard via Grafana + InfluxDB on AWS</w:t>
      </w:r>
    </w:p>
    <w:p>
      <w:pPr>
        <w:pStyle w:val="ListParagraph"/>
        <w:numPr>
          <w:ilvl w:val="0"/>
          <w:numId w:val="2"/>
        </w:numPr>
        <w:spacing w:after="40" w:before="40"/>
      </w:pPr>
      <w:r>
        <w:rPr>
          <w:rFonts w:ascii="Arial" w:cs="Arial" w:eastAsia="Arial" w:hAnsi="Arial"/>
          <w:color w:val="1A1A1A"/>
          <w:sz w:val="22"/>
          <w:szCs w:val="22"/>
        </w:rPr>
        <w:t xml:space="preserve">Security: TPM 2.0 device identity, secure boot chain (U-Boot + IMA/EVM), encrypted rootfs (dm-crypt/LUKS)</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3.3 Tools &amp; Development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360"/>
        <w:gridCol w:w="3480"/>
      </w:tblGrid>
      <w:tr>
        <w:tc>
          <w:tcPr>
            <w:tcW w:type="dxa" w:w="252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36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Tool / Platform</w:t>
            </w:r>
          </w:p>
        </w:tc>
        <w:tc>
          <w:tcPr>
            <w:tcW w:type="dxa" w:w="348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IDE / Toolchain</w:t>
            </w:r>
          </w:p>
        </w:tc>
        <w:tc>
          <w:tcPr>
            <w:tcW w:type="dxa" w:w="33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[Primary IDE &amp; GCC/LLVM version]</w:t>
            </w:r>
          </w:p>
        </w:tc>
        <w:tc>
          <w:tcPr>
            <w:tcW w:type="dxa" w:w="34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Code editing, compilation, debugging</w:t>
            </w:r>
          </w:p>
        </w:tc>
      </w:tr>
      <w:tr>
        <w:tc>
          <w:tcPr>
            <w:tcW w:type="dxa" w:w="25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Version Control</w:t>
            </w:r>
          </w:p>
        </w:tc>
        <w:tc>
          <w:tcPr>
            <w:tcW w:type="dxa" w:w="33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Git (GitLab self-hosted)</w:t>
            </w:r>
          </w:p>
        </w:tc>
        <w:tc>
          <w:tcPr>
            <w:tcW w:type="dxa" w:w="348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Source control, MR-based code review</w:t>
            </w:r>
          </w:p>
        </w:tc>
      </w:tr>
      <w:tr>
        <w:tc>
          <w:tcPr>
            <w:tcW w:type="dxa" w:w="25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CI/CD</w:t>
            </w:r>
          </w:p>
        </w:tc>
        <w:tc>
          <w:tcPr>
            <w:tcW w:type="dxa" w:w="33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GitLab CI + custom runners</w:t>
            </w:r>
          </w:p>
        </w:tc>
        <w:tc>
          <w:tcPr>
            <w:tcW w:type="dxa" w:w="34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Build, static analysis, unit test on every commit</w:t>
            </w:r>
          </w:p>
        </w:tc>
      </w:tr>
      <w:tr>
        <w:tc>
          <w:tcPr>
            <w:tcW w:type="dxa" w:w="25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Static Analysis</w:t>
            </w:r>
          </w:p>
        </w:tc>
        <w:tc>
          <w:tcPr>
            <w:tcW w:type="dxa" w:w="33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[PC-lint / Polyspace / Coverity]</w:t>
            </w:r>
          </w:p>
        </w:tc>
        <w:tc>
          <w:tcPr>
            <w:tcW w:type="dxa" w:w="348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MISRA-C / coding standard enforcement</w:t>
            </w:r>
          </w:p>
        </w:tc>
      </w:tr>
      <w:tr>
        <w:tc>
          <w:tcPr>
            <w:tcW w:type="dxa" w:w="25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Unit Testing</w:t>
            </w:r>
          </w:p>
        </w:tc>
        <w:tc>
          <w:tcPr>
            <w:tcW w:type="dxa" w:w="33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[Unity / GoogleTest / CppUTest]</w:t>
            </w:r>
          </w:p>
        </w:tc>
        <w:tc>
          <w:tcPr>
            <w:tcW w:type="dxa" w:w="34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Automated unit &amp; integration test</w:t>
            </w:r>
          </w:p>
        </w:tc>
      </w:tr>
      <w:tr>
        <w:tc>
          <w:tcPr>
            <w:tcW w:type="dxa" w:w="25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Requirements</w:t>
            </w:r>
          </w:p>
        </w:tc>
        <w:tc>
          <w:tcPr>
            <w:tcW w:type="dxa" w:w="33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[JIRA + Polarion / IBM DOORS]</w:t>
            </w:r>
          </w:p>
        </w:tc>
        <w:tc>
          <w:tcPr>
            <w:tcW w:type="dxa" w:w="348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Requirements traceability matrix (RTM)</w:t>
            </w:r>
          </w:p>
        </w:tc>
      </w:tr>
      <w:tr>
        <w:tc>
          <w:tcPr>
            <w:tcW w:type="dxa" w:w="25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HIL/SIL</w:t>
            </w:r>
          </w:p>
        </w:tc>
        <w:tc>
          <w:tcPr>
            <w:tcW w:type="dxa" w:w="33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[dSPACE / X-Plane / custom harness]</w:t>
            </w:r>
          </w:p>
        </w:tc>
        <w:tc>
          <w:tcPr>
            <w:tcW w:type="dxa" w:w="34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Hardware &amp; software in-the-loop testing</w:t>
            </w:r>
          </w:p>
        </w:tc>
      </w:tr>
    </w:tbl>
    <w:p>
      <w:pPr>
        <w:pStyle w:val="Heading1"/>
        <w:pBdr>
          <w:bottom w:val="single" w:color="2E75B6" w:sz="6" w:space="4"/>
        </w:pBdr>
        <w:spacing w:after="160" w:before="320"/>
      </w:pPr>
      <w:r>
        <w:rPr>
          <w:rFonts w:ascii="Arial" w:cs="Arial" w:eastAsia="Arial" w:hAnsi="Arial"/>
          <w:b/>
          <w:bCs/>
          <w:color w:val="1F4E79"/>
          <w:sz w:val="28"/>
          <w:szCs w:val="28"/>
        </w:rPr>
        <w:t xml:space="preserve">4. Project Plan &amp; Schedule</w:t>
      </w:r>
    </w:p>
    <w:p>
      <w:pPr>
        <w:pStyle w:val="Heading2"/>
        <w:spacing w:after="120" w:before="240"/>
      </w:pPr>
      <w:r>
        <w:rPr>
          <w:rFonts w:ascii="Arial" w:cs="Arial" w:eastAsia="Arial" w:hAnsi="Arial"/>
          <w:b/>
          <w:bCs/>
          <w:color w:val="2E75B6"/>
          <w:sz w:val="24"/>
          <w:szCs w:val="24"/>
        </w:rPr>
        <w:t xml:space="preserve">4.1 Milestone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5040"/>
        <w:gridCol w:w="3480"/>
      </w:tblGrid>
      <w:tr>
        <w:tc>
          <w:tcPr>
            <w:tcW w:type="dxa" w:w="84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04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348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8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M1</w:t>
            </w:r>
          </w:p>
        </w:tc>
        <w:tc>
          <w:tcPr>
            <w:tcW w:type="dxa" w:w="50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Architecture Review &amp; Hardware Design Kickoff</w:t>
            </w:r>
          </w:p>
        </w:tc>
        <w:tc>
          <w:tcPr>
            <w:tcW w:type="dxa" w:w="34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 2</w:t>
            </w:r>
          </w:p>
        </w:tc>
      </w:tr>
      <w:tr>
        <w:tc>
          <w:tcPr>
            <w:tcW w:type="dxa" w:w="8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M2</w:t>
            </w:r>
          </w:p>
        </w:tc>
        <w:tc>
          <w:tcPr>
            <w:tcW w:type="dxa" w:w="50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SOM Carrier Board Rev A &amp; Bringup</w:t>
            </w:r>
          </w:p>
        </w:tc>
        <w:tc>
          <w:tcPr>
            <w:tcW w:type="dxa" w:w="348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Week 10</w:t>
            </w:r>
          </w:p>
        </w:tc>
      </w:tr>
      <w:tr>
        <w:tc>
          <w:tcPr>
            <w:tcW w:type="dxa" w:w="8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M3</w:t>
            </w:r>
          </w:p>
        </w:tc>
        <w:tc>
          <w:tcPr>
            <w:tcW w:type="dxa" w:w="50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Yocto BSP &amp; Secure Boot Operational</w:t>
            </w:r>
          </w:p>
        </w:tc>
        <w:tc>
          <w:tcPr>
            <w:tcW w:type="dxa" w:w="34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 16</w:t>
            </w:r>
          </w:p>
        </w:tc>
      </w:tr>
      <w:tr>
        <w:tc>
          <w:tcPr>
            <w:tcW w:type="dxa" w:w="8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M4</w:t>
            </w:r>
          </w:p>
        </w:tc>
        <w:tc>
          <w:tcPr>
            <w:tcW w:type="dxa" w:w="50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Protocol Stack Integration (Modbus, OPC-UA, PROFINET)</w:t>
            </w:r>
          </w:p>
        </w:tc>
        <w:tc>
          <w:tcPr>
            <w:tcW w:type="dxa" w:w="348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Week 24</w:t>
            </w:r>
          </w:p>
        </w:tc>
      </w:tr>
      <w:tr>
        <w:tc>
          <w:tcPr>
            <w:tcW w:type="dxa" w:w="8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M5</w:t>
            </w:r>
          </w:p>
        </w:tc>
        <w:tc>
          <w:tcPr>
            <w:tcW w:type="dxa" w:w="50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Cloud Connectivity &amp; OTA Pipelines Live</w:t>
            </w:r>
          </w:p>
        </w:tc>
        <w:tc>
          <w:tcPr>
            <w:tcW w:type="dxa" w:w="34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 32</w:t>
            </w:r>
          </w:p>
        </w:tc>
      </w:tr>
      <w:tr>
        <w:tc>
          <w:tcPr>
            <w:tcW w:type="dxa" w:w="8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M6</w:t>
            </w:r>
          </w:p>
        </w:tc>
        <w:tc>
          <w:tcPr>
            <w:tcW w:type="dxa" w:w="50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Edge ML Integration &amp; Factory Pilot Deployment</w:t>
            </w:r>
          </w:p>
        </w:tc>
        <w:tc>
          <w:tcPr>
            <w:tcW w:type="dxa" w:w="348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Week 42</w:t>
            </w:r>
          </w:p>
        </w:tc>
      </w:tr>
      <w:tr>
        <w:tc>
          <w:tcPr>
            <w:tcW w:type="dxa" w:w="8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M7</w:t>
            </w:r>
          </w:p>
        </w:tc>
        <w:tc>
          <w:tcPr>
            <w:tcW w:type="dxa" w:w="50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Hardening, Documentation &amp; Production Handover</w:t>
            </w:r>
          </w:p>
        </w:tc>
        <w:tc>
          <w:tcPr>
            <w:tcW w:type="dxa" w:w="34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 48</w:t>
            </w:r>
          </w:p>
        </w:tc>
      </w:tr>
    </w:tbl>
    <w:p>
      <w:pPr>
        <w:spacing w:after="80" w:before="80"/>
      </w:pPr>
      <w:r>
        <w:t xml:space="preserve"/>
      </w:r>
    </w:p>
    <w:p>
      <w:pPr>
        <w:pStyle w:val="Heading2"/>
        <w:spacing w:after="120" w:before="240"/>
      </w:pPr>
      <w:r>
        <w:rPr>
          <w:rFonts w:ascii="Arial" w:cs="Arial" w:eastAsia="Arial" w:hAnsi="Arial"/>
          <w:b/>
          <w:bCs/>
          <w:color w:val="2E75B6"/>
          <w:sz w:val="24"/>
          <w:szCs w:val="24"/>
        </w:rPr>
        <w:t xml:space="preserve">4.2 Risk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200"/>
        <w:gridCol w:w="1200"/>
        <w:gridCol w:w="4080"/>
      </w:tblGrid>
      <w:tr>
        <w:tc>
          <w:tcPr>
            <w:tcW w:type="dxa" w:w="288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20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08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Component supply chain delay (long-lead semiconductors)</w:t>
            </w:r>
          </w:p>
        </w:tc>
        <w:tc>
          <w:tcPr>
            <w:tcW w:type="dxa" w:w="1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1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40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Place orders at M1; dual-source critical ICs identified</w:t>
            </w:r>
          </w:p>
        </w:tc>
      </w:tr>
      <w:tr>
        <w:tc>
          <w:tcPr>
            <w:tcW w:type="dxa" w:w="288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Requirements creep post architecture freeze</w:t>
            </w:r>
          </w:p>
        </w:tc>
        <w:tc>
          <w:tcPr>
            <w:tcW w:type="dxa" w:w="120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120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408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Formal change control via signed ECO; impact assessed before action</w:t>
            </w:r>
          </w:p>
        </w:tc>
      </w:tr>
      <w:tr>
        <w:tc>
          <w:tcPr>
            <w:tcW w:type="dxa" w:w="28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Third-party IP / stack integration delays</w:t>
            </w:r>
          </w:p>
        </w:tc>
        <w:tc>
          <w:tcPr>
            <w:tcW w:type="dxa" w:w="1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1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40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Pre-evaluated in proposal; fallback open-source options identified</w:t>
            </w:r>
          </w:p>
        </w:tc>
      </w:tr>
      <w:tr>
        <w:tc>
          <w:tcPr>
            <w:tcW w:type="dxa" w:w="288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Regulatory/certification timeline extension</w:t>
            </w:r>
          </w:p>
        </w:tc>
        <w:tc>
          <w:tcPr>
            <w:tcW w:type="dxa" w:w="120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120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408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Early engagement with test lab; pre-compliance checks at M4</w:t>
            </w:r>
          </w:p>
        </w:tc>
      </w:tr>
      <w:tr>
        <w:tc>
          <w:tcPr>
            <w:tcW w:type="dxa" w:w="28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Key personnel availability</w:t>
            </w:r>
          </w:p>
        </w:tc>
        <w:tc>
          <w:tcPr>
            <w:tcW w:type="dxa" w:w="1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1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40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Named resources contractually committed; documented handover plan</w:t>
            </w:r>
          </w:p>
        </w:tc>
      </w:tr>
    </w:tbl>
    <w:p>
      <w:pPr>
        <w:pStyle w:val="Heading1"/>
        <w:pBdr>
          <w:bottom w:val="single" w:color="2E75B6" w:sz="6" w:space="4"/>
        </w:pBdr>
        <w:spacing w:after="160" w:before="320"/>
      </w:pPr>
      <w:r>
        <w:rPr>
          <w:rFonts w:ascii="Arial" w:cs="Arial" w:eastAsia="Arial" w:hAnsi="Arial"/>
          <w:b/>
          <w:bCs/>
          <w:color w:val="1F4E79"/>
          <w:sz w:val="28"/>
          <w:szCs w:val="28"/>
        </w:rPr>
        <w:t xml:space="preserve">5. Proposed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160"/>
        <w:gridCol w:w="2520"/>
        <w:gridCol w:w="2160"/>
      </w:tblGrid>
      <w:tr>
        <w:tc>
          <w:tcPr>
            <w:tcW w:type="dxa" w:w="252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16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52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Experience</w:t>
            </w:r>
          </w:p>
        </w:tc>
        <w:tc>
          <w:tcPr>
            <w:tcW w:type="dxa" w:w="216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Allocation</w:t>
            </w:r>
          </w:p>
        </w:tc>
      </w:tr>
      <w:tr>
        <w:tc>
          <w:tcPr>
            <w:tcW w:type="dxa" w:w="25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Engagement / Program Manager</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[Name]</w:t>
            </w:r>
          </w:p>
        </w:tc>
        <w:tc>
          <w:tcPr>
            <w:tcW w:type="dxa" w:w="25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[X] yrs PM in embedded programs</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w:t>
            </w:r>
          </w:p>
        </w:tc>
      </w:tr>
      <w:tr>
        <w:tc>
          <w:tcPr>
            <w:tcW w:type="dxa" w:w="25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Lead Firmware Engineer</w:t>
            </w:r>
          </w:p>
        </w:tc>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[Name]</w:t>
            </w:r>
          </w:p>
        </w:tc>
        <w:tc>
          <w:tcPr>
            <w:tcW w:type="dxa" w:w="25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[X] yrs, [relevant MCU/domain]</w:t>
            </w:r>
          </w:p>
        </w:tc>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100%</w:t>
            </w:r>
          </w:p>
        </w:tc>
      </w:tr>
      <w:tr>
        <w:tc>
          <w:tcPr>
            <w:tcW w:type="dxa" w:w="25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Hardware / PCB Engineer</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[Name]</w:t>
            </w:r>
          </w:p>
        </w:tc>
        <w:tc>
          <w:tcPr>
            <w:tcW w:type="dxa" w:w="25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[X] yrs, [CAD tool]</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60%</w:t>
            </w:r>
          </w:p>
        </w:tc>
      </w:tr>
      <w:tr>
        <w:tc>
          <w:tcPr>
            <w:tcW w:type="dxa" w:w="25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System / Safety Engineer</w:t>
            </w:r>
          </w:p>
        </w:tc>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[Name]</w:t>
            </w:r>
          </w:p>
        </w:tc>
        <w:tc>
          <w:tcPr>
            <w:tcW w:type="dxa" w:w="25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[X] yrs, [standard]</w:t>
            </w:r>
          </w:p>
        </w:tc>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50%</w:t>
            </w:r>
          </w:p>
        </w:tc>
      </w:tr>
      <w:tr>
        <w:tc>
          <w:tcPr>
            <w:tcW w:type="dxa" w:w="25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Test &amp; Verification Engineer</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[Name]</w:t>
            </w:r>
          </w:p>
        </w:tc>
        <w:tc>
          <w:tcPr>
            <w:tcW w:type="dxa" w:w="25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[X] yrs, HIL/SIL</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80%</w:t>
            </w:r>
          </w:p>
        </w:tc>
      </w:tr>
      <w:tr>
        <w:tc>
          <w:tcPr>
            <w:tcW w:type="dxa" w:w="25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Software QA Engineer</w:t>
            </w:r>
          </w:p>
        </w:tc>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[Name]</w:t>
            </w:r>
          </w:p>
        </w:tc>
        <w:tc>
          <w:tcPr>
            <w:tcW w:type="dxa" w:w="25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[X] yrs, [QMS experience]</w:t>
            </w:r>
          </w:p>
        </w:tc>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40%</w:t>
            </w:r>
          </w:p>
        </w:tc>
      </w:tr>
    </w:tbl>
    <w:p>
      <w:pPr>
        <w:spacing w:after="80" w:before="80"/>
      </w:pPr>
      <w:r>
        <w:t xml:space="preserve"/>
      </w:r>
    </w:p>
    <w:p>
      <w:pPr>
        <w:spacing w:after="80" w:before="80"/>
      </w:pPr>
      <w:r>
        <w:rPr>
          <w:rFonts w:ascii="Arial" w:cs="Arial" w:eastAsia="Arial" w:hAnsi="Arial"/>
          <w:color w:val="1A1A1A"/>
          <w:sz w:val="22"/>
          <w:szCs w:val="22"/>
        </w:rPr>
        <w:t xml:space="preserve">All named personnel are available for this engagement from project kickoff. Any substitution requires written client approval.</w:t>
      </w:r>
    </w:p>
    <w:p>
      <w:pPr>
        <w:pStyle w:val="Heading1"/>
        <w:pBdr>
          <w:bottom w:val="single" w:color="2E75B6" w:sz="6" w:space="4"/>
        </w:pBdr>
        <w:spacing w:after="160" w:before="320"/>
      </w:pPr>
      <w:r>
        <w:rPr>
          <w:rFonts w:ascii="Arial" w:cs="Arial" w:eastAsia="Arial" w:hAnsi="Arial"/>
          <w:b/>
          <w:bCs/>
          <w:color w:val="1F4E79"/>
          <w:sz w:val="28"/>
          <w:szCs w:val="28"/>
        </w:rPr>
        <w:t xml:space="preserve">6. Past Performance &amp;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1080"/>
        <w:gridCol w:w="2160"/>
        <w:gridCol w:w="1800"/>
      </w:tblGrid>
      <w:tr>
        <w:tc>
          <w:tcPr>
            <w:tcW w:type="dxa" w:w="180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Client</w:t>
            </w:r>
          </w:p>
        </w:tc>
        <w:tc>
          <w:tcPr>
            <w:tcW w:type="dxa" w:w="252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Project</w:t>
            </w:r>
          </w:p>
        </w:tc>
        <w:tc>
          <w:tcPr>
            <w:tcW w:type="dxa" w:w="108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216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180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Reference Contact</w:t>
            </w:r>
          </w:p>
        </w:tc>
      </w:tr>
      <w:tr>
        <w:tc>
          <w:tcPr>
            <w:tcW w:type="dxa" w:w="18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[Client A]</w:t>
            </w:r>
          </w:p>
        </w:tc>
        <w:tc>
          <w:tcPr>
            <w:tcW w:type="dxa" w:w="25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[Similar project description]</w:t>
            </w:r>
          </w:p>
        </w:tc>
        <w:tc>
          <w:tcPr>
            <w:tcW w:type="dxa" w:w="10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[USD X]</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On-time, certified delivery</w:t>
            </w:r>
          </w:p>
        </w:tc>
        <w:tc>
          <w:tcPr>
            <w:tcW w:type="dxa" w:w="18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[Name, email]</w:t>
            </w:r>
          </w:p>
        </w:tc>
      </w:tr>
      <w:tr>
        <w:tc>
          <w:tcPr>
            <w:tcW w:type="dxa" w:w="180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[Client B]</w:t>
            </w:r>
          </w:p>
        </w:tc>
        <w:tc>
          <w:tcPr>
            <w:tcW w:type="dxa" w:w="25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[Similar project description]</w:t>
            </w:r>
          </w:p>
        </w:tc>
        <w:tc>
          <w:tcPr>
            <w:tcW w:type="dxa" w:w="108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[USD X]</w:t>
            </w:r>
          </w:p>
        </w:tc>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Zero field defects post-deployment</w:t>
            </w:r>
          </w:p>
        </w:tc>
        <w:tc>
          <w:tcPr>
            <w:tcW w:type="dxa" w:w="180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[Name, email]</w:t>
            </w:r>
          </w:p>
        </w:tc>
      </w:tr>
      <w:tr>
        <w:tc>
          <w:tcPr>
            <w:tcW w:type="dxa" w:w="18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[Client C]</w:t>
            </w:r>
          </w:p>
        </w:tc>
        <w:tc>
          <w:tcPr>
            <w:tcW w:type="dxa" w:w="25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[Similar project description]</w:t>
            </w:r>
          </w:p>
        </w:tc>
        <w:tc>
          <w:tcPr>
            <w:tcW w:type="dxa" w:w="10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[USD X]</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Regulatory approval achieved</w:t>
            </w:r>
          </w:p>
        </w:tc>
        <w:tc>
          <w:tcPr>
            <w:tcW w:type="dxa" w:w="18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[Name, email]</w:t>
            </w:r>
          </w:p>
        </w:tc>
      </w:tr>
    </w:tbl>
    <w:p>
      <w:pPr>
        <w:pStyle w:val="Heading1"/>
        <w:pBdr>
          <w:bottom w:val="single" w:color="2E75B6" w:sz="6" w:space="4"/>
        </w:pBdr>
        <w:spacing w:after="160" w:before="320"/>
      </w:pPr>
      <w:r>
        <w:rPr>
          <w:rFonts w:ascii="Arial" w:cs="Arial" w:eastAsia="Arial" w:hAnsi="Arial"/>
          <w:b/>
          <w:bCs/>
          <w:color w:val="1F4E79"/>
          <w:sz w:val="28"/>
          <w:szCs w:val="28"/>
        </w:rPr>
        <w:t xml:space="preserve">7. Pricing &amp; Cost Breakdown</w:t>
      </w:r>
    </w:p>
    <w:p>
      <w:pPr>
        <w:shd w:fill="D6F0E0" w:val="clear"/>
        <w:spacing w:after="80" w:before="80"/>
      </w:pPr>
      <w:r>
        <w:rPr>
          <w:rFonts w:ascii="Arial" w:cs="Arial" w:eastAsia="Arial" w:hAnsi="Arial"/>
          <w:i/>
          <w:iCs/>
          <w:color w:val="1E6B3C"/>
          <w:sz w:val="20"/>
          <w:szCs w:val="20"/>
        </w:rPr>
        <w:t xml:space="preserve">✔  All prices are fixed-price per milestone. T&amp;M rates available for change orders: Senior Engineer USD [X]/hr, Engineer USD [X]/hr.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2160"/>
        <w:gridCol w:w="2160"/>
      </w:tblGrid>
      <w:tr>
        <w:tc>
          <w:tcPr>
            <w:tcW w:type="dxa" w:w="504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Phase / Deliverable</w:t>
            </w:r>
          </w:p>
        </w:tc>
        <w:tc>
          <w:tcPr>
            <w:tcW w:type="dxa" w:w="216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Pricing Model</w:t>
            </w:r>
          </w:p>
        </w:tc>
        <w:tc>
          <w:tcPr>
            <w:tcW w:type="dxa" w:w="216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Cost (USD)</w:t>
            </w:r>
          </w:p>
        </w:tc>
      </w:tr>
      <w:tr>
        <w:tc>
          <w:tcPr>
            <w:tcW w:type="dxa" w:w="50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Hardware Design &amp; Carrier Board Prototypes (Rev A+B)</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Lump Sum</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USD 38,000</w:t>
            </w:r>
          </w:p>
        </w:tc>
      </w:tr>
      <w:tr>
        <w:tc>
          <w:tcPr>
            <w:tcW w:type="dxa" w:w="50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Yocto BSP, Kernel &amp; Secure Boot</w:t>
            </w:r>
          </w:p>
        </w:tc>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Lump Sum</w:t>
            </w:r>
          </w:p>
        </w:tc>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USD 28,000</w:t>
            </w:r>
          </w:p>
        </w:tc>
      </w:tr>
      <w:tr>
        <w:tc>
          <w:tcPr>
            <w:tcW w:type="dxa" w:w="50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Industrial Protocol Stack (Modbus, OPC-UA, PROFINET)</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Lump Sum</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USD 35,000</w:t>
            </w:r>
          </w:p>
        </w:tc>
      </w:tr>
      <w:tr>
        <w:tc>
          <w:tcPr>
            <w:tcW w:type="dxa" w:w="50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Cloud Connectivity &amp; Fleet Management</w:t>
            </w:r>
          </w:p>
        </w:tc>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Lump Sum</w:t>
            </w:r>
          </w:p>
        </w:tc>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USD 30,000</w:t>
            </w:r>
          </w:p>
        </w:tc>
      </w:tr>
      <w:tr>
        <w:tc>
          <w:tcPr>
            <w:tcW w:type="dxa" w:w="50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Edge ML Pipeline &amp; Model Integration</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Lump Sum</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USD 28,000</w:t>
            </w:r>
          </w:p>
        </w:tc>
      </w:tr>
      <w:tr>
        <w:tc>
          <w:tcPr>
            <w:tcW w:type="dxa" w:w="50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Security Hardening (TPM, dm-crypt, IMA)</w:t>
            </w:r>
          </w:p>
        </w:tc>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Lump Sum</w:t>
            </w:r>
          </w:p>
        </w:tc>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USD 18,000</w:t>
            </w:r>
          </w:p>
        </w:tc>
      </w:tr>
      <w:tr>
        <w:tc>
          <w:tcPr>
            <w:tcW w:type="dxa" w:w="50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Testing, Pilot Deployment &amp; Documentation</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Lump Sum</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USD 18,000</w:t>
            </w:r>
          </w:p>
        </w:tc>
      </w:tr>
      <w:tr>
        <w:tc>
          <w:tcPr>
            <w:tcW w:type="dxa" w:w="50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TOTAL</w:t>
            </w:r>
          </w:p>
        </w:tc>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USD 195,000</w:t>
            </w:r>
          </w:p>
        </w:tc>
      </w:tr>
    </w:tbl>
    <w:p>
      <w:pPr>
        <w:spacing w:after="80" w:before="80"/>
      </w:pPr>
      <w:r>
        <w:t xml:space="preserve"/>
      </w:r>
    </w:p>
    <w:p>
      <w:pPr>
        <w:spacing w:after="80" w:before="80"/>
      </w:pPr>
      <w:r>
        <w:rPr>
          <w:rFonts w:ascii="Arial" w:cs="Arial" w:eastAsia="Arial" w:hAnsi="Arial"/>
          <w:color w:val="1A1A1A"/>
          <w:sz w:val="22"/>
          <w:szCs w:val="22"/>
        </w:rPr>
        <w:t xml:space="preserve">Payment milestones aligned with M1–M7 above. 20% advance on contract signing; remainder milestone-gated.</w:t>
      </w:r>
    </w:p>
    <w:p>
      <w:pPr>
        <w:pStyle w:val="Heading1"/>
        <w:pBdr>
          <w:bottom w:val="single" w:color="2E75B6" w:sz="6" w:space="4"/>
        </w:pBdr>
        <w:spacing w:after="160" w:before="320"/>
      </w:pPr>
      <w:r>
        <w:rPr>
          <w:rFonts w:ascii="Arial" w:cs="Arial" w:eastAsia="Arial" w:hAnsi="Arial"/>
          <w:b/>
          <w:bCs/>
          <w:color w:val="1F4E79"/>
          <w:sz w:val="28"/>
          <w:szCs w:val="28"/>
        </w:rPr>
        <w:t xml:space="preserve">8. Assumptions &amp; Exclusions</w:t>
      </w:r>
    </w:p>
    <w:p>
      <w:pPr>
        <w:pStyle w:val="Heading2"/>
        <w:spacing w:after="120" w:before="240"/>
      </w:pPr>
      <w:r>
        <w:rPr>
          <w:rFonts w:ascii="Arial" w:cs="Arial" w:eastAsia="Arial" w:hAnsi="Arial"/>
          <w:b/>
          <w:bCs/>
          <w:color w:val="2E75B6"/>
          <w:sz w:val="24"/>
          <w:szCs w:val="24"/>
        </w:rPr>
        <w:t xml:space="preserve">8.1 Assumptions</w:t>
      </w:r>
    </w:p>
    <w:p>
      <w:pPr>
        <w:pStyle w:val="ListParagraph"/>
        <w:numPr>
          <w:ilvl w:val="0"/>
          <w:numId w:val="2"/>
        </w:numPr>
        <w:spacing w:after="40" w:before="40"/>
      </w:pPr>
      <w:r>
        <w:rPr>
          <w:rFonts w:ascii="Arial" w:cs="Arial" w:eastAsia="Arial" w:hAnsi="Arial"/>
          <w:color w:val="1A1A1A"/>
          <w:sz w:val="22"/>
          <w:szCs w:val="22"/>
        </w:rPr>
        <w:t xml:space="preserve">Client will provide detailed technical requirements document within 5 business days of kickoff</w:t>
      </w:r>
    </w:p>
    <w:p>
      <w:pPr>
        <w:pStyle w:val="ListParagraph"/>
        <w:numPr>
          <w:ilvl w:val="0"/>
          <w:numId w:val="2"/>
        </w:numPr>
        <w:spacing w:after="40" w:before="40"/>
      </w:pPr>
      <w:r>
        <w:rPr>
          <w:rFonts w:ascii="Arial" w:cs="Arial" w:eastAsia="Arial" w:hAnsi="Arial"/>
          <w:color w:val="1A1A1A"/>
          <w:sz w:val="22"/>
          <w:szCs w:val="22"/>
        </w:rPr>
        <w:t xml:space="preserve">Client hardware (EVK / DVT boards) will be available to vendor within 2 weeks of project start</w:t>
      </w:r>
    </w:p>
    <w:p>
      <w:pPr>
        <w:pStyle w:val="ListParagraph"/>
        <w:numPr>
          <w:ilvl w:val="0"/>
          <w:numId w:val="2"/>
        </w:numPr>
        <w:spacing w:after="40" w:before="40"/>
      </w:pPr>
      <w:r>
        <w:rPr>
          <w:rFonts w:ascii="Arial" w:cs="Arial" w:eastAsia="Arial" w:hAnsi="Arial"/>
          <w:color w:val="1A1A1A"/>
          <w:sz w:val="22"/>
          <w:szCs w:val="22"/>
        </w:rPr>
        <w:t xml:space="preserve">Client will designate a named technical point of contact available for at least 4 hours/week</w:t>
      </w:r>
    </w:p>
    <w:p>
      <w:pPr>
        <w:pStyle w:val="ListParagraph"/>
        <w:numPr>
          <w:ilvl w:val="0"/>
          <w:numId w:val="2"/>
        </w:numPr>
        <w:spacing w:after="40" w:before="40"/>
      </w:pPr>
      <w:r>
        <w:rPr>
          <w:rFonts w:ascii="Arial" w:cs="Arial" w:eastAsia="Arial" w:hAnsi="Arial"/>
          <w:color w:val="1A1A1A"/>
          <w:sz w:val="22"/>
          <w:szCs w:val="22"/>
        </w:rPr>
        <w:t xml:space="preserve">All third-party tool licenses (if client-mandated) will be provided by client</w:t>
      </w:r>
    </w:p>
    <w:p>
      <w:pPr>
        <w:pStyle w:val="ListParagraph"/>
        <w:numPr>
          <w:ilvl w:val="0"/>
          <w:numId w:val="2"/>
        </w:numPr>
        <w:spacing w:after="40" w:before="40"/>
      </w:pPr>
      <w:r>
        <w:rPr>
          <w:rFonts w:ascii="Arial" w:cs="Arial" w:eastAsia="Arial" w:hAnsi="Arial"/>
          <w:color w:val="1A1A1A"/>
          <w:sz w:val="22"/>
          <w:szCs w:val="22"/>
        </w:rPr>
        <w:t xml:space="preserve">Travel costs (if on-site visits required) will be billed at actuals with prior written approval</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8.2 Exclusions</w:t>
      </w:r>
    </w:p>
    <w:p>
      <w:pPr>
        <w:pStyle w:val="ListParagraph"/>
        <w:numPr>
          <w:ilvl w:val="0"/>
          <w:numId w:val="2"/>
        </w:numPr>
        <w:spacing w:after="40" w:before="40"/>
      </w:pPr>
      <w:r>
        <w:rPr>
          <w:rFonts w:ascii="Arial" w:cs="Arial" w:eastAsia="Arial" w:hAnsi="Arial"/>
          <w:color w:val="1A1A1A"/>
          <w:sz w:val="22"/>
          <w:szCs w:val="22"/>
        </w:rPr>
        <w:t xml:space="preserve">Mechanical / enclosure design and fabrication</w:t>
      </w:r>
    </w:p>
    <w:p>
      <w:pPr>
        <w:pStyle w:val="ListParagraph"/>
        <w:numPr>
          <w:ilvl w:val="0"/>
          <w:numId w:val="2"/>
        </w:numPr>
        <w:spacing w:after="40" w:before="40"/>
      </w:pPr>
      <w:r>
        <w:rPr>
          <w:rFonts w:ascii="Arial" w:cs="Arial" w:eastAsia="Arial" w:hAnsi="Arial"/>
          <w:color w:val="1A1A1A"/>
          <w:sz w:val="22"/>
          <w:szCs w:val="22"/>
        </w:rPr>
        <w:t xml:space="preserve">Mass production PCB assembly or component procurement beyond prototypes</w:t>
      </w:r>
    </w:p>
    <w:p>
      <w:pPr>
        <w:pStyle w:val="ListParagraph"/>
        <w:numPr>
          <w:ilvl w:val="0"/>
          <w:numId w:val="2"/>
        </w:numPr>
        <w:spacing w:after="40" w:before="40"/>
      </w:pPr>
      <w:r>
        <w:rPr>
          <w:rFonts w:ascii="Arial" w:cs="Arial" w:eastAsia="Arial" w:hAnsi="Arial"/>
          <w:color w:val="1A1A1A"/>
          <w:sz w:val="22"/>
          <w:szCs w:val="22"/>
        </w:rPr>
        <w:t xml:space="preserve">Regulatory certification filing fees and test lab charges (budgeted separately)</w:t>
      </w:r>
    </w:p>
    <w:p>
      <w:pPr>
        <w:pStyle w:val="ListParagraph"/>
        <w:numPr>
          <w:ilvl w:val="0"/>
          <w:numId w:val="2"/>
        </w:numPr>
        <w:spacing w:after="40" w:before="40"/>
      </w:pPr>
      <w:r>
        <w:rPr>
          <w:rFonts w:ascii="Arial" w:cs="Arial" w:eastAsia="Arial" w:hAnsi="Arial"/>
          <w:color w:val="1A1A1A"/>
          <w:sz w:val="22"/>
          <w:szCs w:val="22"/>
        </w:rPr>
        <w:t xml:space="preserve">Cloud backend infrastructure setup and ongoing hosting costs</w:t>
      </w:r>
    </w:p>
    <w:p>
      <w:pPr>
        <w:pStyle w:val="ListParagraph"/>
        <w:numPr>
          <w:ilvl w:val="0"/>
          <w:numId w:val="2"/>
        </w:numPr>
        <w:spacing w:after="40" w:before="40"/>
      </w:pPr>
      <w:r>
        <w:rPr>
          <w:rFonts w:ascii="Arial" w:cs="Arial" w:eastAsia="Arial" w:hAnsi="Arial"/>
          <w:color w:val="1A1A1A"/>
          <w:sz w:val="22"/>
          <w:szCs w:val="22"/>
        </w:rPr>
        <w:t xml:space="preserve">Mobile / companion app development (API/GATT profile spec only)</w:t>
      </w:r>
    </w:p>
    <w:p>
      <w:pPr>
        <w:pStyle w:val="Heading1"/>
        <w:pBdr>
          <w:bottom w:val="single" w:color="2E75B6" w:sz="6" w:space="4"/>
        </w:pBdr>
        <w:spacing w:after="160" w:before="320"/>
      </w:pPr>
      <w:r>
        <w:rPr>
          <w:rFonts w:ascii="Arial" w:cs="Arial" w:eastAsia="Arial" w:hAnsi="Arial"/>
          <w:b/>
          <w:bCs/>
          <w:color w:val="1F4E79"/>
          <w:sz w:val="28"/>
          <w:szCs w:val="28"/>
        </w:rPr>
        <w:t xml:space="preserve">9. Authorization &amp; Acceptance</w:t>
      </w:r>
    </w:p>
    <w:p>
      <w:pPr>
        <w:spacing w:after="80" w:before="80"/>
      </w:pPr>
      <w:r>
        <w:rPr>
          <w:rFonts w:ascii="Arial" w:cs="Arial" w:eastAsia="Arial" w:hAnsi="Arial"/>
          <w:color w:val="1A1A1A"/>
          <w:sz w:val="22"/>
          <w:szCs w:val="22"/>
        </w:rPr>
        <w:t xml:space="preserve">The undersigned authorized representative of EdgeWave Systems Pvt. Ltd. certifies that the information in this proposal is accurate, complete, and that the company is fully capable of delivering the described solution within the stated timeline and budget.</w:t>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c>
          <w:tcPr>
            <w:tcW w:type="dxa" w:w="216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60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Vendor Representative</w:t>
            </w:r>
          </w:p>
        </w:tc>
        <w:tc>
          <w:tcPr>
            <w:tcW w:type="dxa" w:w="360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Client Acceptance</w:t>
            </w:r>
          </w:p>
        </w:tc>
      </w:tr>
      <w:tr>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Name</w:t>
            </w:r>
          </w:p>
        </w:tc>
        <w:tc>
          <w:tcPr>
            <w:tcW w:type="dxa" w:w="3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3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Title</w:t>
            </w:r>
          </w:p>
        </w:tc>
        <w:tc>
          <w:tcPr>
            <w:tcW w:type="dxa" w:w="360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360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Signature</w:t>
            </w:r>
          </w:p>
        </w:tc>
        <w:tc>
          <w:tcPr>
            <w:tcW w:type="dxa" w:w="3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3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360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360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Company</w:t>
            </w:r>
          </w:p>
        </w:tc>
        <w:tc>
          <w:tcPr>
            <w:tcW w:type="dxa" w:w="3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EdgeWave Systems Pvt. Ltd.</w:t>
            </w:r>
          </w:p>
        </w:tc>
        <w:tc>
          <w:tcPr>
            <w:tcW w:type="dxa" w:w="3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IndustraTech Manufacturing Solutions</w:t>
            </w:r>
          </w:p>
        </w:tc>
      </w:tr>
    </w:tbl>
    <w:p>
      <w:pPr>
        <w:spacing w:after="80" w:before="80"/>
      </w:pPr>
      <w:r>
        <w:t xml:space="preserve"/>
      </w:r>
    </w:p>
    <w:p>
      <w:pPr>
        <w:jc w:val="center"/>
      </w:pPr>
      <w:r>
        <w:rPr>
          <w:rFonts w:ascii="Arial" w:cs="Arial" w:eastAsia="Arial" w:hAnsi="Arial"/>
          <w:b/>
          <w:bCs/>
          <w:color w:val="1F4E79"/>
          <w:sz w:val="18"/>
          <w:szCs w:val="18"/>
        </w:rPr>
        <w:t xml:space="preserve">— END OF PROPOSAL | RFP-2024-EMB-003 | EdgeWave Systems Pvt. Ltd. —</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i/>
        <w:iCs/>
        <w:color w:val="888888"/>
        <w:sz w:val="16"/>
        <w:szCs w:val="16"/>
      </w:rPr>
      <w:t xml:space="preserve">Confidential Proposal — Not for Distribution</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b/>
        <w:bCs/>
        <w:color w:val="1F4E79"/>
        <w:sz w:val="18"/>
        <w:szCs w:val="18"/>
      </w:rPr>
      <w:t xml:space="preserve">EdgeWave Systems Pvt. Ltd. — Proposal Response</w:t>
    </w:r>
    <w:r>
      <w:rPr>
        <w:rFonts w:ascii="Arial" w:cs="Arial" w:eastAsia="Arial" w:hAnsi="Arial"/>
        <w:color w:val="888888"/>
        <w:sz w:val="18"/>
        <w:szCs w:val="18"/>
      </w:rPr>
      <w:t xml:space="preserve">	RFP-2024-EMB-003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2026-06-11T11:43:23.194Z</dcterms:created>
  <dcterms:modified xsi:type="dcterms:W3CDTF">2026-06-11T11:43:23.194Z</dcterms:modified>
</cp:coreProperties>
</file>

<file path=docProps/custom.xml><?xml version="1.0" encoding="utf-8"?>
<Properties xmlns="http://schemas.openxmlformats.org/officeDocument/2006/custom-properties" xmlns:vt="http://schemas.openxmlformats.org/officeDocument/2006/docPropsVTypes"/>
</file>