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fb172f56e7546b0" /><Relationship Type="http://schemas.openxmlformats.org/package/2006/relationships/metadata/core-properties" Target="/docProps/core.xml" Id="Rc3405108afc542b7" /><Relationship Type="http://schemas.openxmlformats.org/officeDocument/2006/relationships/extended-properties" Target="/docProps/app.xml" Id="R79a3ca6a9c0e4193" /><Relationship Type="http://schemas.openxmlformats.org/officeDocument/2006/relationships/custom-properties" Target="/docProps/custom.xml" Id="R7fd64249f5d6440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PharmaGuard AI – Pharmaceutical Demand Intelligence</w:t>
      </w:r>
    </w:p>
    <w:p w14:paraId="00100002" w14:textId="00100003">
      <w:pPr>
        <w:pStyle w:val="Normal"/>
        <w:spacing w:after="80"/>
        <w:jc w:val="center"/>
      </w:pPr>
      <w:r>
        <w:rPr>
          <w:color w:val="666666"/>
          <w:sz w:val="24"/>
        </w:rPr>
        <w:t xml:space="preserve">Project Report | IBM Data Science &amp; AI Analytics</w:t>
      </w:r>
    </w:p>
    <w:p w14:paraId="00100004" w14:textId="00100005">
      <w:pPr>
        <w:pStyle w:val="Normal"/>
        <w:spacing w:after="400"/>
        <w:jc w:val="center"/>
      </w:pPr>
      <w:r>
        <w:rPr>
          <w:color w:val="888888"/>
          <w:sz w:val="22"/>
        </w:rPr>
        <w:t xml:space="preserve">Dataset: Real Pharmacy Sales Data | Period: 2014–2019 | Drug Categories: 8 (WHO ATC)</w:t>
      </w:r>
    </w:p>
    <w:p w14:paraId="00100006" w14:textId="00100007">
      <w:pPr>
        <w:pStyle w:val="Heading1"/>
        <w:spacing w:after="120"/>
      </w:pPr>
      <w:r>
        <w:rPr>
          <w:b/>
          <w:sz w:val="36"/>
        </w:rPr>
        <w:t xml:space="preserve">Table of Contents</w:t>
      </w:r>
    </w:p>
    <w:p w14:paraId="00100008" w14:textId="00100009">
      <w:pPr>
        <w:pStyle w:val="Normal"/>
        <w:spacing w:after="400"/>
      </w:pPr>
      <w:r>
        <w:rPr>
          <w:sz w:val="22"/>
        </w:rPr>
        <w:t xml:space="preserve">1. Executive Summary</w:t>
      </w:r>
    </w:p>
    <w:p w14:paraId="0010000A" w14:textId="0010000B">
      <w:pPr>
        <w:pStyle w:val="Normal"/>
        <w:spacing w:after="400"/>
      </w:pPr>
      <w:r>
        <w:rPr>
          <w:sz w:val="22"/>
        </w:rPr>
        <w:t xml:space="preserve">2. Project Overview</w:t>
      </w:r>
    </w:p>
    <w:p w14:paraId="0010000C" w14:textId="0010000D">
      <w:pPr>
        <w:pStyle w:val="Normal"/>
        <w:spacing w:after="400"/>
      </w:pPr>
      <w:r>
        <w:rPr>
          <w:sz w:val="22"/>
        </w:rPr>
        <w:t xml:space="preserve">3. Dataset Description</w:t>
      </w:r>
    </w:p>
    <w:p w14:paraId="0010000E" w14:textId="0010000F">
      <w:pPr>
        <w:pStyle w:val="Normal"/>
        <w:spacing w:after="400"/>
      </w:pPr>
      <w:r>
        <w:rPr>
          <w:sz w:val="22"/>
        </w:rPr>
        <w:t xml:space="preserve">4. Drug Category Reference</w:t>
      </w:r>
    </w:p>
    <w:p w14:paraId="00100010" w14:textId="00100011">
      <w:pPr>
        <w:pStyle w:val="Normal"/>
        <w:spacing w:after="400"/>
      </w:pPr>
      <w:r>
        <w:rPr>
          <w:sz w:val="22"/>
        </w:rPr>
        <w:t xml:space="preserve">5. KPI Analysis</w:t>
      </w:r>
    </w:p>
    <w:p w14:paraId="00100012" w14:textId="00100013">
      <w:pPr>
        <w:pStyle w:val="Normal"/>
        <w:spacing w:after="400"/>
      </w:pPr>
      <w:r>
        <w:rPr>
          <w:sz w:val="22"/>
        </w:rPr>
        <w:t xml:space="preserve">6. Trends &amp; Seasonality</w:t>
      </w:r>
    </w:p>
    <w:p w14:paraId="00100014" w14:textId="00100015">
      <w:pPr>
        <w:pStyle w:val="Normal"/>
        <w:spacing w:after="400"/>
      </w:pPr>
      <w:r>
        <w:rPr>
          <w:sz w:val="22"/>
        </w:rPr>
        <w:t xml:space="preserve">7. Demand Drivers</w:t>
      </w:r>
    </w:p>
    <w:p w14:paraId="00100016" w14:textId="00100017">
      <w:pPr>
        <w:pStyle w:val="Normal"/>
        <w:spacing w:after="400"/>
      </w:pPr>
      <w:r>
        <w:rPr>
          <w:sz w:val="22"/>
        </w:rPr>
        <w:t xml:space="preserve">8. Anomaly Detection</w:t>
      </w:r>
    </w:p>
    <w:p w14:paraId="00100018" w14:textId="00100019">
      <w:pPr>
        <w:pStyle w:val="Normal"/>
        <w:spacing w:after="400"/>
      </w:pPr>
      <w:r>
        <w:rPr>
          <w:sz w:val="22"/>
        </w:rPr>
        <w:t xml:space="preserve">9. Demand Forecasting</w:t>
      </w:r>
    </w:p>
    <w:p w14:paraId="0010001A" w14:textId="0010001B">
      <w:pPr>
        <w:pStyle w:val="Normal"/>
        <w:spacing w:after="400"/>
      </w:pPr>
      <w:r>
        <w:rPr>
          <w:sz w:val="22"/>
        </w:rPr>
        <w:t xml:space="preserve">10. Risk Analysis</w:t>
      </w:r>
    </w:p>
    <w:p w14:paraId="0010001C" w14:textId="0010001D">
      <w:pPr>
        <w:pStyle w:val="Normal"/>
        <w:spacing w:after="400"/>
      </w:pPr>
      <w:r>
        <w:rPr>
          <w:sz w:val="22"/>
        </w:rPr>
        <w:t xml:space="preserve">11. Opportunity Analysis</w:t>
      </w:r>
    </w:p>
    <w:p w14:paraId="0010001E" w14:textId="0010001F">
      <w:pPr>
        <w:pStyle w:val="Normal"/>
        <w:spacing w:after="400"/>
      </w:pPr>
      <w:r>
        <w:rPr>
          <w:sz w:val="22"/>
        </w:rPr>
        <w:t xml:space="preserve">12. Strategic Action Plan</w:t>
      </w:r>
    </w:p>
    <w:p w14:paraId="00100020" w14:textId="00100021">
      <w:pPr>
        <w:pStyle w:val="Normal"/>
        <w:spacing w:after="400"/>
      </w:pPr>
      <w:r>
        <w:rPr>
          <w:sz w:val="22"/>
        </w:rPr>
        <w:t xml:space="preserve">13. Technical Architecture</w:t>
      </w:r>
    </w:p>
    <w:p w14:paraId="00100022" w14:textId="00100023">
      <w:pPr>
        <w:pStyle w:val="Normal"/>
        <w:spacing w:after="400"/>
      </w:pPr>
      <w:r>
        <w:rPr>
          <w:sz w:val="22"/>
        </w:rPr>
        <w:t xml:space="preserve">14. Conclusions</w:t>
      </w:r>
    </w:p>
    <w:p w14:paraId="00100024" w14:textId="00100025">
      <w:pPr>
        <w:pStyle w:val="Heading1"/>
        <w:spacing w:after="160"/>
      </w:pPr>
      <w:r>
        <w:rPr>
          <w:b/>
          <w:sz w:val="36"/>
        </w:rPr>
        <w:t xml:space="preserve">1. Executive Summary</w:t>
      </w:r>
    </w:p>
    <w:p w14:paraId="00100026" w14:textId="00100027">
      <w:pPr>
        <w:pStyle w:val="Normal"/>
        <w:spacing w:after="160"/>
      </w:pPr>
      <w:r>
        <w:rPr>
          <w:sz w:val="22"/>
        </w:rPr>
        <w:t xml:space="preserve">PharmaGuard AI is an end-to-end pharmaceutical demand intelligence platform developed to analyze, detect patterns, forecast demand, and deliver actionable business insights from real pharmacy sales data spanning January 2014 to October 2019. The system covers 8 WHO ATC-classified drug categories across four temporal granularities: hourly, daily, weekly, and monthly.</w:t>
      </w:r>
    </w:p>
    <w:p w14:paraId="00100028" w14:textId="001001D6">
      <w:pPr>
        <w:pStyle w:val="Normal"/>
        <w:spacing w:after="320"/>
      </w:pPr>
      <w:r>
        <w:rPr>
          <w:sz w:val="22"/>
        </w:rPr>
        <w:t xml:space="preserve">The analysis framework follows the structured intelligence pipeline: KPIs → Trends → Drivers → Risk → Opportunity → Action. Key findings include the dominance of N02BE (Paracetamol) accounting for 49.4% of total sales volume, a consistent October demand spike tied to cold and flu season, strong growth in anti-inflammatory categories (M01AB, M01AE) from 2014 to 2018, an identified data anomaly in January 2017, and actionable supply chain recommendations for all 8 categories.</w:t>
      </w:r>
    </w:p>
    <w:p w14:paraId="0010002A" w14:textId="0010002B">
      <w:pPr>
        <w:pStyle w:val="Heading1"/>
        <w:spacing w:after="160"/>
      </w:pPr>
      <w:r>
        <w:rPr>
          <w:b/>
          <w:sz w:val="36"/>
        </w:rPr>
        <w:t xml:space="preserve">2. Project Overview</w:t>
      </w:r>
    </w:p>
    <w:p w14:paraId="0010002C" w14:textId="0010002D">
      <w:pPr>
        <w:pStyle w:val="Normal"/>
        <w:spacing w:after="80"/>
      </w:pPr>
      <w:r>
        <w:rPr>
          <w:b/>
          <w:sz w:val="22"/>
        </w:rPr>
        <w:t xml:space="preserve">Project Name: PharmaGuard AI – Pharmaceutical Demand Intelligence</w:t>
      </w:r>
    </w:p>
    <w:p w14:paraId="0010002E" w14:textId="0010002F">
      <w:pPr>
        <w:pStyle w:val="Normal"/>
        <w:spacing w:after="160"/>
      </w:pPr>
      <w:r>
        <w:rPr>
          <w:sz w:val="22"/>
        </w:rPr>
        <w:t xml:space="preserve">The project delivers a fully interactive Streamlit dashboard (app.py) alongside a comprehensive Jupyter Notebook (PharmaGuard_AI_Analysis.ipynb) for exploratory data analysis. The system is built entirely on verified, real-world data without imputation or fabrication of any columns or values.</w:t>
      </w:r>
    </w:p>
    <w:p w14:paraId="00100030" w14:textId="00100031">
      <w:pPr>
        <w:pStyle w:val="Normal"/>
        <w:spacing w:after="320"/>
      </w:pPr>
      <w:r>
        <w:rPr>
          <w:sz w:val="22"/>
        </w:rPr>
        <w:t xml:space="preserve">Business Objectives:</w:t>
      </w:r>
    </w:p>
    <w:p w14:paraId="00100032" w14:textId="00100033">
      <w:pPr>
        <w:pStyle w:val="Normal"/>
        <w:spacing w:after="320"/>
      </w:pPr>
      <w:r>
        <w:rPr>
          <w:sz w:val="22"/>
        </w:rPr>
        <w:t xml:space="preserve">• Quantify pharmaceutical demand KPIs across 8 drug categories</w:t>
      </w:r>
    </w:p>
    <w:p w14:paraId="00100034" w14:textId="00100035">
      <w:pPr>
        <w:pStyle w:val="Normal"/>
        <w:spacing w:after="320"/>
      </w:pPr>
      <w:r>
        <w:rPr>
          <w:sz w:val="22"/>
        </w:rPr>
        <w:t xml:space="preserve">• Identify seasonal trends and demand drivers by hour, day, week, and month</w:t>
      </w:r>
    </w:p>
    <w:p w14:paraId="00100036" w14:textId="00100037">
      <w:pPr>
        <w:pStyle w:val="Normal"/>
        <w:spacing w:after="320"/>
      </w:pPr>
      <w:r>
        <w:rPr>
          <w:sz w:val="22"/>
        </w:rPr>
        <w:t xml:space="preserve">• Detect demand anomalies using both ML-based and statistical methods</w:t>
      </w:r>
    </w:p>
    <w:p w14:paraId="00100038" w14:textId="00100039">
      <w:pPr>
        <w:pStyle w:val="Normal"/>
        <w:spacing w:after="320"/>
      </w:pPr>
      <w:r>
        <w:rPr>
          <w:sz w:val="22"/>
        </w:rPr>
        <w:t xml:space="preserve">• Forecast near-term demand using linear trend models</w:t>
      </w:r>
    </w:p>
    <w:p w14:paraId="0010003A" w14:textId="0010003B">
      <w:pPr>
        <w:pStyle w:val="Normal"/>
        <w:spacing w:after="320"/>
      </w:pPr>
      <w:r>
        <w:rPr>
          <w:sz w:val="22"/>
        </w:rPr>
        <w:t xml:space="preserve">• Quantify supply chain risk via coefficient of variation analysis</w:t>
      </w:r>
    </w:p>
    <w:p w14:paraId="0010003C" w14:textId="0010003D">
      <w:pPr>
        <w:pStyle w:val="Normal"/>
        <w:spacing w:after="320"/>
      </w:pPr>
      <w:r>
        <w:rPr>
          <w:sz w:val="22"/>
        </w:rPr>
        <w:t xml:space="preserve">• Surface growth opportunities and prescribe priority actions</w:t>
      </w:r>
    </w:p>
    <w:p w14:paraId="0010003E" w14:textId="0010003F">
      <w:pPr>
        <w:pStyle w:val="Heading1"/>
        <w:spacing w:after="160"/>
      </w:pPr>
      <w:r>
        <w:rPr>
          <w:b/>
          <w:sz w:val="36"/>
        </w:rPr>
        <w:t xml:space="preserve">3. Dataset Description</w:t>
      </w:r>
    </w:p>
    <w:p w14:paraId="00100040" w14:textId="00100041">
      <w:pPr>
        <w:pStyle w:val="Normal"/>
        <w:spacing w:after="160"/>
      </w:pPr>
      <w:r>
        <w:rPr>
          <w:sz w:val="22"/>
        </w:rPr>
        <w:t xml:space="preserve">Four CSV datasets are used, all derived from a real community pharmacy in Slovenia. All datasets share the same 8 drug quantity columns (M01AB, M01AE, N02BA, N02BE, N05B, N05C, R03, R06). No synthetic or invented data was used at any stage of this analysis.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42" w14:textId="00100043">
            <w:r>
              <w:t xml:space="preserve">Dataset</w:t>
            </w:r>
          </w:p>
        </w:tc>
        <w:tc>
          <w:p w14:paraId="00100044" w14:textId="00100045">
            <w:r>
              <w:t xml:space="preserve">Records</w:t>
            </w:r>
          </w:p>
        </w:tc>
        <w:tc>
          <w:p w14:paraId="00100046" w14:textId="00100047">
            <w:r>
              <w:t xml:space="preserve">Granularity</w:t>
            </w:r>
          </w:p>
        </w:tc>
        <w:tc>
          <w:p w14:paraId="00100048" w14:textId="00100049">
            <w:r>
              <w:t xml:space="preserve">Date Range</w:t>
            </w:r>
          </w:p>
        </w:tc>
      </w:tr>
      <w:tr>
        <w:trPr/>
        <w:tc>
          <w:p w14:paraId="0010004A" w14:textId="0010004B">
            <w:r>
              <w:t xml:space="preserve">salesdaily.csv</w:t>
            </w:r>
          </w:p>
        </w:tc>
        <w:tc>
          <w:p w14:paraId="0010004C" w14:textId="001001D4">
            <w:r>
              <w:t xml:space="preserve">2,080 rows</w:t>
            </w:r>
          </w:p>
        </w:tc>
        <w:tc>
          <w:p w14:paraId="0010004E" w14:textId="0010004F">
            <w:r>
              <w:t xml:space="preserve">Per day</w:t>
            </w:r>
          </w:p>
        </w:tc>
        <w:tc>
          <w:p w14:paraId="00100050" w14:textId="00100051">
            <w:r>
              <w:t xml:space="preserve">Jan 2014 – Oct 2019</w:t>
            </w:r>
          </w:p>
        </w:tc>
      </w:tr>
      <w:tr>
        <w:trPr/>
        <w:tc>
          <w:p w14:paraId="00100052" w14:textId="00100053">
            <w:r>
              <w:t xml:space="preserve">saleshourly.csv</w:t>
            </w:r>
          </w:p>
        </w:tc>
        <w:tc>
          <w:p w14:paraId="00100054" w14:textId="001001D5">
            <w:r>
              <w:t xml:space="preserve">26,588 rows</w:t>
            </w:r>
          </w:p>
        </w:tc>
        <w:tc>
          <w:p w14:paraId="00100056" w14:textId="00100057">
            <w:r>
              <w:t xml:space="preserve">Per hour</w:t>
            </w:r>
          </w:p>
        </w:tc>
        <w:tc>
          <w:p w14:paraId="00100058" w14:textId="00100059">
            <w:r>
              <w:t xml:space="preserve">Jan 2014 – Oct 2019</w:t>
            </w:r>
          </w:p>
        </w:tc>
      </w:tr>
      <w:tr>
        <w:trPr/>
        <w:tc>
          <w:p w14:paraId="0010005A" w14:textId="0010005B">
            <w:r>
              <w:t xml:space="preserve">salesweekly.csv</w:t>
            </w:r>
          </w:p>
        </w:tc>
        <w:tc>
          <w:p w14:paraId="0010005C" w14:textId="0010005D">
            <w:r>
              <w:t xml:space="preserve">302 rows</w:t>
            </w:r>
          </w:p>
        </w:tc>
        <w:tc>
          <w:p w14:paraId="0010005E" w14:textId="0010005F">
            <w:r>
              <w:t xml:space="preserve">Per week (Sunday)</w:t>
            </w:r>
          </w:p>
        </w:tc>
        <w:tc>
          <w:p w14:paraId="00100060" w14:textId="00100061">
            <w:r>
              <w:t xml:space="preserve">Jan 2014 – Oct 2019</w:t>
            </w:r>
          </w:p>
        </w:tc>
      </w:tr>
      <w:tr>
        <w:trPr/>
        <w:tc>
          <w:p w14:paraId="00100062" w14:textId="00100063">
            <w:r>
              <w:t xml:space="preserve">salesmonthly.csv</w:t>
            </w:r>
          </w:p>
        </w:tc>
        <w:tc>
          <w:p w14:paraId="00100064" w14:textId="00100065">
            <w:r>
              <w:t xml:space="preserve">70 rows</w:t>
            </w:r>
          </w:p>
        </w:tc>
        <w:tc>
          <w:p w14:paraId="00100066" w14:textId="00100067">
            <w:r>
              <w:t xml:space="preserve">Per month (end-of-month)</w:t>
            </w:r>
          </w:p>
        </w:tc>
        <w:tc>
          <w:p w14:paraId="00100068" w14:textId="00100069">
            <w:r>
              <w:t xml:space="preserve">Jan 2014 – Oct 2019</w:t>
            </w:r>
          </w:p>
        </w:tc>
      </w:tr>
    </w:tbl>
    <w:p w14:paraId="0010006A" w14:textId="0010006B">
      <w:pPr>
        <w:pStyle w:val="Normal"/>
        <w:spacing w:after="320"/>
      </w:pPr>
      <w:r>
        <w:rPr>
          <w:color w:val="666666"/>
          <w:sz w:val="20"/>
        </w:rPr>
        <w:t xml:space="preserve">Note: salesdaily.csv and saleshourly.csv additionally contain Year, Month, Hour, and Weekday Name columns. The all-zero January 2017 row in salesmonthly.csv was identified as a data gap and excluded from trend analysis.</w:t>
      </w:r>
    </w:p>
    <w:p w14:paraId="0010006C" w14:textId="0010006D">
      <w:pPr>
        <w:pStyle w:val="Heading1"/>
        <w:spacing w:after="160"/>
      </w:pPr>
      <w:r>
        <w:rPr>
          <w:b/>
          <w:sz w:val="36"/>
        </w:rPr>
        <w:t xml:space="preserve">4. Drug Category Reference (WHO ATC Classification)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E" w14:textId="0010006F">
            <w:r>
              <w:t xml:space="preserve">ATC Code</w:t>
            </w:r>
          </w:p>
        </w:tc>
        <w:tc>
          <w:p w14:paraId="00100070" w14:textId="00100071">
            <w:r>
              <w:t xml:space="preserve">Drug Category</w:t>
            </w:r>
          </w:p>
        </w:tc>
        <w:tc>
          <w:p w14:paraId="00100072" w14:textId="00100073">
            <w:r>
              <w:t xml:space="preserve">Example Active Ingredient</w:t>
            </w:r>
          </w:p>
        </w:tc>
      </w:tr>
      <w:tr>
        <w:trPr/>
        <w:tc>
          <w:p w14:paraId="00100074" w14:textId="00100075">
            <w:r>
              <w:t xml:space="preserve">M01AB</w:t>
            </w:r>
          </w:p>
        </w:tc>
        <w:tc>
          <w:p w14:paraId="00100076" w14:textId="00100077">
            <w:r>
              <w:t xml:space="preserve">Anti-inflammatory/antirheumatic products</w:t>
            </w:r>
          </w:p>
        </w:tc>
        <w:tc>
          <w:p w14:paraId="00100078" w14:textId="00100079">
            <w:r>
              <w:t xml:space="preserve">Diclofenac</w:t>
            </w:r>
          </w:p>
        </w:tc>
      </w:tr>
      <w:tr>
        <w:trPr/>
        <w:tc>
          <w:p w14:paraId="0010007A" w14:textId="0010007B">
            <w:r>
              <w:t xml:space="preserve">M01AE</w:t>
            </w:r>
          </w:p>
        </w:tc>
        <w:tc>
          <w:p w14:paraId="0010007C" w14:textId="0010007D">
            <w:r>
              <w:t xml:space="preserve">Propionic acid derivatives</w:t>
            </w:r>
          </w:p>
        </w:tc>
        <w:tc>
          <w:p w14:paraId="0010007E" w14:textId="0010007F">
            <w:r>
              <w:t xml:space="preserve">Ibuprofen</w:t>
            </w:r>
          </w:p>
        </w:tc>
      </w:tr>
      <w:tr>
        <w:trPr/>
        <w:tc>
          <w:p w14:paraId="00100080" w14:textId="00100081">
            <w:r>
              <w:t xml:space="preserve">N02BA</w:t>
            </w:r>
          </w:p>
        </w:tc>
        <w:tc>
          <w:p w14:paraId="00100082" w14:textId="00100083">
            <w:r>
              <w:t xml:space="preserve">Salicylic acid and derivatives</w:t>
            </w:r>
          </w:p>
        </w:tc>
        <w:tc>
          <w:p w14:paraId="00100084" w14:textId="00100085">
            <w:r>
              <w:t xml:space="preserve">Aspirin (Acetylsalicylic acid)</w:t>
            </w:r>
          </w:p>
        </w:tc>
      </w:tr>
      <w:tr>
        <w:trPr/>
        <w:tc>
          <w:p w14:paraId="00100086" w14:textId="00100087">
            <w:r>
              <w:t xml:space="preserve">N02BE</w:t>
            </w:r>
          </w:p>
        </w:tc>
        <w:tc>
          <w:p w14:paraId="00100088" w14:textId="00100089">
            <w:r>
              <w:t xml:space="preserve">Anilides (para-aminophenol derivatives)</w:t>
            </w:r>
          </w:p>
        </w:tc>
        <w:tc>
          <w:p w14:paraId="0010008A" w14:textId="0010008B">
            <w:r>
              <w:t xml:space="preserve">Paracetamol (Acetaminophen)</w:t>
            </w:r>
          </w:p>
        </w:tc>
      </w:tr>
      <w:tr>
        <w:trPr/>
        <w:tc>
          <w:p w14:paraId="0010008C" w14:textId="0010008D">
            <w:r>
              <w:t xml:space="preserve">N05B</w:t>
            </w:r>
          </w:p>
        </w:tc>
        <w:tc>
          <w:p w14:paraId="0010008E" w14:textId="0010008F">
            <w:r>
              <w:t xml:space="preserve">Anxiolytics</w:t>
            </w:r>
          </w:p>
        </w:tc>
        <w:tc>
          <w:p w14:paraId="00100090" w14:textId="00100091">
            <w:r>
              <w:t xml:space="preserve">Diazepam, Lorazepam</w:t>
            </w:r>
          </w:p>
        </w:tc>
      </w:tr>
      <w:tr>
        <w:trPr/>
        <w:tc>
          <w:p w14:paraId="00100092" w14:textId="00100093">
            <w:r>
              <w:t xml:space="preserve">N05C</w:t>
            </w:r>
          </w:p>
        </w:tc>
        <w:tc>
          <w:p w14:paraId="00100094" w14:textId="00100095">
            <w:r>
              <w:t xml:space="preserve">Hypnotics and sedatives</w:t>
            </w:r>
          </w:p>
        </w:tc>
        <w:tc>
          <w:p w14:paraId="00100096" w14:textId="00100097">
            <w:r>
              <w:t xml:space="preserve">Zolpidem, Nitrazepam</w:t>
            </w:r>
          </w:p>
        </w:tc>
      </w:tr>
      <w:tr>
        <w:trPr/>
        <w:tc>
          <w:p w14:paraId="00100098" w14:textId="00100099">
            <w:r>
              <w:t xml:space="preserve">R03</w:t>
            </w:r>
          </w:p>
        </w:tc>
        <w:tc>
          <w:p w14:paraId="0010009A" w14:textId="0010009B">
            <w:r>
              <w:t xml:space="preserve">Drugs for obstructive airway diseases</w:t>
            </w:r>
          </w:p>
        </w:tc>
        <w:tc>
          <w:p w14:paraId="0010009C" w14:textId="0010009D">
            <w:r>
              <w:t xml:space="preserve">Salbutamol, Budesonide</w:t>
            </w:r>
          </w:p>
        </w:tc>
      </w:tr>
      <w:tr>
        <w:trPr/>
        <w:tc>
          <w:p w14:paraId="0010009E" w14:textId="0010009F">
            <w:r>
              <w:t xml:space="preserve">R06</w:t>
            </w:r>
          </w:p>
        </w:tc>
        <w:tc>
          <w:p w14:paraId="001000A0" w14:textId="001000A1">
            <w:r>
              <w:t xml:space="preserve">Antihistamines for systemic use</w:t>
            </w:r>
          </w:p>
        </w:tc>
        <w:tc>
          <w:p w14:paraId="001000A2" w14:textId="001000A3">
            <w:r>
              <w:t xml:space="preserve">Loratadine, Cetirizine</w:t>
            </w:r>
          </w:p>
        </w:tc>
      </w:tr>
    </w:tbl>
    <w:p w14:paraId="001000A4" w14:textId="001000A5">
      <w:pPr>
        <w:pStyle w:val="Heading1"/>
        <w:spacing w:before="320" w:after="160"/>
      </w:pPr>
      <w:r>
        <w:rPr>
          <w:b/>
          <w:sz w:val="36"/>
        </w:rPr>
        <w:t xml:space="preserve">5. KPI Analysis</w:t>
      </w:r>
    </w:p>
    <w:p w14:paraId="001000A6" w14:textId="001000A7">
      <w:pPr>
        <w:pStyle w:val="Heading2"/>
        <w:spacing w:after="120"/>
      </w:pPr>
      <w:r>
        <w:rPr>
          <w:b/>
          <w:sz w:val="28"/>
        </w:rPr>
        <w:t xml:space="preserve">5.1 Volume KPIs</w:t>
      </w:r>
    </w:p>
    <w:p w14:paraId="001000A8" w14:textId="001000A9">
      <w:pPr>
        <w:pStyle w:val="Normal"/>
        <w:spacing w:after="160"/>
      </w:pPr>
      <w:r>
        <w:rPr>
          <w:sz w:val="22"/>
        </w:rPr>
        <w:t xml:space="preserve">Based on the monthly dataset (70 observations, Jan 2014 – Oct 2019), the following aggregate KPIs are computed across all 8 drug categories:</w:t>
      </w:r>
    </w:p>
    <w:p w14:paraId="001000AA" w14:textId="001000AB">
      <w:pPr>
        <w:pStyle w:val="Normal"/>
        <w:spacing w:after="160"/>
      </w:pPr>
      <w:r>
        <w:rPr>
          <w:sz w:val="22"/>
        </w:rPr>
        <w:t xml:space="preserve">• N02BE (Paracetamol): Largest volume category. Total monthly units averaged ~800 units/month with October peaks exceeding 1,850 units (Oct 2014).</w:t>
      </w:r>
    </w:p>
    <w:p w14:paraId="001000AC" w14:textId="001000AD">
      <w:pPr>
        <w:pStyle w:val="Normal"/>
        <w:spacing w:after="160"/>
      </w:pPr>
      <w:r>
        <w:rPr>
          <w:sz w:val="22"/>
        </w:rPr>
        <w:t xml:space="preserve">• N05B (Anxiolytics): Second highest total volume, averaging ~270 units/month with a steady upward trend.</w:t>
      </w:r>
    </w:p>
    <w:p w14:paraId="001000AE" w14:textId="001000AF">
      <w:pPr>
        <w:pStyle w:val="Normal"/>
        <w:spacing w:after="160"/>
      </w:pPr>
      <w:r>
        <w:rPr>
          <w:sz w:val="22"/>
        </w:rPr>
        <w:t xml:space="preserve">• M01AB (Anti-inflammatories): Consistent growth from ~128 units/month (2014) to ~170 units/month (2018).</w:t>
      </w:r>
    </w:p>
    <w:p w14:paraId="001000B0" w14:textId="001000B1">
      <w:pPr>
        <w:pStyle w:val="Normal"/>
        <w:spacing w:after="160"/>
      </w:pPr>
      <w:r>
        <w:rPr>
          <w:sz w:val="22"/>
        </w:rPr>
        <w:t xml:space="preserve">• R06 (Antihistamines): Strong seasonal variation, peaking in spring/summer months.</w:t>
      </w:r>
    </w:p>
    <w:p w14:paraId="001000B2" w14:textId="001000B3">
      <w:pPr>
        <w:pStyle w:val="Normal"/>
        <w:spacing w:after="160"/>
      </w:pPr>
      <w:r>
        <w:rPr>
          <w:sz w:val="22"/>
        </w:rPr>
        <w:t xml:space="preserve">• N05C (Hypnotics/Sedatives): Lowest volume category (~16 units/month avg), most volatile (highest CV%).</w:t>
      </w:r>
    </w:p>
    <w:p w14:paraId="001000B4" w14:textId="001000B5">
      <w:pPr>
        <w:pStyle w:val="Normal"/>
        <w:spacing w:after="160"/>
      </w:pPr>
      <w:r>
        <w:rPr>
          <w:sz w:val="22"/>
        </w:rPr>
        <w:t xml:space="preserve">• N02BA (Aspirin): Gradual decline 2016–2019, likely due to paracetamol substitution.</w:t>
      </w:r>
    </w:p>
    <w:p w14:paraId="001000B6" w14:textId="001000B7">
      <w:pPr>
        <w:pStyle w:val="Normal"/>
        <w:spacing w:after="160"/>
      </w:pPr>
      <w:r>
        <w:rPr>
          <w:sz w:val="22"/>
        </w:rPr>
        <w:t xml:space="preserve">• R03 (Airway Drugs): Bimodal seasonality (spring + autumn).</w:t>
      </w:r>
    </w:p>
    <w:p w14:paraId="001000B8" w14:textId="001000B9">
      <w:pPr>
        <w:pStyle w:val="Normal"/>
        <w:spacing w:after="160"/>
      </w:pPr>
      <w:r>
        <w:rPr>
          <w:sz w:val="22"/>
        </w:rPr>
        <w:t xml:space="preserve">• M01AE (Ibuprofen): Steady moderate demand, growing through the period.</w:t>
      </w:r>
    </w:p>
    <w:p w14:paraId="001000BA" w14:textId="001000BB">
      <w:pPr>
        <w:pStyle w:val="Heading2"/>
        <w:spacing w:after="120"/>
      </w:pPr>
      <w:r>
        <w:rPr>
          <w:b/>
          <w:sz w:val="28"/>
        </w:rPr>
        <w:t xml:space="preserve">5.2 Market Share</w:t>
      </w:r>
    </w:p>
    <w:p w14:paraId="001000BC" w14:textId="001001D7">
      <w:pPr>
        <w:pStyle w:val="Normal"/>
        <w:spacing w:after="320"/>
      </w:pPr>
      <w:r>
        <w:rPr>
          <w:sz w:val="22"/>
        </w:rPr>
        <w:t xml:space="preserve">N02BE accounts for 49.4% of total pharmacy drug sales by volume. The next largest categories are N05B (~13%), M01AB (~9%), R03 (~8%), and M01AE (~7%). Together, these top 5 drugs represent over 80% of all pharmaceutical demand in the dataset.</w:t>
      </w:r>
    </w:p>
    <w:p w14:paraId="00100340" w14:textId="00100341">
      <w:pPr>
        <w:spacing w:line="240" w:lineRule="auto"/>
      </w:pPr>
      <w:r>
        <w:rPr/>
        <w:drawing>
          <wp:inline distT="0" distB="0" distL="0" distR="0">
            <wp:extent cx="5040000" cy="3600000"/>
            <wp:effectExtent l="0" t="0" r="0" b="0"/>
            <wp:docPr id="1" name="01_market_share.png" descr=""/>
            <wp:cNvGraphicFramePr>
              <a:graphicFrameLocks noChangeAspect="1"/>
            </wp:cNvGraphicFramePr>
            <a:graphic>
              <a:graphicData uri="http://schemas.openxmlformats.org/drawingml/2006/picture">
                <pic:pic>
                  <pic:nvPicPr>
                    <pic:cNvPr id="1" name="01_market_share.png"/>
                    <pic:cNvPicPr/>
                  </pic:nvPicPr>
                  <pic:blipFill>
                    <a:blip r:embed="R810536ba56964a0b" cstate="print"/>
                    <a:stretch>
                      <a:fillRect/>
                    </a:stretch>
                  </pic:blipFill>
                  <pic:spPr>
                    <a:xfrm>
                      <a:off x="0" y="0"/>
                      <a:ext cx="5040000" cy="3600000"/>
                    </a:xfrm>
                    <a:prstGeom prst="rect">
                      <a:avLst/>
                    </a:prstGeom>
                  </pic:spPr>
                </pic:pic>
              </a:graphicData>
            </a:graphic>
          </wp:inline>
        </w:drawing>
      </w:r>
    </w:p>
    <w:p w14:paraId="00100342" w14:textId="00100343">
      <w:pPr>
        <w:spacing w:after="200"/>
        <w:jc w:val="center"/>
      </w:pPr>
      <w:r>
        <w:rPr>
          <w:i/>
        </w:rPr>
        <w:t xml:space="preserve">Figure 1 – Drug Market Share by Volume (2014–2019). N02BE (Paracetamol) accounts for 49.4% of all pharmacy sales.</w:t>
      </w:r>
    </w:p>
    <w:p w14:paraId="001000BE" w14:textId="001000BF">
      <w:pPr>
        <w:pStyle w:val="Heading1"/>
        <w:spacing w:after="160"/>
      </w:pPr>
      <w:r>
        <w:rPr>
          <w:b/>
          <w:sz w:val="36"/>
        </w:rPr>
        <w:t xml:space="preserve">6. Trends &amp; Seasonality</w:t>
      </w:r>
    </w:p>
    <w:p w14:paraId="001000C0" w14:textId="001000C1">
      <w:pPr>
        <w:pStyle w:val="Heading2"/>
        <w:spacing w:after="120"/>
      </w:pPr>
      <w:r>
        <w:rPr>
          <w:b/>
          <w:sz w:val="28"/>
        </w:rPr>
        <w:t xml:space="preserve">6.1 Long-term Trend (2014–2019)</w:t>
      </w:r>
    </w:p>
    <w:p w14:paraId="001000C2" w14:textId="001001D9">
      <w:pPr>
        <w:pStyle w:val="Normal"/>
        <w:spacing w:after="160"/>
      </w:pPr>
      <w:r>
        <w:rPr>
          <w:sz w:val="22"/>
        </w:rPr>
        <w:t xml:space="preserve">Annual sales analysis reveals clear growth trajectories for M01AB (+18.3% from 2014 to 2018), M01AE (+4.2%), and R03 (+116.5%). N02BA has shown a consistent decline (-33.2% over the same period). N02BE remains the dominant volume drug throughout, with year-to-year variation primarily driven by seasonal cold/flu demand.</w:t>
      </w:r>
    </w:p>
    <w:p w14:paraId="00100344" w14:textId="00100345">
      <w:pPr>
        <w:spacing w:line="240" w:lineRule="auto"/>
      </w:pPr>
      <w:r>
        <w:drawing>
          <wp:inline distT="0" distB="0" distL="0" distR="0">
            <wp:extent cx="5400000" cy="3240000"/>
            <wp:effectExtent l="0" t="0" r="0" b="0"/>
            <wp:docPr id="2" name="02_monthly_trends.png" descr=""/>
            <wp:cNvGraphicFramePr>
              <a:graphicFrameLocks noChangeAspect="1"/>
            </wp:cNvGraphicFramePr>
            <a:graphic>
              <a:graphicData uri="http://schemas.openxmlformats.org/drawingml/2006/picture">
                <pic:pic>
                  <pic:nvPicPr>
                    <pic:cNvPr id="2" name="02_monthly_trends.png"/>
                    <pic:cNvPicPr/>
                  </pic:nvPicPr>
                  <pic:blipFill>
                    <a:blip r:embed="Rbc57af437099440b" cstate="print"/>
                    <a:stretch>
                      <a:fillRect/>
                    </a:stretch>
                  </pic:blipFill>
                  <pic:spPr>
                    <a:xfrm>
                      <a:off x="0" y="0"/>
                      <a:ext cx="5400000" cy="3240000"/>
                    </a:xfrm>
                    <a:prstGeom prst="rect">
                      <a:avLst/>
                    </a:prstGeom>
                  </pic:spPr>
                </pic:pic>
              </a:graphicData>
            </a:graphic>
          </wp:inline>
        </w:drawing>
      </w:r>
    </w:p>
    <w:p w14:paraId="00100346" w14:textId="00100347">
      <w:pPr>
        <w:spacing w:after="160"/>
        <w:jc w:val="center"/>
      </w:pPr>
      <w:r>
        <w:rPr>
          <w:i/>
        </w:rPr>
        <w:t xml:space="preserve">Figure 2 – Monthly Sales Trends (2014–2019) for all 8 drug categories.</w:t>
      </w:r>
    </w:p>
    <w:p w14:paraId="00100348" w14:textId="00100349">
      <w:pPr>
        <w:spacing w:line="240" w:lineRule="auto"/>
      </w:pPr>
      <w:r>
        <w:drawing>
          <wp:inline distT="0" distB="0" distL="0" distR="0">
            <wp:extent cx="5400000" cy="3240000"/>
            <wp:effectExtent l="0" t="0" r="0" b="0"/>
            <wp:docPr id="3" name="03_annual_sales.png" descr=""/>
            <wp:cNvGraphicFramePr>
              <a:graphicFrameLocks noChangeAspect="1"/>
            </wp:cNvGraphicFramePr>
            <a:graphic>
              <a:graphicData uri="http://schemas.openxmlformats.org/drawingml/2006/picture">
                <pic:pic>
                  <pic:nvPicPr>
                    <pic:cNvPr id="3" name="03_annual_sales.png"/>
                    <pic:cNvPicPr/>
                  </pic:nvPicPr>
                  <pic:blipFill>
                    <a:blip r:embed="R51977b3a470f4cea" cstate="print"/>
                    <a:stretch>
                      <a:fillRect/>
                    </a:stretch>
                  </pic:blipFill>
                  <pic:spPr>
                    <a:xfrm>
                      <a:off x="0" y="0"/>
                      <a:ext cx="5400000" cy="3240000"/>
                    </a:xfrm>
                    <a:prstGeom prst="rect">
                      <a:avLst/>
                    </a:prstGeom>
                  </pic:spPr>
                </pic:pic>
              </a:graphicData>
            </a:graphic>
          </wp:inline>
        </w:drawing>
      </w:r>
    </w:p>
    <w:p w14:paraId="0010034A" w14:textId="0010034B">
      <w:pPr>
        <w:spacing w:after="200"/>
        <w:jc w:val="center"/>
      </w:pPr>
      <w:r>
        <w:rPr>
          <w:i/>
        </w:rPr>
        <w:t xml:space="preserve">Figure 3 – Annual Sales Totals by Drug Category (2014–2019). R03 grew +116.5%; N02BA declined -33.2%.</w:t>
      </w:r>
    </w:p>
    <w:p w14:paraId="001000C4" w14:textId="001000C5">
      <w:pPr>
        <w:pStyle w:val="Heading2"/>
        <w:spacing w:after="120"/>
      </w:pPr>
      <w:r>
        <w:rPr>
          <w:b/>
          <w:sz w:val="28"/>
        </w:rPr>
        <w:t xml:space="preserve">6.2 Seasonal Patterns</w:t>
      </w:r>
    </w:p>
    <w:p w14:paraId="001000C6" w14:textId="001000C7">
      <w:pPr>
        <w:pStyle w:val="Normal"/>
        <w:spacing w:after="160"/>
      </w:pPr>
      <w:r>
        <w:rPr>
          <w:sz w:val="22"/>
        </w:rPr>
        <w:t xml:space="preserve">Peak months by drug category identified from 2014–2019 monthly averages:</w:t>
      </w:r>
    </w:p>
    <w:p w14:paraId="001000C8" w14:textId="001000C9">
      <w:pPr>
        <w:pStyle w:val="Normal"/>
        <w:spacing w:after="160"/>
      </w:pPr>
      <w:r>
        <w:rPr>
          <w:sz w:val="22"/>
        </w:rPr>
        <w:t xml:space="preserve">• N02BE (Paracetamol): October – cold and flu season drives maximum demand</w:t>
      </w:r>
    </w:p>
    <w:p w14:paraId="001000CA" w14:textId="001000CB">
      <w:pPr>
        <w:pStyle w:val="Normal"/>
        <w:spacing w:after="160"/>
      </w:pPr>
      <w:r>
        <w:rPr>
          <w:sz w:val="22"/>
        </w:rPr>
        <w:t xml:space="preserve">• R06 (Antihistamines): May/June – spring allergy season</w:t>
      </w:r>
    </w:p>
    <w:p w14:paraId="001000CC" w14:textId="001000CD">
      <w:pPr>
        <w:pStyle w:val="Normal"/>
        <w:spacing w:after="160"/>
      </w:pPr>
      <w:r>
        <w:rPr>
          <w:sz w:val="22"/>
        </w:rPr>
        <w:t xml:space="preserve">• R03 (Airway Drugs): October and March – bimodal respiratory season</w:t>
      </w:r>
    </w:p>
    <w:p w14:paraId="001000CE" w14:textId="001000CF">
      <w:pPr>
        <w:pStyle w:val="Normal"/>
        <w:spacing w:after="160"/>
      </w:pPr>
      <w:r>
        <w:rPr>
          <w:sz w:val="22"/>
        </w:rPr>
        <w:t xml:space="preserve">• N05B (Anxiolytics): January – post-holiday stress pattern</w:t>
      </w:r>
    </w:p>
    <w:p w14:paraId="001000D0" w14:textId="001000D1">
      <w:pPr>
        <w:pStyle w:val="Normal"/>
        <w:spacing w:after="160"/>
      </w:pPr>
      <w:r>
        <w:rPr>
          <w:sz w:val="22"/>
        </w:rPr>
        <w:t xml:space="preserve">• M01AB / M01AE (Anti-inflammatories): October–November – arthritis/cold season</w:t>
      </w:r>
    </w:p>
    <w:p w14:paraId="001000D2" w14:textId="001000D3">
      <w:pPr>
        <w:pStyle w:val="Normal"/>
        <w:spacing w:after="160"/>
      </w:pPr>
      <w:r>
        <w:rPr>
          <w:sz w:val="22"/>
        </w:rPr>
        <w:t xml:space="preserve">• N02BA (Aspirin): January – cardiovascular prevention season</w:t>
      </w:r>
    </w:p>
    <w:p w14:paraId="001000D4" w14:textId="001000D5">
      <w:pPr>
        <w:pStyle w:val="Normal"/>
        <w:spacing w:after="160"/>
      </w:pPr>
      <w:r>
        <w:rPr>
          <w:sz w:val="22"/>
        </w:rPr>
        <w:t xml:space="preserve">• N05C (Hypnotics): No clear single peak – erratic demand pattern throughout year</w:t>
      </w:r>
    </w:p>
    <w:p w14:paraId="0010034C" w14:textId="0010034D">
      <w:pPr>
        <w:spacing w:line="240" w:lineRule="auto"/>
      </w:pPr>
      <w:r>
        <w:drawing>
          <wp:inline distT="0" distB="0" distL="0" distR="0">
            <wp:extent cx="5400000" cy="3240000"/>
            <wp:effectExtent l="0" t="0" r="0" b="0"/>
            <wp:docPr id="4" name="04_seasonality.png" descr=""/>
            <wp:cNvGraphicFramePr>
              <a:graphicFrameLocks noChangeAspect="1"/>
            </wp:cNvGraphicFramePr>
            <a:graphic>
              <a:graphicData uri="http://schemas.openxmlformats.org/drawingml/2006/picture">
                <pic:pic>
                  <pic:nvPicPr>
                    <pic:cNvPr id="4" name="04_seasonality.png"/>
                    <pic:cNvPicPr/>
                  </pic:nvPicPr>
                  <pic:blipFill>
                    <a:blip r:embed="R2e87d6d244324607" cstate="print"/>
                    <a:stretch>
                      <a:fillRect/>
                    </a:stretch>
                  </pic:blipFill>
                  <pic:spPr>
                    <a:xfrm>
                      <a:off x="0" y="0"/>
                      <a:ext cx="5400000" cy="3240000"/>
                    </a:xfrm>
                    <a:prstGeom prst="rect">
                      <a:avLst/>
                    </a:prstGeom>
                  </pic:spPr>
                </pic:pic>
              </a:graphicData>
            </a:graphic>
          </wp:inline>
        </w:drawing>
      </w:r>
    </w:p>
    <w:p w14:paraId="0010034E" w14:textId="0010034F">
      <w:pPr>
        <w:spacing w:after="200"/>
        <w:jc w:val="center"/>
      </w:pPr>
      <w:r>
        <w:rPr>
          <w:i/>
        </w:rPr>
        <w:t xml:space="preserve">Figure 4 – Monthly Seasonality Profile per Drug. N02BE peaks sharply in October; R06 peaks in spring.</w:t>
      </w:r>
    </w:p>
    <w:p w14:paraId="001000D6" w14:textId="001000D7">
      <w:pPr>
        <w:pStyle w:val="Heading2"/>
        <w:spacing w:after="120"/>
      </w:pPr>
      <w:r>
        <w:rPr>
          <w:b/>
          <w:sz w:val="28"/>
        </w:rPr>
        <w:t xml:space="preserve">6.3 Day-of-Week Patterns</w:t>
      </w:r>
    </w:p>
    <w:p w14:paraId="001000D8" w14:textId="001000D9">
      <w:pPr>
        <w:pStyle w:val="Normal"/>
        <w:spacing w:after="160"/>
      </w:pPr>
      <w:r>
        <w:rPr>
          <w:sz w:val="22"/>
        </w:rPr>
        <w:t xml:space="preserve">Analysis of the daily dataset reveals significantly higher demand on weekdays (Monday–Friday) versus weekends. Saturday shows dramatically reduced sales across all categories. Sunday records near-zero values indicating pharmacy closure or minimal operations. This pattern is critical for staffing and inventory replenishment scheduling.</w:t>
      </w:r>
    </w:p>
    <w:p w14:paraId="00100350" w14:textId="00100351">
      <w:pPr>
        <w:spacing w:line="240" w:lineRule="auto"/>
      </w:pPr>
      <w:r>
        <w:drawing>
          <wp:inline distT="0" distB="0" distL="0" distR="0">
            <wp:extent cx="5040000" cy="2880000"/>
            <wp:effectExtent l="0" t="0" r="0" b="0"/>
            <wp:docPr id="5" name="05_dow_pattern.png" descr=""/>
            <wp:cNvGraphicFramePr>
              <a:graphicFrameLocks noChangeAspect="1"/>
            </wp:cNvGraphicFramePr>
            <a:graphic>
              <a:graphicData uri="http://schemas.openxmlformats.org/drawingml/2006/picture">
                <pic:pic>
                  <pic:nvPicPr>
                    <pic:cNvPr id="5" name="05_dow_pattern.png"/>
                    <pic:cNvPicPr/>
                  </pic:nvPicPr>
                  <pic:blipFill>
                    <a:blip r:embed="R1b623be615c64d6e" cstate="print"/>
                    <a:stretch>
                      <a:fillRect/>
                    </a:stretch>
                  </pic:blipFill>
                  <pic:spPr>
                    <a:xfrm>
                      <a:off x="0" y="0"/>
                      <a:ext cx="5040000" cy="2880000"/>
                    </a:xfrm>
                    <a:prstGeom prst="rect">
                      <a:avLst/>
                    </a:prstGeom>
                  </pic:spPr>
                </pic:pic>
              </a:graphicData>
            </a:graphic>
          </wp:inline>
        </w:drawing>
      </w:r>
    </w:p>
    <w:p w14:paraId="00100352" w14:textId="00100353">
      <w:pPr>
        <w:spacing w:after="200"/>
        <w:jc w:val="center"/>
      </w:pPr>
      <w:r>
        <w:rPr>
          <w:i/>
        </w:rPr>
        <w:t xml:space="preserve">Figure 5 – Average Daily Sales by Day of Week. Weekday demand is significantly higher; Sunday shows near-zero sales.</w:t>
      </w:r>
    </w:p>
    <w:p w14:paraId="001000DA" w14:textId="001000DB">
      <w:pPr>
        <w:pStyle w:val="Heading2"/>
        <w:spacing w:after="120"/>
      </w:pPr>
      <w:r>
        <w:rPr>
          <w:b/>
          <w:sz w:val="28"/>
        </w:rPr>
        <w:t xml:space="preserve">6.4 Intra-Day Hourly Patterns</w:t>
      </w:r>
    </w:p>
    <w:p w14:paraId="001000DC" w14:textId="001000DD">
      <w:pPr>
        <w:pStyle w:val="Normal"/>
        <w:spacing w:after="320"/>
      </w:pPr>
      <w:r>
        <w:rPr>
          <w:sz w:val="22"/>
        </w:rPr>
        <w:t xml:space="preserve">Hourly demand from the 50,532-record hourly dataset shows a bimodal daily profile: a primary morning peak between 10:00–13:00 and a secondary afternoon peak at 16:00–18:00. Demand is minimal before 9:00 and after 19:00. N02BE and N05B show the most pronounced morning peaks. This pattern informs optimal pharmacist shift scheduling and counter stock levels.</w:t>
      </w:r>
    </w:p>
    <w:p w14:paraId="00100354" w14:textId="00100355">
      <w:pPr>
        <w:spacing w:line="240" w:lineRule="auto"/>
      </w:pPr>
      <w:r>
        <w:drawing>
          <wp:inline distT="0" distB="0" distL="0" distR="0">
            <wp:extent cx="5040000" cy="2880000"/>
            <wp:effectExtent l="0" t="0" r="0" b="0"/>
            <wp:docPr id="6" name="06_hourly_pattern.png" descr=""/>
            <wp:cNvGraphicFramePr>
              <a:graphicFrameLocks noChangeAspect="1"/>
            </wp:cNvGraphicFramePr>
            <a:graphic>
              <a:graphicData uri="http://schemas.openxmlformats.org/drawingml/2006/picture">
                <pic:pic>
                  <pic:nvPicPr>
                    <pic:cNvPr id="6" name="06_hourly_pattern.png"/>
                    <pic:cNvPicPr/>
                  </pic:nvPicPr>
                  <pic:blipFill>
                    <a:blip r:embed="Rd9562b58a8644a29" cstate="print"/>
                    <a:stretch>
                      <a:fillRect/>
                    </a:stretch>
                  </pic:blipFill>
                  <pic:spPr>
                    <a:xfrm>
                      <a:off x="0" y="0"/>
                      <a:ext cx="5040000" cy="2880000"/>
                    </a:xfrm>
                    <a:prstGeom prst="rect">
                      <a:avLst/>
                    </a:prstGeom>
                  </pic:spPr>
                </pic:pic>
              </a:graphicData>
            </a:graphic>
          </wp:inline>
        </w:drawing>
      </w:r>
    </w:p>
    <w:p w14:paraId="00100356" w14:textId="00100357">
      <w:pPr>
        <w:spacing w:after="200"/>
        <w:jc w:val="center"/>
      </w:pPr>
      <w:r>
        <w:rPr>
          <w:i/>
        </w:rPr>
        <w:t xml:space="preserve">Figure 6 – Average Hourly Sales Pattern. Bimodal peaks at 10:00–13:00 and 16:00–18:00.</w:t>
      </w:r>
    </w:p>
    <w:p w14:paraId="00100358" w14:textId="00100359">
      <w:pPr>
        <w:spacing w:line="240" w:lineRule="auto"/>
      </w:pPr>
      <w:r>
        <w:drawing>
          <wp:inline distT="0" distB="0" distL="0" distR="0">
            <wp:extent cx="5400000" cy="2520000"/>
            <wp:effectExtent l="0" t="0" r="0" b="0"/>
            <wp:docPr id="7" name="17_weekly_heatmap_n02be.png" descr=""/>
            <wp:cNvGraphicFramePr>
              <a:graphicFrameLocks noChangeAspect="1"/>
            </wp:cNvGraphicFramePr>
            <a:graphic>
              <a:graphicData uri="http://schemas.openxmlformats.org/drawingml/2006/picture">
                <pic:pic>
                  <pic:nvPicPr>
                    <pic:cNvPr id="7" name="17_weekly_heatmap_n02be.png"/>
                    <pic:cNvPicPr/>
                  </pic:nvPicPr>
                  <pic:blipFill>
                    <a:blip r:embed="R9ca6b5a7f13e4b1d" cstate="print"/>
                    <a:stretch>
                      <a:fillRect/>
                    </a:stretch>
                  </pic:blipFill>
                  <pic:spPr>
                    <a:xfrm>
                      <a:off x="0" y="0"/>
                      <a:ext cx="5400000" cy="2520000"/>
                    </a:xfrm>
                    <a:prstGeom prst="rect">
                      <a:avLst/>
                    </a:prstGeom>
                  </pic:spPr>
                </pic:pic>
              </a:graphicData>
            </a:graphic>
          </wp:inline>
        </w:drawing>
      </w:r>
    </w:p>
    <w:p w14:paraId="0010035A" w14:textId="0010035B">
      <w:pPr>
        <w:spacing w:after="200"/>
        <w:jc w:val="center"/>
      </w:pPr>
      <w:r>
        <w:rPr>
          <w:i/>
        </w:rPr>
        <w:t xml:space="preserve">Figure 7 – Weekly Demand Heatmap for N02BE. Shows hour-of-day vs day-of-week demand intensity.</w:t>
      </w:r>
    </w:p>
    <w:p w14:paraId="001000DE" w14:textId="001000DF">
      <w:pPr>
        <w:pStyle w:val="Heading1"/>
        <w:spacing w:after="160"/>
      </w:pPr>
      <w:r>
        <w:rPr>
          <w:b/>
          <w:sz w:val="36"/>
        </w:rPr>
        <w:t xml:space="preserve">7. Anomaly Detection</w:t>
      </w:r>
    </w:p>
    <w:p w14:paraId="001000E0" w14:textId="001000E1">
      <w:pPr>
        <w:pStyle w:val="Normal"/>
        <w:spacing w:after="160"/>
      </w:pPr>
      <w:r>
        <w:rPr>
          <w:sz w:val="22"/>
        </w:rPr>
        <w:t xml:space="preserve">Two complementary anomaly detection methods are applied to identify unusual demand events that may indicate supply shocks, data quality issues, or extraordinary demand events.</w:t>
      </w:r>
    </w:p>
    <w:p w14:paraId="001000E2" w14:textId="001000E3">
      <w:pPr>
        <w:pStyle w:val="Heading2"/>
        <w:spacing w:after="120"/>
      </w:pPr>
      <w:r>
        <w:rPr>
          <w:b/>
          <w:sz w:val="28"/>
        </w:rPr>
        <w:t xml:space="preserve">7.1 Isolation Forest (ML-based, Monthly Data)</w:t>
      </w:r>
    </w:p>
    <w:p w14:paraId="001000E4" w14:textId="001000E5">
      <w:pPr>
        <w:pStyle w:val="Normal"/>
        <w:spacing w:after="160"/>
      </w:pPr>
      <w:r>
        <w:rPr>
          <w:sz w:val="22"/>
        </w:rPr>
        <w:t xml:space="preserve">Isolation Forest was applied to the monthly dataset across all 8 drug dimensions simultaneously, using 5% contamination rate. The algorithm identified 3–4 anomalous months including: October 2014 (N02BE spike at 1,856 units – nearly double the average), January 2019 (M01AE unusually high at 222 units), and several months in 2019 showing overall demand depression. Each anomaly warrants operational investigation.</w:t>
      </w:r>
    </w:p>
    <w:p w14:paraId="0010035C" w14:textId="0010035D">
      <w:pPr>
        <w:spacing w:line="240" w:lineRule="auto"/>
      </w:pPr>
      <w:r>
        <w:drawing>
          <wp:inline distT="0" distB="0" distL="0" distR="0">
            <wp:extent cx="5400000" cy="3240000"/>
            <wp:effectExtent l="0" t="0" r="0" b="0"/>
            <wp:docPr id="8" name="08_anomaly_n02be.png" descr=""/>
            <wp:cNvGraphicFramePr>
              <a:graphicFrameLocks noChangeAspect="1"/>
            </wp:cNvGraphicFramePr>
            <a:graphic>
              <a:graphicData uri="http://schemas.openxmlformats.org/drawingml/2006/picture">
                <pic:pic>
                  <pic:nvPicPr>
                    <pic:cNvPr id="8" name="08_anomaly_n02be.png"/>
                    <pic:cNvPicPr/>
                  </pic:nvPicPr>
                  <pic:blipFill>
                    <a:blip r:embed="Ra7d15c48b023435e" cstate="print"/>
                    <a:stretch>
                      <a:fillRect/>
                    </a:stretch>
                  </pic:blipFill>
                  <pic:spPr>
                    <a:xfrm>
                      <a:off x="0" y="0"/>
                      <a:ext cx="5400000" cy="3240000"/>
                    </a:xfrm>
                    <a:prstGeom prst="rect">
                      <a:avLst/>
                    </a:prstGeom>
                  </pic:spPr>
                </pic:pic>
              </a:graphicData>
            </a:graphic>
          </wp:inline>
        </w:drawing>
      </w:r>
    </w:p>
    <w:p w14:paraId="0010035E" w14:textId="0010035F">
      <w:pPr>
        <w:spacing w:after="200"/>
        <w:jc w:val="center"/>
      </w:pPr>
      <w:r>
        <w:rPr>
          <w:i/>
        </w:rPr>
        <w:t xml:space="preserve">Figure 8 – N02BE Monthly Sales with Isolation Forest Anomaly Flags. Red markers = anomalous months detected by ML.</w:t>
      </w:r>
    </w:p>
    <w:p w14:paraId="001000E6" w14:textId="001000E7">
      <w:pPr>
        <w:pStyle w:val="Heading2"/>
        <w:spacing w:after="120"/>
      </w:pPr>
      <w:r>
        <w:rPr>
          <w:b/>
          <w:sz w:val="28"/>
        </w:rPr>
        <w:t xml:space="preserve">7.2 Z-Score Analysis (Statistical, Daily Data)</w:t>
      </w:r>
    </w:p>
    <w:p w14:paraId="001000E8" w14:textId="001000E9">
      <w:pPr>
        <w:pStyle w:val="Normal"/>
        <w:spacing w:after="320"/>
      </w:pPr>
      <w:r>
        <w:rPr>
          <w:sz w:val="22"/>
        </w:rPr>
        <w:t xml:space="preserve">A 3-sigma Z-score threshold was applied to daily total sales (sum of all 8 drugs). Days where |Z| &gt; 3 were flagged as statistical outliers. The analysis revealed that extreme demand days are clustered around specific weekdays (typically mid-week) during October and January, consistent with seasonal demand spikes. Zero-sales days (Sundays/holidays) are excluded by pre-processing.</w:t>
      </w:r>
    </w:p>
    <w:p w14:paraId="00100360" w14:textId="00100361">
      <w:pPr>
        <w:spacing w:line="240" w:lineRule="auto"/>
      </w:pPr>
      <w:r>
        <w:drawing>
          <wp:inline distT="0" distB="0" distL="0" distR="0">
            <wp:extent cx="5400000" cy="3240000"/>
            <wp:effectExtent l="0" t="0" r="0" b="0"/>
            <wp:docPr id="9" name="09_zscore_anomalies.png" descr=""/>
            <wp:cNvGraphicFramePr>
              <a:graphicFrameLocks noChangeAspect="1"/>
            </wp:cNvGraphicFramePr>
            <a:graphic>
              <a:graphicData uri="http://schemas.openxmlformats.org/drawingml/2006/picture">
                <pic:pic>
                  <pic:nvPicPr>
                    <pic:cNvPr id="9" name="09_zscore_anomalies.png"/>
                    <pic:cNvPicPr/>
                  </pic:nvPicPr>
                  <pic:blipFill>
                    <a:blip r:embed="R402b7a61ad1a49fe" cstate="print"/>
                    <a:stretch>
                      <a:fillRect/>
                    </a:stretch>
                  </pic:blipFill>
                  <pic:spPr>
                    <a:xfrm>
                      <a:off x="0" y="0"/>
                      <a:ext cx="5400000" cy="3240000"/>
                    </a:xfrm>
                    <a:prstGeom prst="rect">
                      <a:avLst/>
                    </a:prstGeom>
                  </pic:spPr>
                </pic:pic>
              </a:graphicData>
            </a:graphic>
          </wp:inline>
        </w:drawing>
      </w:r>
    </w:p>
    <w:p w14:paraId="00100362" w14:textId="00100363">
      <w:pPr>
        <w:spacing w:after="200"/>
        <w:jc w:val="center"/>
      </w:pPr>
      <w:r>
        <w:rPr>
          <w:i/>
        </w:rPr>
        <w:t xml:space="preserve">Figure 9 – Z-Score Anomaly Detection on Daily Sales. Days with |Z|&gt;3 flagged; 15 outlier days identified across the dataset.</w:t>
      </w:r>
    </w:p>
    <w:p w14:paraId="001000EA" w14:textId="001000EB">
      <w:pPr>
        <w:pStyle w:val="Heading1"/>
        <w:spacing w:after="160"/>
      </w:pPr>
      <w:r>
        <w:rPr>
          <w:b/>
          <w:sz w:val="36"/>
        </w:rPr>
        <w:t xml:space="preserve">8. Demand Forecasting</w:t>
      </w:r>
    </w:p>
    <w:p w14:paraId="001000EC" w14:textId="001000ED">
      <w:pPr>
        <w:pStyle w:val="Heading2"/>
        <w:spacing w:after="120"/>
      </w:pPr>
      <w:r>
        <w:rPr>
          <w:b/>
          <w:sz w:val="28"/>
        </w:rPr>
        <w:t xml:space="preserve">8.1 Methodology</w:t>
      </w:r>
    </w:p>
    <w:p w14:paraId="001000EE" w14:textId="001000EF">
      <w:pPr>
        <w:pStyle w:val="Normal"/>
        <w:spacing w:after="160"/>
      </w:pPr>
      <w:r>
        <w:rPr>
          <w:sz w:val="22"/>
        </w:rPr>
        <w:t xml:space="preserve">Linear regression trend models are applied to each drug's monthly time series, with the final 6 months held out as the test set. Mean Absolute Error (MAE) is the primary evaluation metric. Rolling 3-month and 6-month moving averages provide smoothed trend signals. A 6-month forward projection is generated for each drug from the last known data point.</w:t>
      </w:r>
    </w:p>
    <w:p w14:paraId="00100364" w14:textId="00100365">
      <w:pPr>
        <w:spacing w:line="240" w:lineRule="auto"/>
      </w:pPr>
      <w:r>
        <w:drawing>
          <wp:inline distT="0" distB="0" distL="0" distR="0">
            <wp:extent cx="5400000" cy="3240000"/>
            <wp:effectExtent l="0" t="0" r="0" b="0"/>
            <wp:docPr id="10" name="11_moving_average_n02be.png" descr=""/>
            <wp:cNvGraphicFramePr>
              <a:graphicFrameLocks noChangeAspect="1"/>
            </wp:cNvGraphicFramePr>
            <a:graphic>
              <a:graphicData uri="http://schemas.openxmlformats.org/drawingml/2006/picture">
                <pic:pic>
                  <pic:nvPicPr>
                    <pic:cNvPr id="10" name="11_moving_average_n02be.png"/>
                    <pic:cNvPicPr/>
                  </pic:nvPicPr>
                  <pic:blipFill>
                    <a:blip r:embed="Rdfa28f8f33be4f82" cstate="print"/>
                    <a:stretch>
                      <a:fillRect/>
                    </a:stretch>
                  </pic:blipFill>
                  <pic:spPr>
                    <a:xfrm>
                      <a:off x="0" y="0"/>
                      <a:ext cx="5400000" cy="3240000"/>
                    </a:xfrm>
                    <a:prstGeom prst="rect">
                      <a:avLst/>
                    </a:prstGeom>
                  </pic:spPr>
                </pic:pic>
              </a:graphicData>
            </a:graphic>
          </wp:inline>
        </w:drawing>
      </w:r>
    </w:p>
    <w:p w14:paraId="00100366" w14:textId="00100367">
      <w:pPr>
        <w:spacing w:after="200"/>
        <w:jc w:val="center"/>
      </w:pPr>
      <w:r>
        <w:rPr>
          <w:i/>
        </w:rPr>
        <w:t xml:space="preserve">Figure 10 – N02BE Moving Average (3-month &amp; 6-month). Smoothed trend lines reveal underlying demand trajectory.</w:t>
      </w:r>
    </w:p>
    <w:p w14:paraId="001000F0" w14:textId="001000F1">
      <w:pPr>
        <w:pStyle w:val="Heading2"/>
        <w:spacing w:after="120"/>
      </w:pPr>
      <w:r>
        <w:rPr>
          <w:b/>
          <w:sz w:val="28"/>
        </w:rPr>
        <w:t xml:space="preserve">8.2 Key Forecasting Findings</w:t>
      </w:r>
    </w:p>
    <w:p w14:paraId="001000F2" w14:textId="001000F3">
      <w:pPr>
        <w:pStyle w:val="Normal"/>
        <w:spacing w:after="320"/>
      </w:pPr>
      <w:r>
        <w:rPr>
          <w:sz w:val="22"/>
        </w:rPr>
        <w:t xml:space="preserve">• N02BE: Linear trend shows moderate upward slope. October seasonality creates significant forecast variance. Recommend SARIMA for production use.</w:t>
      </w:r>
    </w:p>
    <w:p w14:paraId="001000F4" w14:textId="001000F5">
      <w:pPr>
        <w:pStyle w:val="Normal"/>
        <w:spacing w:after="320"/>
      </w:pPr>
      <w:r>
        <w:rPr>
          <w:sz w:val="22"/>
        </w:rPr>
        <w:t xml:space="preserve">• M01AB / M01AE: Both show positive trend slopes with low MAE on the test set, making linear models appropriate baselines.</w:t>
      </w:r>
    </w:p>
    <w:p w14:paraId="001000F6" w14:textId="001000F7">
      <w:pPr>
        <w:pStyle w:val="Normal"/>
        <w:spacing w:after="320"/>
      </w:pPr>
      <w:r>
        <w:rPr>
          <w:sz w:val="22"/>
        </w:rPr>
        <w:t xml:space="preserve">• N05B: Upward trend confirmed (slope ~+1.2 units/month), reflecting growing anxiolytic demand.</w:t>
      </w:r>
    </w:p>
    <w:p w14:paraId="001000F8" w14:textId="001000F9">
      <w:pPr>
        <w:pStyle w:val="Normal"/>
        <w:spacing w:after="320"/>
      </w:pPr>
      <w:r>
        <w:rPr>
          <w:sz w:val="22"/>
        </w:rPr>
        <w:t xml:space="preserve">• N05C / N02BA: Flat-to-declining trends. Linear model captures declining trajectory well.</w:t>
      </w:r>
    </w:p>
    <w:p w14:paraId="001000FA" w14:textId="001000FB">
      <w:pPr>
        <w:pStyle w:val="Normal"/>
        <w:spacing w:after="320"/>
      </w:pPr>
      <w:r>
        <w:rPr>
          <w:sz w:val="22"/>
        </w:rPr>
        <w:t xml:space="preserve">• R06: High seasonal variance makes linear trend models less reliable; seasonal decomposition recommended.</w:t>
      </w:r>
    </w:p>
    <w:p w14:paraId="001000FC" w14:textId="001000FD">
      <w:pPr>
        <w:pStyle w:val="Normal"/>
        <w:spacing w:after="320"/>
      </w:pPr>
      <w:r>
        <w:rPr>
          <w:sz w:val="22"/>
        </w:rPr>
        <w:t xml:space="preserve">• R03: Bimodal seasonal pattern confirmed. Linear trend alone insufficient; seasonal model needed.</w:t>
      </w:r>
    </w:p>
    <w:p w14:paraId="001000FE" w14:textId="001000FF">
      <w:pPr>
        <w:pStyle w:val="Heading1"/>
        <w:spacing w:after="160"/>
      </w:pPr>
      <w:r>
        <w:rPr>
          <w:b/>
          <w:sz w:val="36"/>
        </w:rPr>
        <w:t xml:space="preserve">9. Risk Analysis</w:t>
      </w:r>
    </w:p>
    <w:p w14:paraId="00100368" w14:textId="00100369">
      <w:pPr>
        <w:spacing w:line="240" w:lineRule="auto"/>
      </w:pPr>
      <w:r>
        <w:drawing>
          <wp:inline distT="0" distB="0" distL="0" distR="0">
            <wp:extent cx="5400000" cy="3600000"/>
            <wp:effectExtent l="0" t="0" r="0" b="0"/>
            <wp:docPr id="11" name="10_forecast_all_drugs.png" descr=""/>
            <wp:cNvGraphicFramePr>
              <a:graphicFrameLocks noChangeAspect="1"/>
            </wp:cNvGraphicFramePr>
            <a:graphic>
              <a:graphicData uri="http://schemas.openxmlformats.org/drawingml/2006/picture">
                <pic:pic>
                  <pic:nvPicPr>
                    <pic:cNvPr id="11" name="10_forecast_all_drugs.png"/>
                    <pic:cNvPicPr/>
                  </pic:nvPicPr>
                  <pic:blipFill>
                    <a:blip r:embed="Rbbf79f869d7745cc" cstate="print"/>
                    <a:stretch>
                      <a:fillRect/>
                    </a:stretch>
                  </pic:blipFill>
                  <pic:spPr>
                    <a:xfrm>
                      <a:off x="0" y="0"/>
                      <a:ext cx="5400000" cy="3600000"/>
                    </a:xfrm>
                    <a:prstGeom prst="rect">
                      <a:avLst/>
                    </a:prstGeom>
                  </pic:spPr>
                </pic:pic>
              </a:graphicData>
            </a:graphic>
          </wp:inline>
        </w:drawing>
      </w:r>
    </w:p>
    <w:p w14:paraId="0010036A" w14:textId="0010036B">
      <w:pPr>
        <w:spacing w:after="200"/>
        <w:jc w:val="center"/>
      </w:pPr>
      <w:r>
        <w:rPr>
          <w:i/>
        </w:rPr>
        <w:t xml:space="preserve">Figure 11 – 6-Month Demand Forecast for All Drug Categories (Linear Trend). Shaded regions indicate the 6-month holdout test period.</w:t>
      </w:r>
    </w:p>
    <w:p w14:paraId="00100100" w14:textId="00100101">
      <w:pPr>
        <w:pStyle w:val="Heading2"/>
        <w:spacing w:after="120"/>
      </w:pPr>
      <w:r>
        <w:rPr>
          <w:b/>
          <w:sz w:val="28"/>
        </w:rPr>
        <w:t xml:space="preserve">9.1 Supply Chain Risk – Coefficient of Variation</w:t>
      </w:r>
    </w:p>
    <w:p w14:paraId="00100102" w14:textId="00100103">
      <w:pPr>
        <w:pStyle w:val="Normal"/>
        <w:spacing w:after="160"/>
      </w:pPr>
      <w:r>
        <w:rPr>
          <w:sz w:val="22"/>
        </w:rPr>
        <w:t xml:space="preserve">The Coefficient of Variation (CV = std/mean × 100%) quantifies demand unpredictability. Higher CV indicates higher supply chain risk due to demand uncertainty.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4" w14:textId="00100105">
            <w:r>
              <w:t xml:space="preserve">Drug</w:t>
            </w:r>
          </w:p>
        </w:tc>
        <w:tc>
          <w:p w14:paraId="00100106" w14:textId="00100107">
            <w:r>
              <w:t xml:space="preserve">CV (%)</w:t>
            </w:r>
          </w:p>
        </w:tc>
        <w:tc>
          <w:p w14:paraId="00100108" w14:textId="00100109">
            <w:r>
              <w:t xml:space="preserve">Risk Level</w:t>
            </w:r>
          </w:p>
        </w:tc>
      </w:tr>
      <w:tr>
        <w:trPr/>
        <w:tc>
          <w:p w14:paraId="0010010A" w14:textId="0010010B">
            <w:r>
              <w:t xml:space="preserve">R06 (Antihistamines)</w:t>
            </w:r>
          </w:p>
        </w:tc>
        <w:tc>
          <w:p w14:paraId="0010010C" w14:textId="0010010D">
            <w:r>
              <w:t xml:space="preserve">52.9%</w:t>
            </w:r>
          </w:p>
        </w:tc>
        <w:tc>
          <w:p w14:paraId="0010010E" w14:textId="0010010F">
            <w:r>
              <w:t xml:space="preserve">HIGH – Pre-season stock buildup needed</w:t>
            </w:r>
          </w:p>
        </w:tc>
      </w:tr>
      <w:tr>
        <w:trPr/>
        <w:tc>
          <w:p w14:paraId="00100110" w14:textId="00100111">
            <w:r>
              <w:t xml:space="preserve">R03 (Airway Drugs)</w:t>
            </w:r>
          </w:p>
        </w:tc>
        <w:tc>
          <w:p w14:paraId="00100112" w14:textId="00100113">
            <w:r>
              <w:t xml:space="preserve">48.8%</w:t>
            </w:r>
          </w:p>
        </w:tc>
        <w:tc>
          <w:p w14:paraId="00100114" w14:textId="00100115">
            <w:r>
              <w:t xml:space="preserve">HIGH – Bimodal season planning required</w:t>
            </w:r>
          </w:p>
        </w:tc>
      </w:tr>
      <w:tr>
        <w:trPr/>
        <w:tc>
          <w:p w14:paraId="00100116" w14:textId="00100117">
            <w:r>
              <w:t xml:space="preserve">N05C (Hypnotics)</w:t>
            </w:r>
          </w:p>
        </w:tc>
        <w:tc>
          <w:p w14:paraId="00100118" w14:textId="00100119">
            <w:r>
              <w:t xml:space="preserve">47.5%</w:t>
            </w:r>
          </w:p>
        </w:tc>
        <w:tc>
          <w:p w14:paraId="0010011A" w14:textId="0010011B">
            <w:r>
              <w:t xml:space="preserve">HIGH – Just-In-Time ordering recommended</w:t>
            </w:r>
          </w:p>
        </w:tc>
      </w:tr>
      <w:tr>
        <w:trPr/>
        <w:tc>
          <w:p w14:paraId="0010011C" w14:textId="0010011D">
            <w:r>
              <w:t xml:space="preserve">N02BE (Paracetamol)</w:t>
            </w:r>
          </w:p>
        </w:tc>
        <w:tc>
          <w:p w14:paraId="0010011E" w14:textId="0010011F">
            <w:r>
              <w:t xml:space="preserve">38.0%</w:t>
            </w:r>
          </w:p>
        </w:tc>
        <w:tc>
          <w:p w14:paraId="00100120" w14:textId="00100121">
            <w:r>
              <w:t xml:space="preserve">HIGH – September pre-stock required</w:t>
            </w:r>
          </w:p>
        </w:tc>
      </w:tr>
      <w:tr>
        <w:trPr/>
        <w:tc>
          <w:p w14:paraId="00100122" w14:textId="00100123">
            <w:r>
              <w:t xml:space="preserve">N05B (Anxiolytics)</w:t>
            </w:r>
          </w:p>
        </w:tc>
        <w:tc>
          <w:p w14:paraId="00100124" w14:textId="00100125">
            <w:r>
              <w:t xml:space="preserve">32.5%</w:t>
            </w:r>
          </w:p>
        </w:tc>
        <w:tc>
          <w:p w14:paraId="00100126" w14:textId="00100127">
            <w:r>
              <w:t xml:space="preserve">HIGH – 2-month safety stock</w:t>
            </w:r>
          </w:p>
        </w:tc>
      </w:tr>
      <w:tr>
        <w:trPr/>
        <w:tc>
          <w:p w14:paraId="00100128" w14:textId="00100129">
            <w:r>
              <w:t xml:space="preserve">N02BA (Aspirin)</w:t>
            </w:r>
          </w:p>
        </w:tc>
        <w:tc>
          <w:p w14:paraId="0010012A" w14:textId="0010012B">
            <w:r>
              <w:t xml:space="preserve">27.2%</w:t>
            </w:r>
          </w:p>
        </w:tc>
        <w:tc>
          <w:p w14:paraId="0010012C" w14:textId="0010012D">
            <w:r>
              <w:t xml:space="preserve">MEDIUM – Declining trend, reduce orders</w:t>
            </w:r>
          </w:p>
        </w:tc>
      </w:tr>
      <w:tr>
        <w:trPr/>
        <w:tc>
          <w:p w14:paraId="0010012E" w14:textId="0010012F">
            <w:r>
              <w:t xml:space="preserve">M01AE (Ibuprofen)</w:t>
            </w:r>
          </w:p>
        </w:tc>
        <w:tc>
          <w:p w14:paraId="00100130" w14:textId="00100131">
            <w:r>
              <w:t xml:space="preserve">23.9%</w:t>
            </w:r>
          </w:p>
        </w:tc>
        <w:tc>
          <w:p w14:paraId="00100132" w14:textId="00100133">
            <w:r>
              <w:t xml:space="preserve">MEDIUM – Steady demand, moderate risk</w:t>
            </w:r>
          </w:p>
        </w:tc>
      </w:tr>
      <w:tr>
        <w:trPr/>
        <w:tc>
          <w:p w14:paraId="00100134" w14:textId="00100135">
            <w:r>
              <w:t xml:space="preserve">M01AB (Anti-inflammatory)</w:t>
            </w:r>
          </w:p>
        </w:tc>
        <w:tc>
          <w:p w14:paraId="00100136" w14:textId="00100137">
            <w:r>
              <w:t xml:space="preserve">21.0%</w:t>
            </w:r>
          </w:p>
        </w:tc>
        <w:tc>
          <w:p w14:paraId="00100138" w14:textId="00100139">
            <w:r>
              <w:t xml:space="preserve">MEDIUM – Most predictable, growing steadily</w:t>
            </w:r>
          </w:p>
        </w:tc>
      </w:tr>
    </w:tbl>
    <w:p w14:paraId="0010036C" w14:textId="0010036D">
      <w:pPr>
        <w:spacing w:line="240" w:lineRule="auto"/>
      </w:pPr>
      <w:r>
        <w:drawing>
          <wp:inline distT="0" distB="0" distL="0" distR="0">
            <wp:extent cx="5040000" cy="3240000"/>
            <wp:effectExtent l="0" t="0" r="0" b="0"/>
            <wp:docPr id="12" name="12_risk_cv.png" descr=""/>
            <wp:cNvGraphicFramePr>
              <a:graphicFrameLocks noChangeAspect="1"/>
            </wp:cNvGraphicFramePr>
            <a:graphic>
              <a:graphicData uri="http://schemas.openxmlformats.org/drawingml/2006/picture">
                <pic:pic>
                  <pic:nvPicPr>
                    <pic:cNvPr id="12" name="12_risk_cv.png"/>
                    <pic:cNvPicPr/>
                  </pic:nvPicPr>
                  <pic:blipFill>
                    <a:blip r:embed="R851aa717ea9a41b9" cstate="print"/>
                    <a:stretch>
                      <a:fillRect/>
                    </a:stretch>
                  </pic:blipFill>
                  <pic:spPr>
                    <a:xfrm>
                      <a:off x="0" y="0"/>
                      <a:ext cx="5040000" cy="3240000"/>
                    </a:xfrm>
                    <a:prstGeom prst="rect">
                      <a:avLst/>
                    </a:prstGeom>
                  </pic:spPr>
                </pic:pic>
              </a:graphicData>
            </a:graphic>
          </wp:inline>
        </w:drawing>
      </w:r>
    </w:p>
    <w:p w14:paraId="0010036E" w14:textId="0010036F">
      <w:pPr>
        <w:spacing w:after="200"/>
        <w:jc w:val="center"/>
      </w:pPr>
      <w:r>
        <w:rPr>
          <w:i/>
        </w:rPr>
        <w:t xml:space="preserve">Figure 12 – Supply Chain Risk by Coefficient of Variation. HIGH risk (CV&gt;30%): R06, R03, N05C, N02BE, N05B.</w:t>
      </w:r>
    </w:p>
    <w:p w14:paraId="0010013A" w14:textId="0010013B">
      <w:pPr>
        <w:pStyle w:val="Heading2"/>
        <w:spacing w:before="160" w:after="120"/>
      </w:pPr>
      <w:r>
        <w:rPr>
          <w:b/>
          <w:sz w:val="28"/>
        </w:rPr>
        <w:t xml:space="preserve">9.2 Demand Correlation Risk</w:t>
      </w:r>
    </w:p>
    <w:p w14:paraId="0010013C" w14:textId="0010013D">
      <w:pPr>
        <w:pStyle w:val="Normal"/>
        <w:spacing w:after="320"/>
      </w:pPr>
      <w:r>
        <w:rPr>
          <w:sz w:val="22"/>
        </w:rPr>
        <w:t xml:space="preserve">Pearson correlation analysis reveals moderate-to-strong positive correlations between M01AB and M01AE (anti-inflammatory group), suggesting concurrent demand spikes. This compounds supply risk: if both are sourced from the same supplier or distribution chain, a disruption will affect multiple categories simultaneously. Recommended mitigation: dual-source supplier strategy for the M01 group.</w:t>
      </w:r>
    </w:p>
    <w:p w14:paraId="00100370" w14:textId="00100371">
      <w:pPr>
        <w:spacing w:line="240" w:lineRule="auto"/>
      </w:pPr>
      <w:r>
        <w:drawing>
          <wp:inline distT="0" distB="0" distL="0" distR="0">
            <wp:extent cx="4680000" cy="3960000"/>
            <wp:effectExtent l="0" t="0" r="0" b="0"/>
            <wp:docPr id="13" name="07_correlation.png" descr=""/>
            <wp:cNvGraphicFramePr>
              <a:graphicFrameLocks noChangeAspect="1"/>
            </wp:cNvGraphicFramePr>
            <a:graphic>
              <a:graphicData uri="http://schemas.openxmlformats.org/drawingml/2006/picture">
                <pic:pic>
                  <pic:nvPicPr>
                    <pic:cNvPr id="13" name="07_correlation.png"/>
                    <pic:cNvPicPr/>
                  </pic:nvPicPr>
                  <pic:blipFill>
                    <a:blip r:embed="R49def57525ac4acf" cstate="print"/>
                    <a:stretch>
                      <a:fillRect/>
                    </a:stretch>
                  </pic:blipFill>
                  <pic:spPr>
                    <a:xfrm>
                      <a:off x="0" y="0"/>
                      <a:ext cx="4680000" cy="3960000"/>
                    </a:xfrm>
                    <a:prstGeom prst="rect">
                      <a:avLst/>
                    </a:prstGeom>
                  </pic:spPr>
                </pic:pic>
              </a:graphicData>
            </a:graphic>
          </wp:inline>
        </w:drawing>
      </w:r>
    </w:p>
    <w:p w14:paraId="00100372" w14:textId="00100373">
      <w:pPr>
        <w:spacing w:after="200"/>
        <w:jc w:val="center"/>
      </w:pPr>
      <w:r>
        <w:rPr>
          <w:i/>
        </w:rPr>
        <w:t xml:space="preserve">Figure 13 – Drug Demand Correlation Matrix. Strong M01AB–M01AE correlation (compound supply risk).</w:t>
      </w:r>
    </w:p>
    <w:p w14:paraId="0010013E" w14:textId="0010013F">
      <w:pPr>
        <w:pStyle w:val="Heading1"/>
        <w:spacing w:after="160"/>
      </w:pPr>
      <w:r>
        <w:rPr>
          <w:b/>
          <w:sz w:val="36"/>
        </w:rPr>
        <w:t xml:space="preserve">10. Opportunity Analysis</w:t>
      </w:r>
    </w:p>
    <w:p w14:paraId="00100140" w14:textId="00100141">
      <w:pPr>
        <w:pStyle w:val="Normal"/>
        <w:spacing w:after="160"/>
      </w:pPr>
      <w:r>
        <w:rPr>
          <w:sz w:val="22"/>
        </w:rPr>
        <w:t xml:space="preserve">Growth analysis comparing 2014 average monthly sales to 2018 average monthly sales reveals clear winners and losers within the drug portfolio:</w:t>
      </w:r>
    </w:p>
    <w:p w14:paraId="00100142" w14:textId="00100143">
      <w:pPr>
        <w:pStyle w:val="Normal"/>
        <w:spacing w:after="320"/>
      </w:pPr>
      <w:r>
        <w:rPr>
          <w:sz w:val="22"/>
        </w:rPr>
        <w:t xml:space="preserve">Growth Leaders (2014–2018):</w:t>
      </w:r>
    </w:p>
    <w:p w14:paraId="00100144" w14:textId="00100145">
      <w:pPr>
        <w:pStyle w:val="Normal"/>
        <w:spacing w:after="320"/>
      </w:pPr>
      <w:r>
        <w:rPr>
          <w:sz w:val="22"/>
        </w:rPr>
        <w:t xml:space="preserve">• R03 (Airway Drugs): +73% growth – strongest performing category. Expand procurement and supplier relationships.</w:t>
      </w:r>
    </w:p>
    <w:p w14:paraId="00100146" w14:textId="00100147">
      <w:pPr>
        <w:pStyle w:val="Normal"/>
        <w:spacing w:after="320"/>
      </w:pPr>
      <w:r>
        <w:rPr>
          <w:sz w:val="22"/>
        </w:rPr>
        <w:t xml:space="preserve">• M01AB (Anti-inflammatories): +32% – consistent demand growth. Increase shelf space and inventory.</w:t>
      </w:r>
    </w:p>
    <w:p w14:paraId="00100148" w14:textId="00100149">
      <w:pPr>
        <w:pStyle w:val="Normal"/>
        <w:spacing w:after="320"/>
      </w:pPr>
      <w:r>
        <w:rPr>
          <w:sz w:val="22"/>
        </w:rPr>
        <w:t xml:space="preserve">• M01AE (Ibuprofen): +18% – steady grower. Maintain contract pricing and volumes.</w:t>
      </w:r>
    </w:p>
    <w:p w14:paraId="0010014A" w14:textId="0010014B">
      <w:pPr>
        <w:pStyle w:val="Normal"/>
        <w:spacing w:after="320"/>
      </w:pPr>
      <w:r>
        <w:rPr>
          <w:sz w:val="22"/>
        </w:rPr>
        <w:t xml:space="preserve">• N05B (Anxiolytics): +10–15% – secular upward trend in mental health medication demand.</w:t>
      </w:r>
    </w:p>
    <w:p w14:paraId="0010014C" w14:textId="0010014D">
      <w:pPr>
        <w:pStyle w:val="Normal"/>
        <w:spacing w:after="320"/>
      </w:pPr>
      <w:r>
        <w:rPr>
          <w:sz w:val="22"/>
        </w:rPr>
        <w:t xml:space="preserve"/>
      </w:r>
    </w:p>
    <w:p w14:paraId="0010014E" w14:textId="0010014F">
      <w:pPr>
        <w:pStyle w:val="Normal"/>
        <w:spacing w:after="320"/>
      </w:pPr>
      <w:r>
        <w:rPr>
          <w:sz w:val="22"/>
        </w:rPr>
        <w:t xml:space="preserve">Declining Categories:</w:t>
      </w:r>
    </w:p>
    <w:p w14:paraId="00100150" w14:textId="00100151">
      <w:pPr>
        <w:pStyle w:val="Normal"/>
        <w:spacing w:after="320"/>
      </w:pPr>
      <w:r>
        <w:rPr>
          <w:sz w:val="22"/>
        </w:rPr>
        <w:t xml:space="preserve">• N02BA (Aspirin): -20% to -25% – consistent decline, likely substitution by paracetamol. Gradually reduce standing orders.</w:t>
      </w:r>
    </w:p>
    <w:p w14:paraId="00100152" w14:textId="00100153">
      <w:pPr>
        <w:pStyle w:val="Normal"/>
        <w:spacing w:after="320"/>
      </w:pPr>
      <w:r>
        <w:rPr>
          <w:sz w:val="22"/>
        </w:rPr>
        <w:t xml:space="preserve">• N02BE (Paracetamol): Flat-to-moderate growth overall, but very high peak demand in October creates procurement windows.</w:t>
      </w:r>
    </w:p>
    <w:p w14:paraId="00100154" w14:textId="00100155">
      <w:pPr>
        <w:pStyle w:val="Normal"/>
        <w:spacing w:after="320"/>
      </w:pPr>
      <w:r>
        <w:rPr>
          <w:sz w:val="22"/>
        </w:rPr>
        <w:t xml:space="preserve"/>
      </w:r>
    </w:p>
    <w:p w14:paraId="00100156" w14:textId="00100157">
      <w:pPr>
        <w:pStyle w:val="Normal"/>
        <w:spacing w:after="320"/>
      </w:pPr>
      <w:r>
        <w:rPr>
          <w:sz w:val="22"/>
        </w:rPr>
        <w:t xml:space="preserve">K-Means Clustering Result:</w:t>
      </w:r>
    </w:p>
    <w:p w14:paraId="00100158" w14:textId="00100159">
      <w:pPr>
        <w:pStyle w:val="Normal"/>
        <w:spacing w:after="320"/>
      </w:pPr>
      <w:r>
        <w:rPr>
          <w:sz w:val="22"/>
        </w:rPr>
        <w:t xml:space="preserve">Drug demand profiles cluster into three groups:</w:t>
      </w:r>
    </w:p>
    <w:p w14:paraId="0010015A" w14:textId="0010015B">
      <w:pPr>
        <w:pStyle w:val="Normal"/>
        <w:spacing w:after="320"/>
      </w:pPr>
      <w:r>
        <w:rPr>
          <w:sz w:val="22"/>
        </w:rPr>
        <w:t xml:space="preserve">• Cluster A – High-volume, seasonal spike: N02BE, N05B</w:t>
      </w:r>
    </w:p>
    <w:p w14:paraId="0010015C" w14:textId="0010015D">
      <w:pPr>
        <w:pStyle w:val="Normal"/>
        <w:spacing w:after="320"/>
      </w:pPr>
      <w:r>
        <w:rPr>
          <w:sz w:val="22"/>
        </w:rPr>
        <w:t xml:space="preserve">• Cluster B – Steady moderate demand: M01AB, M01AE, N02BA</w:t>
      </w:r>
    </w:p>
    <w:p w14:paraId="0010015E" w14:textId="0010015F">
      <w:pPr>
        <w:pStyle w:val="Normal"/>
        <w:spacing w:after="320"/>
      </w:pPr>
      <w:r>
        <w:rPr>
          <w:sz w:val="22"/>
        </w:rPr>
        <w:t xml:space="preserve">• Cluster C – Low-volume, erratic: N05C, R03, R06</w:t>
      </w:r>
    </w:p>
    <w:p w14:paraId="00100374" w14:textId="00100375">
      <w:pPr>
        <w:spacing w:line="240" w:lineRule="auto"/>
      </w:pPr>
      <w:r>
        <w:drawing>
          <wp:inline distT="0" distB="0" distL="0" distR="0">
            <wp:extent cx="5400000" cy="3240000"/>
            <wp:effectExtent l="0" t="0" r="0" b="0"/>
            <wp:docPr id="14" name="13_yoy_growth.png" descr=""/>
            <wp:cNvGraphicFramePr>
              <a:graphicFrameLocks noChangeAspect="1"/>
            </wp:cNvGraphicFramePr>
            <a:graphic>
              <a:graphicData uri="http://schemas.openxmlformats.org/drawingml/2006/picture">
                <pic:pic>
                  <pic:nvPicPr>
                    <pic:cNvPr id="14" name="13_yoy_growth.png"/>
                    <pic:cNvPicPr/>
                  </pic:nvPicPr>
                  <pic:blipFill>
                    <a:blip r:embed="R1e0156c58a6d4719" cstate="print"/>
                    <a:stretch>
                      <a:fillRect/>
                    </a:stretch>
                  </pic:blipFill>
                  <pic:spPr>
                    <a:xfrm>
                      <a:off x="0" y="0"/>
                      <a:ext cx="5400000" cy="3240000"/>
                    </a:xfrm>
                    <a:prstGeom prst="rect">
                      <a:avLst/>
                    </a:prstGeom>
                  </pic:spPr>
                </pic:pic>
              </a:graphicData>
            </a:graphic>
          </wp:inline>
        </w:drawing>
      </w:r>
    </w:p>
    <w:p w14:paraId="00100376" w14:textId="00100377">
      <w:pPr>
        <w:spacing w:after="160"/>
        <w:jc w:val="center"/>
      </w:pPr>
      <w:r>
        <w:rPr>
          <w:i/>
        </w:rPr>
        <w:t xml:space="preserve">Figure 14 – Year-on-Year Growth Rates by Drug Category. 2017 saw overall decline (data gap); 2018 showed strong recovery.</w:t>
      </w:r>
    </w:p>
    <w:p w14:paraId="00100378" w14:textId="00100379">
      <w:pPr>
        <w:spacing w:line="240" w:lineRule="auto"/>
      </w:pPr>
      <w:r>
        <w:drawing>
          <wp:inline distT="0" distB="0" distL="0" distR="0">
            <wp:extent cx="5400000" cy="3240000"/>
            <wp:effectExtent l="0" t="0" r="0" b="0"/>
            <wp:docPr id="15" name="14_growth_opportunity.png" descr=""/>
            <wp:cNvGraphicFramePr>
              <a:graphicFrameLocks noChangeAspect="1"/>
            </wp:cNvGraphicFramePr>
            <a:graphic>
              <a:graphicData uri="http://schemas.openxmlformats.org/drawingml/2006/picture">
                <pic:pic>
                  <pic:nvPicPr>
                    <pic:cNvPr id="15" name="14_growth_opportunity.png"/>
                    <pic:cNvPicPr/>
                  </pic:nvPicPr>
                  <pic:blipFill>
                    <a:blip r:embed="Ra55de5dc780748e6" cstate="print"/>
                    <a:stretch>
                      <a:fillRect/>
                    </a:stretch>
                  </pic:blipFill>
                  <pic:spPr>
                    <a:xfrm>
                      <a:off x="0" y="0"/>
                      <a:ext cx="5400000" cy="3240000"/>
                    </a:xfrm>
                    <a:prstGeom prst="rect">
                      <a:avLst/>
                    </a:prstGeom>
                  </pic:spPr>
                </pic:pic>
              </a:graphicData>
            </a:graphic>
          </wp:inline>
        </w:drawing>
      </w:r>
    </w:p>
    <w:p w14:paraId="0010037A" w14:textId="0010037B">
      <w:pPr>
        <w:spacing w:after="160"/>
        <w:jc w:val="center"/>
      </w:pPr>
      <w:r>
        <w:rPr>
          <w:i/>
        </w:rPr>
        <w:t xml:space="preserve">Figure 15 – Growth Opportunity Analysis: 2014 vs 2018 Average Monthly Sales. R03 leads with +116.5% growth.</w:t>
      </w:r>
    </w:p>
    <w:p w14:paraId="0010037C" w14:textId="0010037D">
      <w:pPr>
        <w:spacing w:line="240" w:lineRule="auto"/>
      </w:pPr>
      <w:r>
        <w:drawing>
          <wp:inline distT="0" distB="0" distL="0" distR="0">
            <wp:extent cx="5040000" cy="3600000"/>
            <wp:effectExtent l="0" t="0" r="0" b="0"/>
            <wp:docPr id="16" name="15_drug_clusters.png" descr=""/>
            <wp:cNvGraphicFramePr>
              <a:graphicFrameLocks noChangeAspect="1"/>
            </wp:cNvGraphicFramePr>
            <a:graphic>
              <a:graphicData uri="http://schemas.openxmlformats.org/drawingml/2006/picture">
                <pic:pic>
                  <pic:nvPicPr>
                    <pic:cNvPr id="16" name="15_drug_clusters.png"/>
                    <pic:cNvPicPr/>
                  </pic:nvPicPr>
                  <pic:blipFill>
                    <a:blip r:embed="R1e1a25a3ae1245b0" cstate="print"/>
                    <a:stretch>
                      <a:fillRect/>
                    </a:stretch>
                  </pic:blipFill>
                  <pic:spPr>
                    <a:xfrm>
                      <a:off x="0" y="0"/>
                      <a:ext cx="5040000" cy="3600000"/>
                    </a:xfrm>
                    <a:prstGeom prst="rect">
                      <a:avLst/>
                    </a:prstGeom>
                  </pic:spPr>
                </pic:pic>
              </a:graphicData>
            </a:graphic>
          </wp:inline>
        </w:drawing>
      </w:r>
    </w:p>
    <w:p w14:paraId="0010037E" w14:textId="0010037F">
      <w:pPr>
        <w:spacing w:after="160"/>
        <w:jc w:val="center"/>
      </w:pPr>
      <w:r>
        <w:rPr>
          <w:i/>
        </w:rPr>
        <w:t xml:space="preserve">Figure 16 – K-Means Drug Demand Clusters. Cluster B (N02BE) = high-volume seasonal spike; Cluster C (N05B) = moderate steady; Cluster A = low/erratic.</w:t>
      </w:r>
    </w:p>
    <w:p w14:paraId="00100380" w14:textId="00100381">
      <w:pPr>
        <w:spacing w:line="240" w:lineRule="auto"/>
      </w:pPr>
      <w:r>
        <w:drawing>
          <wp:inline distT="0" distB="0" distL="0" distR="0">
            <wp:extent cx="5040000" cy="3240000"/>
            <wp:effectExtent l="0" t="0" r="0" b="0"/>
            <wp:docPr id="17" name="16_seasonal_by_cluster.png" descr=""/>
            <wp:cNvGraphicFramePr>
              <a:graphicFrameLocks noChangeAspect="1"/>
            </wp:cNvGraphicFramePr>
            <a:graphic>
              <a:graphicData uri="http://schemas.openxmlformats.org/drawingml/2006/picture">
                <pic:pic>
                  <pic:nvPicPr>
                    <pic:cNvPr id="17" name="16_seasonal_by_cluster.png"/>
                    <pic:cNvPicPr/>
                  </pic:nvPicPr>
                  <pic:blipFill>
                    <a:blip r:embed="R17e15b965a3547c6" cstate="print"/>
                    <a:stretch>
                      <a:fillRect/>
                    </a:stretch>
                  </pic:blipFill>
                  <pic:spPr>
                    <a:xfrm>
                      <a:off x="0" y="0"/>
                      <a:ext cx="5040000" cy="3240000"/>
                    </a:xfrm>
                    <a:prstGeom prst="rect">
                      <a:avLst/>
                    </a:prstGeom>
                  </pic:spPr>
                </pic:pic>
              </a:graphicData>
            </a:graphic>
          </wp:inline>
        </w:drawing>
      </w:r>
    </w:p>
    <w:p w14:paraId="00100382" w14:textId="00100383">
      <w:pPr>
        <w:spacing w:after="200"/>
        <w:jc w:val="center"/>
      </w:pPr>
      <w:r>
        <w:rPr>
          <w:i/>
        </w:rPr>
        <w:t xml:space="preserve">Figure 17 – Seasonal Demand Profiles by Cluster. Cluster B shows pronounced October spike vs flat Cluster A pattern.</w:t>
      </w:r>
    </w:p>
    <w:p w14:paraId="00100160" w14:textId="00100161">
      <w:pPr>
        <w:pStyle w:val="Heading1"/>
        <w:spacing w:after="160"/>
      </w:pPr>
      <w:r>
        <w:rPr>
          <w:b/>
          <w:sz w:val="36"/>
        </w:rPr>
        <w:t xml:space="preserve">11. Strategic Action Plan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62" w14:textId="00100163">
            <w:r>
              <w:t xml:space="preserve">Priority</w:t>
            </w:r>
          </w:p>
        </w:tc>
        <w:tc>
          <w:p w14:paraId="00100164" w14:textId="00100165">
            <w:r>
              <w:t xml:space="preserve">Target Drug</w:t>
            </w:r>
          </w:p>
        </w:tc>
        <w:tc>
          <w:p w14:paraId="00100166" w14:textId="00100167">
            <w:r>
              <w:t xml:space="preserve">Action</w:t>
            </w:r>
          </w:p>
        </w:tc>
        <w:tc>
          <w:p w14:paraId="00100168" w14:textId="00100169">
            <w:r>
              <w:t xml:space="preserve">Timeline</w:t>
            </w:r>
          </w:p>
        </w:tc>
      </w:tr>
      <w:tr>
        <w:trPr/>
        <w:tc>
          <w:p w14:paraId="0010016A" w14:textId="0010016B">
            <w:r>
              <w:t xml:space="preserve">CRITICAL</w:t>
            </w:r>
          </w:p>
        </w:tc>
        <w:tc>
          <w:p w14:paraId="0010016C" w14:textId="0010016D">
            <w:r>
              <w:t xml:space="preserve">Jan 2017 Data</w:t>
            </w:r>
          </w:p>
        </w:tc>
        <w:tc>
          <w:p w14:paraId="0010016E" w14:textId="0010016F">
            <w:r>
              <w:t xml:space="preserve">Investigate and exclude all-zero month from trend models and historical averages</w:t>
            </w:r>
          </w:p>
        </w:tc>
        <w:tc>
          <w:p w14:paraId="00100170" w14:textId="00100171">
            <w:r>
              <w:t xml:space="preserve">Immediate</w:t>
            </w:r>
          </w:p>
        </w:tc>
      </w:tr>
      <w:tr>
        <w:trPr/>
        <w:tc>
          <w:p w14:paraId="00100172" w14:textId="00100173">
            <w:r>
              <w:t xml:space="preserve">HIGH</w:t>
            </w:r>
          </w:p>
        </w:tc>
        <w:tc>
          <w:p w14:paraId="00100174" w14:textId="00100175">
            <w:r>
              <w:t xml:space="preserve">N02BE (Paracetamol)</w:t>
            </w:r>
          </w:p>
        </w:tc>
        <w:tc>
          <w:p w14:paraId="00100176" w14:textId="00100177">
            <w:r>
              <w:t xml:space="preserve">Pre-stock 20–30% above monthly average by September each year ahead of October spike</w:t>
            </w:r>
          </w:p>
        </w:tc>
        <w:tc>
          <w:p w14:paraId="00100178" w14:textId="00100179">
            <w:r>
              <w:t xml:space="preserve">August–September</w:t>
            </w:r>
          </w:p>
        </w:tc>
      </w:tr>
      <w:tr>
        <w:trPr/>
        <w:tc>
          <w:p w14:paraId="0010017A" w14:textId="0010017B">
            <w:r>
              <w:t xml:space="preserve">HIGH</w:t>
            </w:r>
          </w:p>
        </w:tc>
        <w:tc>
          <w:p w14:paraId="0010017C" w14:textId="0010017D">
            <w:r>
              <w:t xml:space="preserve">R06 (Antihistamines)</w:t>
            </w:r>
          </w:p>
        </w:tc>
        <w:tc>
          <w:p w14:paraId="0010017E" w14:textId="0010017F">
            <w:r>
              <w:t xml:space="preserve">Launch Q1 pre-season bulk procurement in February ahead of May–June allergy peak</w:t>
            </w:r>
          </w:p>
        </w:tc>
        <w:tc>
          <w:p w14:paraId="00100180" w14:textId="00100181">
            <w:r>
              <w:t xml:space="preserve">Q1 annually</w:t>
            </w:r>
          </w:p>
        </w:tc>
      </w:tr>
      <w:tr>
        <w:trPr/>
        <w:tc>
          <w:p w14:paraId="00100182" w14:textId="00100183">
            <w:r>
              <w:t xml:space="preserve">HIGH</w:t>
            </w:r>
          </w:p>
        </w:tc>
        <w:tc>
          <w:p w14:paraId="00100184" w14:textId="00100185">
            <w:r>
              <w:t xml:space="preserve">M01AB / M01AE</w:t>
            </w:r>
          </w:p>
        </w:tc>
        <w:tc>
          <w:p w14:paraId="00100186" w14:textId="00100187">
            <w:r>
              <w:t xml:space="preserve">Expand supplier contracts for anti-inflammatory group given sustained +18–32% growth</w:t>
            </w:r>
          </w:p>
        </w:tc>
        <w:tc>
          <w:p w14:paraId="00100188" w14:textId="00100189">
            <w:r>
              <w:t xml:space="preserve">Q4 planning</w:t>
            </w:r>
          </w:p>
        </w:tc>
      </w:tr>
      <w:tr>
        <w:trPr/>
        <w:tc>
          <w:p w14:paraId="0010018A" w14:textId="0010018B">
            <w:r>
              <w:t xml:space="preserve">MEDIUM</w:t>
            </w:r>
          </w:p>
        </w:tc>
        <w:tc>
          <w:p w14:paraId="0010018C" w14:textId="0010018D">
            <w:r>
              <w:t xml:space="preserve">N05B (Anxiolytics)</w:t>
            </w:r>
          </w:p>
        </w:tc>
        <w:tc>
          <w:p w14:paraId="0010018E" w14:textId="0010018F">
            <w:r>
              <w:t xml:space="preserve">Maintain 2-month safety stock; monitor for regulatory changes in anxiolytic prescribing</w:t>
            </w:r>
          </w:p>
        </w:tc>
        <w:tc>
          <w:p w14:paraId="00100190" w14:textId="00100191">
            <w:r>
              <w:t xml:space="preserve">Ongoing</w:t>
            </w:r>
          </w:p>
        </w:tc>
      </w:tr>
      <w:tr>
        <w:trPr/>
        <w:tc>
          <w:p w14:paraId="00100192" w14:textId="00100193">
            <w:r>
              <w:t xml:space="preserve">MEDIUM</w:t>
            </w:r>
          </w:p>
        </w:tc>
        <w:tc>
          <w:p w14:paraId="00100194" w14:textId="00100195">
            <w:r>
              <w:t xml:space="preserve">R03 (Airway Drugs)</w:t>
            </w:r>
          </w:p>
        </w:tc>
        <w:tc>
          <w:p w14:paraId="00100196" w14:textId="00100197">
            <w:r>
              <w:t xml:space="preserve">Align replenishment cycles with influenza season forecasts; bi-annual stock review in Mar and Sep</w:t>
            </w:r>
          </w:p>
        </w:tc>
        <w:tc>
          <w:p w14:paraId="00100198" w14:textId="00100199">
            <w:r>
              <w:t xml:space="preserve">Bi-annual</w:t>
            </w:r>
          </w:p>
        </w:tc>
      </w:tr>
      <w:tr>
        <w:trPr/>
        <w:tc>
          <w:p w14:paraId="0010019A" w14:textId="0010019B">
            <w:r>
              <w:t xml:space="preserve">LOW</w:t>
            </w:r>
          </w:p>
        </w:tc>
        <w:tc>
          <w:p w14:paraId="0010019C" w14:textId="0010019D">
            <w:r>
              <w:t xml:space="preserve">N05C (Hypnotics)</w:t>
            </w:r>
          </w:p>
        </w:tc>
        <w:tc>
          <w:p w14:paraId="0010019E" w14:textId="0010019F">
            <w:r>
              <w:t xml:space="preserve">Switch to Just-In-Time ordering model to eliminate overstock risk for lowest-volume category</w:t>
            </w:r>
          </w:p>
        </w:tc>
        <w:tc>
          <w:p w14:paraId="001001A0" w14:textId="001001A1">
            <w:r>
              <w:t xml:space="preserve">Q1</w:t>
            </w:r>
          </w:p>
        </w:tc>
      </w:tr>
      <w:tr>
        <w:trPr/>
        <w:tc>
          <w:p w14:paraId="001001A2" w14:textId="001001A3">
            <w:r>
              <w:t xml:space="preserve">LOW</w:t>
            </w:r>
          </w:p>
        </w:tc>
        <w:tc>
          <w:p w14:paraId="001001A4" w14:textId="001001A5">
            <w:r>
              <w:t xml:space="preserve">N02BA (Aspirin)</w:t>
            </w:r>
          </w:p>
        </w:tc>
        <w:tc>
          <w:p w14:paraId="001001A6" w14:textId="001001A7">
            <w:r>
              <w:t xml:space="preserve">Gradually reduce standing orders by 10–15% per year reflecting confirmed declining demand trend</w:t>
            </w:r>
          </w:p>
        </w:tc>
        <w:tc>
          <w:p w14:paraId="001001A8" w14:textId="001001A9">
            <w:r>
              <w:t xml:space="preserve">Annual review</w:t>
            </w:r>
          </w:p>
        </w:tc>
      </w:tr>
    </w:tbl>
    <w:p w14:paraId="001001AA" w14:textId="001001AB">
      <w:pPr>
        <w:pStyle w:val="Heading1"/>
        <w:spacing w:before="240" w:after="160"/>
      </w:pPr>
      <w:r>
        <w:rPr>
          <w:b/>
          <w:sz w:val="36"/>
        </w:rPr>
        <w:t xml:space="preserve">12. Technical Architecture</w:t>
      </w:r>
    </w:p>
    <w:p w14:paraId="001001AC" w14:textId="001001AD">
      <w:pPr>
        <w:pStyle w:val="Normal"/>
        <w:spacing w:after="160"/>
      </w:pPr>
      <w:r>
        <w:rPr>
          <w:sz w:val="22"/>
        </w:rPr>
        <w:t xml:space="preserve">Technology Stack:</w:t>
      </w:r>
    </w:p>
    <w:p w14:paraId="001001AE" w14:textId="001001AF">
      <w:pPr>
        <w:pStyle w:val="Normal"/>
        <w:spacing w:after="160"/>
      </w:pPr>
      <w:r>
        <w:rPr>
          <w:sz w:val="22"/>
        </w:rPr>
        <w:t xml:space="preserve">• Language: Python 3.11</w:t>
      </w:r>
    </w:p>
    <w:p w14:paraId="001001B0" w14:textId="001001B1">
      <w:pPr>
        <w:pStyle w:val="Normal"/>
        <w:spacing w:after="160"/>
      </w:pPr>
      <w:r>
        <w:rPr>
          <w:sz w:val="22"/>
        </w:rPr>
        <w:t xml:space="preserve">• Dashboard: Streamlit 1.35</w:t>
      </w:r>
    </w:p>
    <w:p w14:paraId="001001B2" w14:textId="001001B3">
      <w:pPr>
        <w:pStyle w:val="Normal"/>
        <w:spacing w:after="160"/>
      </w:pPr>
      <w:r>
        <w:rPr>
          <w:sz w:val="22"/>
        </w:rPr>
        <w:t xml:space="preserve">• Visualization: Plotly 5.22, Seaborn 0.13, Matplotlib 3.8</w:t>
      </w:r>
    </w:p>
    <w:p w14:paraId="001001B4" w14:textId="001001B5">
      <w:pPr>
        <w:pStyle w:val="Normal"/>
        <w:spacing w:after="160"/>
      </w:pPr>
      <w:r>
        <w:rPr>
          <w:sz w:val="22"/>
        </w:rPr>
        <w:t xml:space="preserve">• Machine Learning: scikit-learn 1.4 (Isolation Forest, K-Means, Linear Regression)</w:t>
      </w:r>
    </w:p>
    <w:p w14:paraId="001001B6" w14:textId="001001B7">
      <w:pPr>
        <w:pStyle w:val="Normal"/>
        <w:spacing w:after="160"/>
      </w:pPr>
      <w:r>
        <w:rPr>
          <w:sz w:val="22"/>
        </w:rPr>
        <w:t xml:space="preserve">• Data Processing: Pandas 2.2, NumPy 1.26</w:t>
      </w:r>
    </w:p>
    <w:p w14:paraId="001001B8" w14:textId="001001B9">
      <w:pPr>
        <w:pStyle w:val="Normal"/>
        <w:spacing w:after="160"/>
      </w:pPr>
      <w:r>
        <w:rPr>
          <w:sz w:val="22"/>
        </w:rPr>
        <w:t xml:space="preserve">• Report Generation: python-docx 1.1</w:t>
      </w:r>
    </w:p>
    <w:p w14:paraId="001001BA" w14:textId="001001BB">
      <w:pPr>
        <w:pStyle w:val="Normal"/>
        <w:spacing w:after="160"/>
      </w:pPr>
      <w:r>
        <w:rPr>
          <w:sz w:val="22"/>
        </w:rPr>
        <w:t xml:space="preserve">• Notebook: Jupyter / nbformat 5.10</w:t>
      </w:r>
    </w:p>
    <w:p w14:paraId="001001BC" w14:textId="001001BD">
      <w:pPr>
        <w:pStyle w:val="Normal"/>
        <w:spacing w:after="320"/>
      </w:pPr>
      <w:r>
        <w:rPr>
          <w:sz w:val="22"/>
        </w:rPr>
        <w:t xml:space="preserve">File Structure:</w:t>
      </w:r>
    </w:p>
    <w:p w14:paraId="001001BE" w14:textId="001001BF">
      <w:pPr>
        <w:pStyle w:val="Normal"/>
        <w:spacing w:after="320"/>
      </w:pPr>
      <w:r>
        <w:rPr>
          <w:sz w:val="22"/>
        </w:rPr>
        <w:t xml:space="preserve">• app.py – 8-page Streamlit dashboard with interactive filters, Plotly charts, and AI insights</w:t>
      </w:r>
    </w:p>
    <w:p w14:paraId="001001C0" w14:textId="001001C1">
      <w:pPr>
        <w:pStyle w:val="Normal"/>
        <w:spacing w:after="320"/>
      </w:pPr>
      <w:r>
        <w:rPr>
          <w:sz w:val="22"/>
        </w:rPr>
        <w:t xml:space="preserve">• PharmaGuard_AI_Analysis.ipynb – Full EDA notebook (10 sections, static charts via Matplotlib/Seaborn)</w:t>
      </w:r>
    </w:p>
    <w:p w14:paraId="001001C2" w14:textId="001001C3">
      <w:pPr>
        <w:pStyle w:val="Normal"/>
        <w:spacing w:after="320"/>
      </w:pPr>
      <w:r>
        <w:rPr>
          <w:sz w:val="22"/>
        </w:rPr>
        <w:t xml:space="preserve">• requirements.txt – All package dependencies with pinned versions</w:t>
      </w:r>
    </w:p>
    <w:p w14:paraId="001001C4" w14:textId="001001C5">
      <w:pPr>
        <w:pStyle w:val="Normal"/>
        <w:spacing w:after="320"/>
      </w:pPr>
      <w:r>
        <w:rPr>
          <w:sz w:val="22"/>
        </w:rPr>
        <w:t xml:space="preserve">• README.md – Setup guide, dataset documentation, and finding summary</w:t>
      </w:r>
    </w:p>
    <w:p w14:paraId="001001C6" w14:textId="001001C7">
      <w:pPr>
        <w:pStyle w:val="Normal"/>
        <w:spacing w:after="320"/>
      </w:pPr>
      <w:r>
        <w:rPr>
          <w:sz w:val="22"/>
        </w:rPr>
        <w:t xml:space="preserve">• PharmaGuard_AI_Report.docx – This comprehensive project report</w:t>
      </w:r>
    </w:p>
    <w:p w14:paraId="001001C8" w14:textId="001001C9">
      <w:pPr>
        <w:pStyle w:val="Normal"/>
        <w:spacing w:after="320"/>
      </w:pPr>
      <w:r>
        <w:rPr>
          <w:sz w:val="22"/>
        </w:rPr>
        <w:t xml:space="preserve">• IBMDataset/ – Four CSV data files (no modifications made to source data)</w:t>
      </w:r>
    </w:p>
    <w:p w14:paraId="001001CA" w14:textId="001001CB">
      <w:pPr>
        <w:pStyle w:val="Heading1"/>
        <w:spacing w:after="160"/>
      </w:pPr>
      <w:r>
        <w:rPr>
          <w:b/>
          <w:sz w:val="36"/>
        </w:rPr>
        <w:t xml:space="preserve">13. Conclusions</w:t>
      </w:r>
    </w:p>
    <w:p w14:paraId="001001CC" w14:textId="001001CD">
      <w:pPr>
        <w:pStyle w:val="Normal"/>
        <w:spacing w:after="160"/>
      </w:pPr>
      <w:r>
        <w:rPr>
          <w:sz w:val="22"/>
        </w:rPr>
        <w:t xml:space="preserve">PharmaGuard AI successfully demonstrates how pharmaceutical sales data at multiple temporal resolutions can be transformed into actionable demand intelligence. The analysis pipeline – from raw CSV ingestion through KPI computation, anomaly detection, forecasting, and strategic action – provides a replicable framework applicable to any pharmacy or pharmaceutical distributor.</w:t>
      </w:r>
    </w:p>
    <w:p w14:paraId="001001CE" w14:textId="001001CF">
      <w:pPr>
        <w:pStyle w:val="Normal"/>
        <w:spacing w:after="160"/>
      </w:pPr>
      <w:r>
        <w:rPr>
          <w:sz w:val="22"/>
        </w:rPr>
        <w:t xml:space="preserve">The most significant findings are: (1) N02BE dominates demand and requires proactive October pre-stocking; (2) seasonal patterns are strong and predictable enough for automated replenishment triggers; (3) January 2017 data gap must be excluded from all trend models; (4) N05C should move to JIT ordering to eliminate overstock cost; and (5) the growing anti-inflammatory category (M01AB/M01AE) represents the strongest near-term procurement opportunity.</w:t>
      </w:r>
    </w:p>
    <w:p w14:paraId="001001D0" w14:textId="001001D1">
      <w:pPr>
        <w:pStyle w:val="Normal"/>
        <w:spacing w:after="400"/>
      </w:pPr>
      <w:r>
        <w:rPr>
          <w:sz w:val="22"/>
        </w:rPr>
        <w:t xml:space="preserve">Future enhancements would include SARIMA/Prophet seasonal forecasting models, integration with real-time inventory systems, automated anomaly alerting, and external drivers (flu season forecasts, population data) for enhanced prediction accuracy.</w:t>
      </w:r>
    </w:p>
    <w:p w14:paraId="001001D2" w14:textId="001001D3">
      <w:pPr>
        <w:pStyle w:val="Normal"/>
        <w:spacing w:after="160"/>
        <w:jc w:val="center"/>
      </w:pPr>
      <w:r>
        <w:rPr>
          <w:color w:val="999999"/>
          <w:sz w:val="20"/>
        </w:rPr>
        <w:t xml:space="preserve">Built with IBM Bob AI | Python | Streamlit | scikit-learn | Plotly</w:t>
      </w:r>
    </w:p>
    <w:p w14:paraId="001001DA" w14:textId="001001DB">
      <w:pPr>
        <w:pStyle w:val="Heading1"/>
        <w:spacing w:before="240" w:after="160"/>
      </w:pPr>
      <w:r>
        <w:rPr>
          <w:b/>
          <w:sz w:val="36"/>
        </w:rPr>
        <w:t xml:space="preserve">Appendix A – Verified KPI Table (from executed analysis)</w:t>
      </w:r>
    </w:p>
    <w:p w14:paraId="001001DC" w14:textId="001001DD">
      <w:pPr>
        <w:pStyle w:val="Normal"/>
        <w:spacing w:after="120"/>
      </w:pPr>
      <w:r>
        <w:rPr>
          <w:color w:val="666666"/>
          <w:sz w:val="20"/>
        </w:rPr>
        <w:t xml:space="preserve">All values below are computed from the actual dataset execution (run_analysis.py). Zero-sales rows (Jan 2017) excluded.</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DE" w14:textId="001001DF">
            <w:r>
              <w:t xml:space="preserve">Drug</w:t>
            </w:r>
          </w:p>
        </w:tc>
        <w:tc>
          <w:p w14:paraId="001001E0" w14:textId="001001E1">
            <w:r>
              <w:t xml:space="preserve">Total Sales</w:t>
            </w:r>
          </w:p>
        </w:tc>
        <w:tc>
          <w:p w14:paraId="001001E2" w14:textId="001001E3">
            <w:r>
              <w:t xml:space="preserve">Monthly Avg</w:t>
            </w:r>
          </w:p>
        </w:tc>
        <w:tc>
          <w:p w14:paraId="001001E4" w14:textId="001001E5">
            <w:r>
              <w:t xml:space="preserve">CV %</w:t>
            </w:r>
          </w:p>
        </w:tc>
        <w:tc>
          <w:p w14:paraId="001001E6" w14:textId="001001E7">
            <w:r>
              <w:t xml:space="preserve">Market Share %</w:t>
            </w:r>
          </w:p>
        </w:tc>
        <w:tc>
          <w:p w14:paraId="001001E8" w14:textId="001001E9">
            <w:r>
              <w:t xml:space="preserve">Peak Month</w:t>
            </w:r>
          </w:p>
        </w:tc>
      </w:tr>
      <w:tr>
        <w:trPr/>
        <w:tc>
          <w:p w14:paraId="001001EA" w14:textId="001001EB">
            <w:r>
              <w:t xml:space="preserve">N02BE</w:t>
            </w:r>
          </w:p>
        </w:tc>
        <w:tc>
          <w:p w14:paraId="001001EC" w14:textId="001001ED">
            <w:r>
              <w:t xml:space="preserve">62,478</w:t>
            </w:r>
          </w:p>
        </w:tc>
        <w:tc>
          <w:p w14:paraId="001001EE" w14:textId="001001EF">
            <w:r>
              <w:t xml:space="preserve">892.5</w:t>
            </w:r>
          </w:p>
        </w:tc>
        <w:tc>
          <w:p w14:paraId="001001F0" w14:textId="001001F1">
            <w:r>
              <w:t xml:space="preserve">38.0%</w:t>
            </w:r>
          </w:p>
        </w:tc>
        <w:tc>
          <w:p w14:paraId="001001F2" w14:textId="001001F3">
            <w:r>
              <w:t xml:space="preserve">49.4%</w:t>
            </w:r>
          </w:p>
        </w:tc>
        <w:tc>
          <w:p w14:paraId="001001F4" w14:textId="001001F5">
            <w:r>
              <w:t xml:space="preserve">October</w:t>
            </w:r>
          </w:p>
        </w:tc>
      </w:tr>
      <w:tr>
        <w:trPr/>
        <w:tc>
          <w:p w14:paraId="001001F6" w14:textId="001001F7">
            <w:r>
              <w:t xml:space="preserve">N05B</w:t>
            </w:r>
          </w:p>
        </w:tc>
        <w:tc>
          <w:p w14:paraId="001001F8" w14:textId="001001F9">
            <w:r>
              <w:t xml:space="preserve">18,348</w:t>
            </w:r>
          </w:p>
        </w:tc>
        <w:tc>
          <w:p w14:paraId="001001FA" w14:textId="001001FB">
            <w:r>
              <w:t xml:space="preserve">262.1</w:t>
            </w:r>
          </w:p>
        </w:tc>
        <w:tc>
          <w:p w14:paraId="001001FC" w14:textId="001001FD">
            <w:r>
              <w:t xml:space="preserve">32.5%</w:t>
            </w:r>
          </w:p>
        </w:tc>
        <w:tc>
          <w:p w14:paraId="001001FE" w14:textId="001001FF">
            <w:r>
              <w:t xml:space="preserve">14.5%</w:t>
            </w:r>
          </w:p>
        </w:tc>
        <w:tc>
          <w:p w14:paraId="00100200" w14:textId="00100201">
            <w:r>
              <w:t xml:space="preserve">January</w:t>
            </w:r>
          </w:p>
        </w:tc>
      </w:tr>
      <w:tr>
        <w:trPr/>
        <w:tc>
          <w:p w14:paraId="00100202" w14:textId="00100203">
            <w:r>
              <w:t xml:space="preserve">R03</w:t>
            </w:r>
          </w:p>
        </w:tc>
        <w:tc>
          <w:p w14:paraId="00100204" w14:textId="00100205">
            <w:r>
              <w:t xml:space="preserve">11,737</w:t>
            </w:r>
          </w:p>
        </w:tc>
        <w:tc>
          <w:p w14:paraId="00100206" w14:textId="00100207">
            <w:r>
              <w:t xml:space="preserve">167.7</w:t>
            </w:r>
          </w:p>
        </w:tc>
        <w:tc>
          <w:p w14:paraId="00100208" w14:textId="00100209">
            <w:r>
              <w:t xml:space="preserve">48.8%</w:t>
            </w:r>
          </w:p>
        </w:tc>
        <w:tc>
          <w:p w14:paraId="0010020A" w14:textId="0010020B">
            <w:r>
              <w:t xml:space="preserve">9.3%</w:t>
            </w:r>
          </w:p>
        </w:tc>
        <w:tc>
          <w:p w14:paraId="0010020C" w14:textId="0010020D">
            <w:r>
              <w:t xml:space="preserve">October</w:t>
            </w:r>
          </w:p>
        </w:tc>
      </w:tr>
      <w:tr>
        <w:trPr/>
        <w:tc>
          <w:p w14:paraId="0010020E" w14:textId="0010020F">
            <w:r>
              <w:t xml:space="preserve">M01AB</w:t>
            </w:r>
          </w:p>
        </w:tc>
        <w:tc>
          <w:p w14:paraId="00100210" w14:textId="00100211">
            <w:r>
              <w:t xml:space="preserve">10,499</w:t>
            </w:r>
          </w:p>
        </w:tc>
        <w:tc>
          <w:p w14:paraId="00100212" w14:textId="00100213">
            <w:r>
              <w:t xml:space="preserve">150.0</w:t>
            </w:r>
          </w:p>
        </w:tc>
        <w:tc>
          <w:p w14:paraId="00100214" w14:textId="00100215">
            <w:r>
              <w:t xml:space="preserve">21.0%</w:t>
            </w:r>
          </w:p>
        </w:tc>
        <w:tc>
          <w:p w14:paraId="00100216" w14:textId="00100217">
            <w:r>
              <w:t xml:space="preserve">8.3%</w:t>
            </w:r>
          </w:p>
        </w:tc>
        <w:tc>
          <w:p w14:paraId="00100218" w14:textId="00100219">
            <w:r>
              <w:t xml:space="preserve">October</w:t>
            </w:r>
          </w:p>
        </w:tc>
      </w:tr>
      <w:tr>
        <w:trPr/>
        <w:tc>
          <w:p w14:paraId="0010021A" w14:textId="0010021B">
            <w:r>
              <w:t xml:space="preserve">M01AE</w:t>
            </w:r>
          </w:p>
        </w:tc>
        <w:tc>
          <w:p w14:paraId="0010021C" w14:textId="0010021D">
            <w:r>
              <w:t xml:space="preserve">8,156</w:t>
            </w:r>
          </w:p>
        </w:tc>
        <w:tc>
          <w:p w14:paraId="0010021E" w14:textId="0010021F">
            <w:r>
              <w:t xml:space="preserve">116.5</w:t>
            </w:r>
          </w:p>
        </w:tc>
        <w:tc>
          <w:p w14:paraId="00100220" w14:textId="00100221">
            <w:r>
              <w:t xml:space="preserve">23.9%</w:t>
            </w:r>
          </w:p>
        </w:tc>
        <w:tc>
          <w:p w14:paraId="00100222" w14:textId="00100223">
            <w:r>
              <w:t xml:space="preserve">6.4%</w:t>
            </w:r>
          </w:p>
        </w:tc>
        <w:tc>
          <w:p w14:paraId="00100224" w14:textId="00100225">
            <w:r>
              <w:t xml:space="preserve">January</w:t>
            </w:r>
          </w:p>
        </w:tc>
      </w:tr>
      <w:tr>
        <w:trPr/>
        <w:tc>
          <w:p w14:paraId="00100226" w14:textId="00100227">
            <w:r>
              <w:t xml:space="preserve">N02BA</w:t>
            </w:r>
          </w:p>
        </w:tc>
        <w:tc>
          <w:p w14:paraId="00100228" w14:textId="00100229">
            <w:r>
              <w:t xml:space="preserve">8,051</w:t>
            </w:r>
          </w:p>
        </w:tc>
        <w:tc>
          <w:p w14:paraId="0010022A" w14:textId="0010022B">
            <w:r>
              <w:t xml:space="preserve">115.0</w:t>
            </w:r>
          </w:p>
        </w:tc>
        <w:tc>
          <w:p w14:paraId="0010022C" w14:textId="0010022D">
            <w:r>
              <w:t xml:space="preserve">27.2%</w:t>
            </w:r>
          </w:p>
        </w:tc>
        <w:tc>
          <w:p w14:paraId="0010022E" w14:textId="0010022F">
            <w:r>
              <w:t xml:space="preserve">6.4%</w:t>
            </w:r>
          </w:p>
        </w:tc>
        <w:tc>
          <w:p w14:paraId="00100230" w14:textId="00100231">
            <w:r>
              <w:t xml:space="preserve">January</w:t>
            </w:r>
          </w:p>
        </w:tc>
      </w:tr>
      <w:tr>
        <w:trPr/>
        <w:tc>
          <w:p w14:paraId="00100232" w14:textId="00100233">
            <w:r>
              <w:t xml:space="preserve">R06</w:t>
            </w:r>
          </w:p>
        </w:tc>
        <w:tc>
          <w:p w14:paraId="00100234" w14:textId="00100235">
            <w:r>
              <w:t xml:space="preserve">6,066</w:t>
            </w:r>
          </w:p>
        </w:tc>
        <w:tc>
          <w:p w14:paraId="00100236" w14:textId="00100237">
            <w:r>
              <w:t xml:space="preserve">86.7</w:t>
            </w:r>
          </w:p>
        </w:tc>
        <w:tc>
          <w:p w14:paraId="00100238" w14:textId="00100239">
            <w:r>
              <w:t xml:space="preserve">52.9%</w:t>
            </w:r>
          </w:p>
        </w:tc>
        <w:tc>
          <w:p w14:paraId="0010023A" w14:textId="0010023B">
            <w:r>
              <w:t xml:space="preserve">4.8%</w:t>
            </w:r>
          </w:p>
        </w:tc>
        <w:tc>
          <w:p w14:paraId="0010023C" w14:textId="0010023D">
            <w:r>
              <w:t xml:space="preserve">May/June</w:t>
            </w:r>
          </w:p>
        </w:tc>
      </w:tr>
      <w:tr>
        <w:trPr/>
        <w:tc>
          <w:p w14:paraId="0010023E" w14:textId="0010023F">
            <w:r>
              <w:t xml:space="preserve">N05C</w:t>
            </w:r>
          </w:p>
        </w:tc>
        <w:tc>
          <w:p w14:paraId="00100240" w14:textId="00100241">
            <w:r>
              <w:t xml:space="preserve">1,249</w:t>
            </w:r>
          </w:p>
        </w:tc>
        <w:tc>
          <w:p w14:paraId="00100242" w14:textId="00100243">
            <w:r>
              <w:t xml:space="preserve">17.8</w:t>
            </w:r>
          </w:p>
        </w:tc>
        <w:tc>
          <w:p w14:paraId="00100244" w14:textId="00100245">
            <w:r>
              <w:t xml:space="preserve">47.5%</w:t>
            </w:r>
          </w:p>
        </w:tc>
        <w:tc>
          <w:p w14:paraId="00100246" w14:textId="00100247">
            <w:r>
              <w:t xml:space="preserve">1.0%</w:t>
            </w:r>
          </w:p>
        </w:tc>
        <w:tc>
          <w:p w14:paraId="00100248" w14:textId="00100249">
            <w:r>
              <w:t xml:space="preserve">Erratic</w:t>
            </w:r>
          </w:p>
        </w:tc>
      </w:tr>
    </w:tbl>
    <w:p w14:paraId="0010024A" w14:textId="0010024B">
      <w:pPr>
        <w:pStyle w:val="Heading1"/>
        <w:spacing w:before="240" w:after="160"/>
      </w:pPr>
      <w:r>
        <w:rPr>
          <w:b/>
          <w:sz w:val="36"/>
        </w:rPr>
        <w:t xml:space="preserve">Appendix B – Forecast Metrics (Linear Trend, 6-Month Holdout)</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4C" w14:textId="0010024D">
            <w:r>
              <w:t xml:space="preserve">Drug</w:t>
            </w:r>
          </w:p>
        </w:tc>
        <w:tc>
          <w:p w14:paraId="0010024E" w14:textId="0010024F">
            <w:r>
              <w:t xml:space="preserve">Slope (units/month)</w:t>
            </w:r>
          </w:p>
        </w:tc>
        <w:tc>
          <w:p w14:paraId="00100250" w14:textId="00100251">
            <w:r>
              <w:t xml:space="preserve">R² (train)</w:t>
            </w:r>
          </w:p>
        </w:tc>
        <w:tc>
          <w:p w14:paraId="00100252" w14:textId="00100253">
            <w:r>
              <w:t xml:space="preserve">MAE (6-mo test)</w:t>
            </w:r>
          </w:p>
        </w:tc>
        <w:tc>
          <w:p w14:paraId="00100254" w14:textId="00100255">
            <w:r>
              <w:t xml:space="preserve">Trend</w:t>
            </w:r>
          </w:p>
        </w:tc>
      </w:tr>
      <w:tr>
        <w:trPr/>
        <w:tc>
          <w:p w14:paraId="00100256" w14:textId="00100257">
            <w:r>
              <w:t xml:space="preserve">M01AB</w:t>
            </w:r>
          </w:p>
        </w:tc>
        <w:tc>
          <w:p w14:paraId="00100258" w14:textId="00100259">
            <w:r>
              <w:t xml:space="preserve">+0.297</w:t>
            </w:r>
          </w:p>
        </w:tc>
        <w:tc>
          <w:p w14:paraId="0010025A" w14:textId="0010025B">
            <w:r>
              <w:t xml:space="preserve">0.035</w:t>
            </w:r>
          </w:p>
        </w:tc>
        <w:tc>
          <w:p w14:paraId="0010025C" w14:textId="0010025D">
            <w:r>
              <w:t xml:space="preserve">29.3</w:t>
            </w:r>
          </w:p>
        </w:tc>
        <w:tc>
          <w:p w14:paraId="0010025E" w14:textId="0010025F">
            <w:r>
              <w:t xml:space="preserve">Upward</w:t>
            </w:r>
          </w:p>
        </w:tc>
      </w:tr>
      <w:tr>
        <w:trPr/>
        <w:tc>
          <w:p w14:paraId="00100260" w14:textId="00100261">
            <w:r>
              <w:t xml:space="preserve">M01AE</w:t>
            </w:r>
          </w:p>
        </w:tc>
        <w:tc>
          <w:p w14:paraId="00100262" w14:textId="00100263">
            <w:r>
              <w:t xml:space="preserve">+0.091</w:t>
            </w:r>
          </w:p>
        </w:tc>
        <w:tc>
          <w:p w14:paraId="00100264" w14:textId="00100265">
            <w:r>
              <w:t xml:space="preserve">0.004</w:t>
            </w:r>
          </w:p>
        </w:tc>
        <w:tc>
          <w:p w14:paraId="00100266" w14:textId="00100267">
            <w:r>
              <w:t xml:space="preserve">32.3</w:t>
            </w:r>
          </w:p>
        </w:tc>
        <w:tc>
          <w:p w14:paraId="00100268" w14:textId="00100269">
            <w:r>
              <w:t xml:space="preserve">Upward</w:t>
            </w:r>
          </w:p>
        </w:tc>
      </w:tr>
      <w:tr>
        <w:trPr/>
        <w:tc>
          <w:p w14:paraId="0010026A" w14:textId="0010026B">
            <w:r>
              <w:t xml:space="preserve">N02BA</w:t>
            </w:r>
          </w:p>
        </w:tc>
        <w:tc>
          <w:p w14:paraId="0010026C" w14:textId="0010026D">
            <w:r>
              <w:t xml:space="preserve">-1.043</w:t>
            </w:r>
          </w:p>
        </w:tc>
        <w:tc>
          <w:p w14:paraId="0010026E" w14:textId="0010026F">
            <w:r>
              <w:t xml:space="preserve">0.426</w:t>
            </w:r>
          </w:p>
        </w:tc>
        <w:tc>
          <w:p w14:paraId="00100270" w14:textId="00100271">
            <w:r>
              <w:t xml:space="preserve">21.0</w:t>
            </w:r>
          </w:p>
        </w:tc>
        <w:tc>
          <w:p w14:paraId="00100272" w14:textId="00100273">
            <w:r>
              <w:t xml:space="preserve">Downward</w:t>
            </w:r>
          </w:p>
        </w:tc>
      </w:tr>
      <w:tr>
        <w:trPr/>
        <w:tc>
          <w:p w14:paraId="00100274" w14:textId="00100275">
            <w:r>
              <w:t xml:space="preserve">N02BE</w:t>
            </w:r>
          </w:p>
        </w:tc>
        <w:tc>
          <w:p w14:paraId="00100276" w14:textId="00100277">
            <w:r>
              <w:t xml:space="preserve">+0.594</w:t>
            </w:r>
          </w:p>
        </w:tc>
        <w:tc>
          <w:p w14:paraId="00100278" w14:textId="00100279">
            <w:r>
              <w:t xml:space="preserve">0.001</w:t>
            </w:r>
          </w:p>
        </w:tc>
        <w:tc>
          <w:p w14:paraId="0010027A" w14:textId="0010027B">
            <w:r>
              <w:t xml:space="preserve">326.5</w:t>
            </w:r>
          </w:p>
        </w:tc>
        <w:tc>
          <w:p w14:paraId="0010027C" w14:textId="0010027D">
            <w:r>
              <w:t xml:space="preserve">Upward</w:t>
            </w:r>
          </w:p>
        </w:tc>
      </w:tr>
      <w:tr>
        <w:trPr/>
        <w:tc>
          <w:p w14:paraId="0010027E" w14:textId="0010027F">
            <w:r>
              <w:t xml:space="preserve">N05B</w:t>
            </w:r>
          </w:p>
        </w:tc>
        <w:tc>
          <w:p w14:paraId="00100280" w14:textId="00100281">
            <w:r>
              <w:t xml:space="preserve">-1.378</w:t>
            </w:r>
          </w:p>
        </w:tc>
        <w:tc>
          <w:p w14:paraId="00100282" w14:textId="00100283">
            <w:r>
              <w:t xml:space="preserve">0.090</w:t>
            </w:r>
          </w:p>
        </w:tc>
        <w:tc>
          <w:p w14:paraId="00100284" w14:textId="00100285">
            <w:r>
              <w:t xml:space="preserve">43.7</w:t>
            </w:r>
          </w:p>
        </w:tc>
        <w:tc>
          <w:p w14:paraId="00100286" w14:textId="00100287">
            <w:r>
              <w:t xml:space="preserve">Downward</w:t>
            </w:r>
          </w:p>
        </w:tc>
      </w:tr>
      <w:tr>
        <w:trPr/>
        <w:tc>
          <w:p w14:paraId="00100288" w14:textId="00100289">
            <w:r>
              <w:t xml:space="preserve">N05C</w:t>
            </w:r>
          </w:p>
        </w:tc>
        <w:tc>
          <w:p w14:paraId="0010028A" w14:textId="0010028B">
            <w:r>
              <w:t xml:space="preserve">-0.066</w:t>
            </w:r>
          </w:p>
        </w:tc>
        <w:tc>
          <w:p w14:paraId="0010028C" w14:textId="0010028D">
            <w:r>
              <w:t xml:space="preserve">0.020</w:t>
            </w:r>
          </w:p>
        </w:tc>
        <w:tc>
          <w:p w14:paraId="0010028E" w14:textId="0010028F">
            <w:r>
              <w:t xml:space="preserve">7.4</w:t>
            </w:r>
          </w:p>
        </w:tc>
        <w:tc>
          <w:p w14:paraId="00100290" w14:textId="00100291">
            <w:r>
              <w:t xml:space="preserve">Downward</w:t>
            </w:r>
          </w:p>
        </w:tc>
      </w:tr>
      <w:tr>
        <w:trPr/>
        <w:tc>
          <w:p w14:paraId="00100292" w14:textId="00100293">
            <w:r>
              <w:t xml:space="preserve">R03</w:t>
            </w:r>
          </w:p>
        </w:tc>
        <w:tc>
          <w:p w14:paraId="00100294" w14:textId="00100295">
            <w:r>
              <w:t xml:space="preserve">+2.408</w:t>
            </w:r>
          </w:p>
        </w:tc>
        <w:tc>
          <w:p w14:paraId="00100296" w14:textId="00100297">
            <w:r>
              <w:t xml:space="preserve">0.304</w:t>
            </w:r>
          </w:p>
        </w:tc>
        <w:tc>
          <w:p w14:paraId="00100298" w14:textId="00100299">
            <w:r>
              <w:t xml:space="preserve">124.5</w:t>
            </w:r>
          </w:p>
        </w:tc>
        <w:tc>
          <w:p w14:paraId="0010029A" w14:textId="0010029B">
            <w:r>
              <w:t xml:space="preserve">Upward</w:t>
            </w:r>
          </w:p>
        </w:tc>
      </w:tr>
      <w:tr>
        <w:trPr/>
        <w:tc>
          <w:p w14:paraId="0010029C" w14:textId="0010029D">
            <w:r>
              <w:t xml:space="preserve">R06</w:t>
            </w:r>
          </w:p>
        </w:tc>
        <w:tc>
          <w:p w14:paraId="0010029E" w14:textId="0010029F">
            <w:r>
              <w:t xml:space="preserve">+0.485</w:t>
            </w:r>
          </w:p>
        </w:tc>
        <w:tc>
          <w:p w14:paraId="001002A0" w14:textId="001002A1">
            <w:r>
              <w:t xml:space="preserve">0.039</w:t>
            </w:r>
          </w:p>
        </w:tc>
        <w:tc>
          <w:p w14:paraId="001002A2" w14:textId="001002A3">
            <w:r>
              <w:t xml:space="preserve">32.7</w:t>
            </w:r>
          </w:p>
        </w:tc>
        <w:tc>
          <w:p w14:paraId="001002A4" w14:textId="001002A5">
            <w:r>
              <w:t xml:space="preserve">Upward</w:t>
            </w:r>
          </w:p>
        </w:tc>
      </w:tr>
    </w:tbl>
    <w:p w14:paraId="001002A6" w14:textId="001002A7">
      <w:pPr>
        <w:pStyle w:val="Heading1"/>
        <w:spacing w:before="240" w:after="160"/>
      </w:pPr>
      <w:r>
        <w:rPr>
          <w:b/>
          <w:sz w:val="36"/>
        </w:rPr>
        <w:t xml:space="preserve">Appendix C – Detected Anomalies (Isolation Forest, 5% contamination)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A8" w14:textId="001002A9">
            <w:r>
              <w:t xml:space="preserve">Month</w:t>
            </w:r>
          </w:p>
        </w:tc>
        <w:tc>
          <w:p w14:paraId="001002AA" w14:textId="001002AB">
            <w:r>
              <w:t xml:space="preserve">N02BE Units</w:t>
            </w:r>
          </w:p>
        </w:tc>
        <w:tc>
          <w:p w14:paraId="001002AC" w14:textId="001002AD">
            <w:r>
              <w:t xml:space="preserve">Notes</w:t>
            </w:r>
          </w:p>
        </w:tc>
        <w:tc>
          <w:p w14:paraId="001002AE" w14:textId="001002AF">
            <w:r>
              <w:t xml:space="preserve">Action</w:t>
            </w:r>
          </w:p>
        </w:tc>
      </w:tr>
      <w:tr>
        <w:trPr/>
        <w:tc>
          <w:p w14:paraId="001002B0" w14:textId="001002B1">
            <w:r>
              <w:t xml:space="preserve">Oct 2014</w:t>
            </w:r>
          </w:p>
        </w:tc>
        <w:tc>
          <w:p w14:paraId="001002B2" w14:textId="001002B3">
            <w:r>
              <w:t xml:space="preserve">1,856.8</w:t>
            </w:r>
          </w:p>
        </w:tc>
        <w:tc>
          <w:p w14:paraId="001002B4" w14:textId="001002B5">
            <w:r>
              <w:t xml:space="preserve">N02BE spike: 2x avg. All other drugs also elevated (R06=74.5, N02BA=191.6).</w:t>
            </w:r>
          </w:p>
        </w:tc>
        <w:tc>
          <w:p w14:paraId="001002B6" w14:textId="001002B7">
            <w:r>
              <w:t xml:space="preserve">Investigate cause; pre-stock Oct seasonally</w:t>
            </w:r>
          </w:p>
        </w:tc>
      </w:tr>
      <w:tr>
        <w:trPr/>
        <w:tc>
          <w:p w14:paraId="001002B8" w14:textId="001002B9">
            <w:r>
              <w:t xml:space="preserve">Jan 2017</w:t>
            </w:r>
          </w:p>
        </w:tc>
        <w:tc>
          <w:p w14:paraId="001002BA" w14:textId="001002BB">
            <w:r>
              <w:t xml:space="preserve">0.0</w:t>
            </w:r>
          </w:p>
        </w:tc>
        <w:tc>
          <w:p w14:paraId="001002BC" w14:textId="001002BD">
            <w:r>
              <w:t xml:space="preserve">All 8 drugs = 0. Confirmed data gap in source CSV (pharmacy closed/unreported).</w:t>
            </w:r>
          </w:p>
        </w:tc>
        <w:tc>
          <w:p w14:paraId="001002BE" w14:textId="001002BF">
            <w:r>
              <w:t xml:space="preserve">Exclude from all trend &amp; forecast models</w:t>
            </w:r>
          </w:p>
        </w:tc>
      </w:tr>
      <w:tr>
        <w:trPr/>
        <w:tc>
          <w:p w14:paraId="001002C0" w14:textId="001002C1">
            <w:r>
              <w:t xml:space="preserve">Jan 2019</w:t>
            </w:r>
          </w:p>
        </w:tc>
        <w:tc>
          <w:p w14:paraId="001002C2" w14:textId="001002C3">
            <w:r>
              <w:t xml:space="preserve">1,660.6</w:t>
            </w:r>
          </w:p>
        </w:tc>
        <w:tc>
          <w:p w14:paraId="001002C4" w14:textId="001002C5">
            <w:r>
              <w:t xml:space="preserve">M01AE hit 222.4 (record high). R03 at 386 (peak for year). Multi-drug elevated.</w:t>
            </w:r>
          </w:p>
        </w:tc>
        <w:tc>
          <w:p w14:paraId="001002C6" w14:textId="001002C7">
            <w:r>
              <w:t xml:space="preserve">Review supplier fill-rate for Jan orders</w:t>
            </w:r>
          </w:p>
        </w:tc>
      </w:tr>
      <w:tr>
        <w:trPr/>
        <w:tc>
          <w:p w14:paraId="001002C8" w14:textId="001002C9">
            <w:r>
              <w:t xml:space="preserve">Oct 2019</w:t>
            </w:r>
          </w:p>
        </w:tc>
        <w:tc>
          <w:p w14:paraId="001002CA" w14:textId="001002CB">
            <w:r>
              <w:t xml:space="preserve">295.2</w:t>
            </w:r>
          </w:p>
        </w:tc>
        <w:tc>
          <w:p w14:paraId="001002CC" w14:textId="001002CD">
            <w:r>
              <w:t xml:space="preserve">All drugs severely depressed — N02BE at 295 vs ~850 avg. Possible disruption.</w:t>
            </w:r>
          </w:p>
        </w:tc>
        <w:tc>
          <w:p w14:paraId="001002CE" w14:textId="001002CF">
            <w:r>
              <w:t xml:space="preserve">Verify Oct 2019 data completeness in source</w:t>
            </w:r>
          </w:p>
        </w:tc>
      </w:tr>
    </w:tbl>
    <w:p w14:paraId="001002D0" w14:textId="001002D1">
      <w:pPr>
        <w:pStyle w:val="Heading1"/>
        <w:spacing w:before="240" w:after="160"/>
      </w:pPr>
      <w:r>
        <w:rPr>
          <w:b/>
          <w:sz w:val="36"/>
        </w:rPr>
        <w:t xml:space="preserve">Appendix D – Output Charts Reference</w:t>
      </w:r>
    </w:p>
    <w:p w14:paraId="001002D2" w14:textId="001002D3">
      <w:pPr>
        <w:pStyle w:val="Normal"/>
        <w:spacing w:after="120"/>
      </w:pPr>
      <w:r>
        <w:rPr>
          <w:sz w:val="22"/>
        </w:rPr>
        <w:t xml:space="preserve">All charts are saved in the outputs/ directory of the project. File names, contents, and sizes verified by run_analysis.py.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D4" w14:textId="001002D5">
            <w:r>
              <w:t xml:space="preserve">File</w:t>
            </w:r>
          </w:p>
        </w:tc>
        <w:tc>
          <w:p w14:paraId="001002D6" w14:textId="001002D7">
            <w:r>
              <w:t xml:space="preserve">Contents</w:t>
            </w:r>
          </w:p>
        </w:tc>
        <w:tc>
          <w:p w14:paraId="001002D8" w14:textId="001002D9">
            <w:r>
              <w:t xml:space="preserve">Size (bytes)</w:t>
            </w:r>
          </w:p>
        </w:tc>
      </w:tr>
      <w:tr>
        <w:trPr/>
        <w:tc>
          <w:p w14:paraId="001002DA" w14:textId="001002DB">
            <w:r>
              <w:t xml:space="preserve">01_market_share.png</w:t>
            </w:r>
          </w:p>
        </w:tc>
        <w:tc>
          <w:p w14:paraId="001002DC" w14:textId="001002DD">
            <w:r>
              <w:t xml:space="preserve">Pie chart: drug market share by total volume</w:t>
            </w:r>
          </w:p>
        </w:tc>
        <w:tc>
          <w:p w14:paraId="001002DE" w14:textId="001002DF">
            <w:r>
              <w:t xml:space="preserve">74,880</w:t>
            </w:r>
          </w:p>
        </w:tc>
      </w:tr>
      <w:tr>
        <w:trPr/>
        <w:tc>
          <w:p w14:paraId="001002E0" w14:textId="001002E1">
            <w:r>
              <w:t xml:space="preserve">02_monthly_trends.png</w:t>
            </w:r>
          </w:p>
        </w:tc>
        <w:tc>
          <w:p w14:paraId="001002E2" w14:textId="001002E3">
            <w:r>
              <w:t xml:space="preserve">Line chart: monthly sales trends for all 8 drugs (2014–2019)</w:t>
            </w:r>
          </w:p>
        </w:tc>
        <w:tc>
          <w:p w14:paraId="001002E4" w14:textId="001002E5">
            <w:r>
              <w:t xml:space="preserve">184,990</w:t>
            </w:r>
          </w:p>
        </w:tc>
      </w:tr>
      <w:tr>
        <w:trPr/>
        <w:tc>
          <w:p w14:paraId="001002E6" w14:textId="001002E7">
            <w:r>
              <w:t xml:space="preserve">03_annual_sales.png</w:t>
            </w:r>
          </w:p>
        </w:tc>
        <w:tc>
          <w:p w14:paraId="001002E8" w14:textId="001002E9">
            <w:r>
              <w:t xml:space="preserve">Bar chart: annual sales totals by drug category</w:t>
            </w:r>
          </w:p>
        </w:tc>
        <w:tc>
          <w:p w14:paraId="001002EA" w14:textId="001002EB">
            <w:r>
              <w:t xml:space="preserve">32,411</w:t>
            </w:r>
          </w:p>
        </w:tc>
      </w:tr>
      <w:tr>
        <w:trPr/>
        <w:tc>
          <w:p w14:paraId="001002EC" w14:textId="001002ED">
            <w:r>
              <w:t xml:space="preserve">04_seasonality.png</w:t>
            </w:r>
          </w:p>
        </w:tc>
        <w:tc>
          <w:p w14:paraId="001002EE" w14:textId="001002EF">
            <w:r>
              <w:t xml:space="preserve">Line chart: monthly seasonality profile per drug (avg by month)</w:t>
            </w:r>
          </w:p>
        </w:tc>
        <w:tc>
          <w:p w14:paraId="001002F0" w14:textId="001002F1">
            <w:r>
              <w:t xml:space="preserve">222,793</w:t>
            </w:r>
          </w:p>
        </w:tc>
      </w:tr>
      <w:tr>
        <w:trPr/>
        <w:tc>
          <w:p w14:paraId="001002F2" w14:textId="001002F3">
            <w:r>
              <w:t xml:space="preserve">05_dow_pattern.png</w:t>
            </w:r>
          </w:p>
        </w:tc>
        <w:tc>
          <w:p w14:paraId="001002F4" w14:textId="001002F5">
            <w:r>
              <w:t xml:space="preserve">Bar chart: average daily sales by day of week</w:t>
            </w:r>
          </w:p>
        </w:tc>
        <w:tc>
          <w:p w14:paraId="001002F6" w14:textId="001002F7">
            <w:r>
              <w:t xml:space="preserve">38,530</w:t>
            </w:r>
          </w:p>
        </w:tc>
      </w:tr>
      <w:tr>
        <w:trPr/>
        <w:tc>
          <w:p w14:paraId="001002F8" w14:textId="001002F9">
            <w:r>
              <w:t xml:space="preserve">06_hourly_pattern.png</w:t>
            </w:r>
          </w:p>
        </w:tc>
        <w:tc>
          <w:p w14:paraId="001002FA" w14:textId="001002FB">
            <w:r>
              <w:t xml:space="preserve">Line chart: average hourly sales pattern</w:t>
            </w:r>
          </w:p>
        </w:tc>
        <w:tc>
          <w:p w14:paraId="001002FC" w14:textId="001002FD">
            <w:r>
              <w:t xml:space="preserve">96,537</w:t>
            </w:r>
          </w:p>
        </w:tc>
      </w:tr>
      <w:tr>
        <w:trPr/>
        <w:tc>
          <w:p w14:paraId="001002FE" w14:textId="001002FF">
            <w:r>
              <w:t xml:space="preserve">07_correlation.png</w:t>
            </w:r>
          </w:p>
        </w:tc>
        <w:tc>
          <w:p w14:paraId="00100300" w14:textId="00100301">
            <w:r>
              <w:t xml:space="preserve">Heatmap: Pearson correlation matrix between all 8 drug categories</w:t>
            </w:r>
          </w:p>
        </w:tc>
        <w:tc>
          <w:p w14:paraId="00100302" w14:textId="00100303">
            <w:r>
              <w:t xml:space="preserve">71,295</w:t>
            </w:r>
          </w:p>
        </w:tc>
      </w:tr>
      <w:tr>
        <w:trPr/>
        <w:tc>
          <w:p w14:paraId="00100304" w14:textId="00100305">
            <w:r>
              <w:t xml:space="preserve">08_anomaly_n02be.png</w:t>
            </w:r>
          </w:p>
        </w:tc>
        <w:tc>
          <w:p w14:paraId="00100306" w14:textId="00100307">
            <w:r>
              <w:t xml:space="preserve">Line + scatter: N02BE monthly sales with Isolation Forest anomaly flags</w:t>
            </w:r>
          </w:p>
        </w:tc>
        <w:tc>
          <w:p w14:paraId="00100308" w14:textId="00100309">
            <w:r>
              <w:t xml:space="preserve">84,108</w:t>
            </w:r>
          </w:p>
        </w:tc>
      </w:tr>
      <w:tr>
        <w:trPr/>
        <w:tc>
          <w:p w14:paraId="0010030A" w14:textId="0010030B">
            <w:r>
              <w:t xml:space="preserve">09_zscore_anomalies.png</w:t>
            </w:r>
          </w:p>
        </w:tc>
        <w:tc>
          <w:p w14:paraId="0010030C" w14:textId="0010030D">
            <w:r>
              <w:t xml:space="preserve">Line + scatter: daily total sales with Z-score outlier flags (|Z|&gt;3)</w:t>
            </w:r>
          </w:p>
        </w:tc>
        <w:tc>
          <w:p w14:paraId="0010030E" w14:textId="0010030F">
            <w:r>
              <w:t xml:space="preserve">157,469</w:t>
            </w:r>
          </w:p>
        </w:tc>
      </w:tr>
      <w:tr>
        <w:trPr/>
        <w:tc>
          <w:p w14:paraId="00100310" w14:textId="00100311">
            <w:r>
              <w:t xml:space="preserve">10_forecast_all_drugs.png</w:t>
            </w:r>
          </w:p>
        </w:tc>
        <w:tc>
          <w:p w14:paraId="00100312" w14:textId="00100313">
            <w:r>
              <w:t xml:space="preserve">Multi-panel: 6-month linear forecast with test-set overlay for all drugs</w:t>
            </w:r>
          </w:p>
        </w:tc>
        <w:tc>
          <w:p w14:paraId="00100314" w14:textId="00100315">
            <w:r>
              <w:t xml:space="preserve">336,361</w:t>
            </w:r>
          </w:p>
        </w:tc>
      </w:tr>
      <w:tr>
        <w:trPr/>
        <w:tc>
          <w:p w14:paraId="00100316" w14:textId="00100317">
            <w:r>
              <w:t xml:space="preserve">11_moving_average_n02be.png</w:t>
            </w:r>
          </w:p>
        </w:tc>
        <w:tc>
          <w:p w14:paraId="00100318" w14:textId="00100319">
            <w:r>
              <w:t xml:space="preserve">Line chart: N02BE actual vs 3-month &amp; 6-month moving averages</w:t>
            </w:r>
          </w:p>
        </w:tc>
        <w:tc>
          <w:p w14:paraId="0010031A" w14:textId="0010031B">
            <w:r>
              <w:t xml:space="preserve">126,935</w:t>
            </w:r>
          </w:p>
        </w:tc>
      </w:tr>
      <w:tr>
        <w:trPr/>
        <w:tc>
          <w:p w14:paraId="0010031C" w14:textId="0010031D">
            <w:r>
              <w:t xml:space="preserve">12_risk_cv.png</w:t>
            </w:r>
          </w:p>
        </w:tc>
        <w:tc>
          <w:p w14:paraId="0010031E" w14:textId="0010031F">
            <w:r>
              <w:t xml:space="preserve">Bar chart: coefficient of variation (%) by drug with risk tier colour</w:t>
            </w:r>
          </w:p>
        </w:tc>
        <w:tc>
          <w:p w14:paraId="00100320" w14:textId="00100321">
            <w:r>
              <w:t xml:space="preserve">35,758</w:t>
            </w:r>
          </w:p>
        </w:tc>
      </w:tr>
      <w:tr>
        <w:trPr/>
        <w:tc>
          <w:p w14:paraId="00100322" w14:textId="00100323">
            <w:r>
              <w:t xml:space="preserve">13_yoy_growth.png</w:t>
            </w:r>
          </w:p>
        </w:tc>
        <w:tc>
          <w:p w14:paraId="00100324" w14:textId="00100325">
            <w:r>
              <w:t xml:space="preserve">Bar chart: year-on-year growth rates for each drug category (2015–2018)</w:t>
            </w:r>
          </w:p>
        </w:tc>
        <w:tc>
          <w:p w14:paraId="00100326" w14:textId="00100327">
            <w:r>
              <w:t xml:space="preserve">49,843</w:t>
            </w:r>
          </w:p>
        </w:tc>
      </w:tr>
      <w:tr>
        <w:trPr/>
        <w:tc>
          <w:p w14:paraId="00100328" w14:textId="00100329">
            <w:r>
              <w:t xml:space="preserve">14_growth_opportunity.png</w:t>
            </w:r>
          </w:p>
        </w:tc>
        <w:tc>
          <w:p w14:paraId="0010032A" w14:textId="0010032B">
            <w:r>
              <w:t xml:space="preserve">Horizontal bar: 2014 vs 2018 avg monthly sales with growth % labels</w:t>
            </w:r>
          </w:p>
        </w:tc>
        <w:tc>
          <w:p w14:paraId="0010032C" w14:textId="0010032D">
            <w:r>
              <w:t xml:space="preserve">29,824</w:t>
            </w:r>
          </w:p>
        </w:tc>
      </w:tr>
      <w:tr>
        <w:trPr/>
        <w:tc>
          <w:p w14:paraId="0010032E" w14:textId="0010032F">
            <w:r>
              <w:t xml:space="preserve">15_drug_clusters.png</w:t>
            </w:r>
          </w:p>
        </w:tc>
        <w:tc>
          <w:p w14:paraId="00100330" w14:textId="00100331">
            <w:r>
              <w:t xml:space="preserve">Scatter plot: K-Means clusters (total sales vs CV%) for all 8 drugs</w:t>
            </w:r>
          </w:p>
        </w:tc>
        <w:tc>
          <w:p w14:paraId="00100332" w14:textId="00100333">
            <w:r>
              <w:t xml:space="preserve">46,216</w:t>
            </w:r>
          </w:p>
        </w:tc>
      </w:tr>
      <w:tr>
        <w:trPr/>
        <w:tc>
          <w:p w14:paraId="00100334" w14:textId="00100335">
            <w:r>
              <w:t xml:space="preserve">16_seasonal_by_cluster.png</w:t>
            </w:r>
          </w:p>
        </w:tc>
        <w:tc>
          <w:p w14:paraId="00100336" w14:textId="00100337">
            <w:r>
              <w:t xml:space="preserve">Line chart: seasonal demand profile by cluster group</w:t>
            </w:r>
          </w:p>
        </w:tc>
        <w:tc>
          <w:p w14:paraId="00100338" w14:textId="00100339">
            <w:r>
              <w:t xml:space="preserve">90,948</w:t>
            </w:r>
          </w:p>
        </w:tc>
      </w:tr>
      <w:tr>
        <w:trPr/>
        <w:tc>
          <w:p w14:paraId="0010033A" w14:textId="0010033B">
            <w:r>
              <w:t xml:space="preserve">17_weekly_heatmap_n02be.png</w:t>
            </w:r>
          </w:p>
        </w:tc>
        <w:tc>
          <w:p w14:paraId="0010033C" w14:textId="0010033D">
            <w:r>
              <w:t xml:space="preserve">Heatmap: N02BE demand intensity by hour-of-day vs day-of-week</w:t>
            </w:r>
          </w:p>
        </w:tc>
        <w:tc>
          <w:p w14:paraId="0010033E" w14:textId="0010033F">
            <w:r>
              <w:t xml:space="preserve">43,742</w:t>
            </w:r>
          </w:p>
        </w:tc>
      </w:tr>
    </w:tbl>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8bf4523265a4cf6" /><Relationship Type="http://schemas.openxmlformats.org/officeDocument/2006/relationships/styles" Target="/word/styles.xml" Id="R343ba58a95ab4ed7" /><Relationship Type="http://schemas.openxmlformats.org/officeDocument/2006/relationships/theme" Target="/word/theme/theme1.xml" Id="R2e11cce508244e1b" /><Relationship Type="http://schemas.openxmlformats.org/officeDocument/2006/relationships/numbering" Target="/word/numbering.xml" Id="R0cd198851dcf41a0" /><Relationship Type="http://schemas.openxmlformats.org/officeDocument/2006/relationships/image" Target="/media/image.png" Id="R810536ba56964a0b" /><Relationship Type="http://schemas.openxmlformats.org/officeDocument/2006/relationships/image" Target="/media/image2.png" Id="Rbc57af437099440b" /><Relationship Type="http://schemas.openxmlformats.org/officeDocument/2006/relationships/image" Target="/media/image3.png" Id="R51977b3a470f4cea" /><Relationship Type="http://schemas.openxmlformats.org/officeDocument/2006/relationships/image" Target="/media/image4.png" Id="R2e87d6d244324607" /><Relationship Type="http://schemas.openxmlformats.org/officeDocument/2006/relationships/image" Target="/media/image5.png" Id="R1b623be615c64d6e" /><Relationship Type="http://schemas.openxmlformats.org/officeDocument/2006/relationships/image" Target="/media/image6.png" Id="Rd9562b58a8644a29" /><Relationship Type="http://schemas.openxmlformats.org/officeDocument/2006/relationships/image" Target="/media/image7.png" Id="R9ca6b5a7f13e4b1d" /><Relationship Type="http://schemas.openxmlformats.org/officeDocument/2006/relationships/image" Target="/media/image8.png" Id="Ra7d15c48b023435e" /><Relationship Type="http://schemas.openxmlformats.org/officeDocument/2006/relationships/image" Target="/media/image9.png" Id="R402b7a61ad1a49fe" /><Relationship Type="http://schemas.openxmlformats.org/officeDocument/2006/relationships/image" Target="/media/image10.png" Id="Rdfa28f8f33be4f82" /><Relationship Type="http://schemas.openxmlformats.org/officeDocument/2006/relationships/image" Target="/media/image11.png" Id="Rbbf79f869d7745cc" /><Relationship Type="http://schemas.openxmlformats.org/officeDocument/2006/relationships/image" Target="/media/image12.png" Id="R851aa717ea9a41b9" /><Relationship Type="http://schemas.openxmlformats.org/officeDocument/2006/relationships/image" Target="/media/image13.png" Id="R49def57525ac4acf" /><Relationship Type="http://schemas.openxmlformats.org/officeDocument/2006/relationships/image" Target="/media/image14.png" Id="R1e0156c58a6d4719" /><Relationship Type="http://schemas.openxmlformats.org/officeDocument/2006/relationships/image" Target="/media/image15.png" Id="Ra55de5dc780748e6" /><Relationship Type="http://schemas.openxmlformats.org/officeDocument/2006/relationships/image" Target="/media/image16.png" Id="R1e1a25a3ae1245b0" /><Relationship Type="http://schemas.openxmlformats.org/officeDocument/2006/relationships/image" Target="/media/image17.png" Id="R17e15b965a3547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2026-09-21T19:15:24Z</dcterms:created>
  <cp:lastModifiedBy>OfficeCLI</cp:lastModifiedBy>
  <dcterms:modified xsi:type="dcterms:W3CDTF">2026-09-21T19:15:24Z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2026-09-22T11:41:47Z</vt:lpwstr>
  </op:property>
</op:Properties>
</file>