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EB07D">
      <w:pPr>
        <w:jc w:val="center"/>
        <w:rPr>
          <w:b/>
          <w:bCs/>
          <w:sz w:val="34"/>
          <w:szCs w:val="34"/>
        </w:rPr>
      </w:pPr>
      <w:bookmarkStart w:id="0" w:name="_GoBack"/>
      <w:bookmarkEnd w:id="0"/>
      <w:r>
        <w:rPr>
          <w:b/>
          <w:bCs/>
          <w:sz w:val="34"/>
          <w:szCs w:val="34"/>
        </w:rPr>
        <w:t>SIMATS ENGINEERING</w:t>
      </w:r>
    </w:p>
    <w:p w14:paraId="3D058AB8">
      <w:pPr>
        <w:jc w:val="center"/>
        <w:rPr>
          <w:b/>
          <w:bCs/>
          <w:sz w:val="28"/>
          <w:szCs w:val="28"/>
        </w:rPr>
      </w:pPr>
      <w:r>
        <w:rPr>
          <w:b/>
          <w:bCs/>
          <w:sz w:val="28"/>
          <w:szCs w:val="28"/>
        </w:rPr>
        <w:t>ASSESSMENT TOOL 3</w:t>
      </w:r>
    </w:p>
    <w:p w14:paraId="18A7907C">
      <w:pPr>
        <w:jc w:val="center"/>
        <w:rPr>
          <w:b/>
          <w:bCs/>
          <w:sz w:val="34"/>
          <w:szCs w:val="34"/>
        </w:rPr>
      </w:pPr>
    </w:p>
    <w:p w14:paraId="6F5E9E24">
      <w:pPr>
        <w:jc w:val="center"/>
        <w:rPr>
          <w:b/>
          <w:bCs/>
          <w:sz w:val="34"/>
          <w:szCs w:val="34"/>
        </w:rPr>
      </w:pPr>
    </w:p>
    <w:p w14:paraId="626BAF23">
      <w:pPr>
        <w:rPr>
          <w:b/>
          <w:bCs/>
          <w:sz w:val="24"/>
          <w:szCs w:val="24"/>
        </w:rPr>
      </w:pPr>
      <w:r>
        <w:rPr>
          <w:b/>
          <w:bCs/>
          <w:sz w:val="24"/>
          <w:szCs w:val="24"/>
        </w:rPr>
        <w:t>COURSE NAME:</w:t>
      </w:r>
      <w:r>
        <w:rPr>
          <w:b/>
          <w:bCs/>
          <w:sz w:val="24"/>
          <w:szCs w:val="24"/>
        </w:rPr>
        <w:tab/>
      </w:r>
      <w:r>
        <w:rPr>
          <w:b/>
          <w:bCs/>
          <w:sz w:val="24"/>
          <w:szCs w:val="24"/>
        </w:rPr>
        <w:t>Database Management Systems</w:t>
      </w:r>
    </w:p>
    <w:p w14:paraId="582AC687">
      <w:pPr>
        <w:rPr>
          <w:b/>
          <w:bCs/>
          <w:sz w:val="24"/>
          <w:szCs w:val="24"/>
        </w:rPr>
      </w:pPr>
      <w:r>
        <w:rPr>
          <w:b/>
          <w:bCs/>
          <w:sz w:val="24"/>
          <w:szCs w:val="24"/>
        </w:rPr>
        <w:t>COURSE CODE:</w:t>
      </w:r>
      <w:r>
        <w:rPr>
          <w:b/>
          <w:bCs/>
          <w:sz w:val="24"/>
          <w:szCs w:val="24"/>
        </w:rPr>
        <w:tab/>
      </w:r>
      <w:r>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C0F09B2">
      <w:pPr>
        <w:rPr>
          <w:b/>
          <w:bCs/>
          <w:sz w:val="24"/>
          <w:szCs w:val="24"/>
        </w:rPr>
      </w:pPr>
    </w:p>
    <w:p w14:paraId="67F3FE01">
      <w:pPr>
        <w:rPr>
          <w:b/>
          <w:bCs/>
          <w:sz w:val="24"/>
          <w:szCs w:val="24"/>
        </w:rPr>
      </w:pPr>
    </w:p>
    <w:p w14:paraId="16644E73">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21223C57">
      <w:pPr>
        <w:rPr>
          <w:b/>
          <w:bCs/>
          <w:sz w:val="24"/>
          <w:szCs w:val="24"/>
        </w:rPr>
      </w:pPr>
    </w:p>
    <w:p w14:paraId="39718FAD">
      <w:pPr>
        <w:rPr>
          <w:b/>
          <w:bCs/>
          <w:sz w:val="24"/>
          <w:szCs w:val="24"/>
        </w:rPr>
      </w:pPr>
      <w:r>
        <w:rPr>
          <w:b/>
          <w:bCs/>
          <w:sz w:val="24"/>
          <w:szCs w:val="24"/>
        </w:rPr>
        <w:t>COURSE OUTCOME COVERED</w:t>
      </w:r>
    </w:p>
    <w:p w14:paraId="54A1B0EB">
      <w:pPr>
        <w:rPr>
          <w:b/>
          <w:bCs/>
          <w:sz w:val="24"/>
          <w:szCs w:val="24"/>
        </w:rPr>
      </w:pPr>
    </w:p>
    <w:p w14:paraId="5A0D15BD">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4307E2DB">
      <w:pPr>
        <w:rPr>
          <w:sz w:val="24"/>
          <w:szCs w:val="24"/>
        </w:rPr>
      </w:pPr>
    </w:p>
    <w:p w14:paraId="2096B451">
      <w:pPr>
        <w:rPr>
          <w:sz w:val="24"/>
          <w:szCs w:val="24"/>
        </w:rPr>
      </w:pPr>
      <w:r>
        <w:rPr>
          <w:sz w:val="24"/>
          <w:szCs w:val="24"/>
        </w:rPr>
        <w:t xml:space="preserve">Activity Tool </w:t>
      </w:r>
      <w:r>
        <w:rPr>
          <w:sz w:val="24"/>
          <w:szCs w:val="24"/>
        </w:rPr>
        <w:tab/>
      </w:r>
      <w:r>
        <w:rPr>
          <w:sz w:val="24"/>
          <w:szCs w:val="24"/>
        </w:rPr>
        <w:t>: Debugging &amp; Optimisation Task (Low)</w:t>
      </w:r>
    </w:p>
    <w:p w14:paraId="4F792632">
      <w:pPr>
        <w:rPr>
          <w:sz w:val="24"/>
          <w:szCs w:val="24"/>
        </w:rPr>
      </w:pPr>
      <w:r>
        <w:rPr>
          <w:sz w:val="24"/>
          <w:szCs w:val="24"/>
        </w:rPr>
        <w:t>Assessment Tool Weightage: 30%</w:t>
      </w:r>
    </w:p>
    <w:p w14:paraId="75BB39A2">
      <w:pPr>
        <w:rPr>
          <w:sz w:val="24"/>
          <w:szCs w:val="24"/>
        </w:rPr>
      </w:pPr>
    </w:p>
    <w:p w14:paraId="2A9EE427">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4E251CF3">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5982"/>
        <w:gridCol w:w="1688"/>
        <w:gridCol w:w="996"/>
      </w:tblGrid>
      <w:tr w14:paraId="4256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Mar>
              <w:top w:w="100" w:type="dxa"/>
              <w:left w:w="180" w:type="dxa"/>
              <w:bottom w:w="100" w:type="dxa"/>
              <w:right w:w="180" w:type="dxa"/>
            </w:tcMar>
          </w:tcPr>
          <w:p w14:paraId="6159852B">
            <w:pPr>
              <w:spacing w:after="60"/>
            </w:pPr>
            <w:r>
              <w:rPr>
                <w:b/>
                <w:bCs/>
              </w:rPr>
              <w:t>QUESTIONS</w:t>
            </w:r>
            <w:r>
              <w:rPr>
                <w:sz w:val="20"/>
                <w:szCs w:val="20"/>
              </w:rPr>
              <w:t xml:space="preserve">                                                                                                       Total Marks: 50</w:t>
            </w:r>
          </w:p>
        </w:tc>
      </w:tr>
      <w:tr w14:paraId="4201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120" w:type="dxa"/>
              <w:bottom w:w="80" w:type="dxa"/>
              <w:right w:w="120" w:type="dxa"/>
            </w:tcMar>
            <w:vAlign w:val="center"/>
          </w:tcPr>
          <w:p w14:paraId="14B9731F">
            <w:pPr>
              <w:spacing w:after="60"/>
              <w:jc w:val="center"/>
            </w:pPr>
            <w:r>
              <w:rPr>
                <w:b/>
                <w:bCs/>
                <w:sz w:val="19"/>
                <w:szCs w:val="19"/>
              </w:rPr>
              <w:t>Q.No</w:t>
            </w:r>
          </w:p>
        </w:tc>
        <w:tc>
          <w:tcPr>
            <w:tcW w:w="6060" w:type="dxa"/>
            <w:tcMar>
              <w:top w:w="80" w:type="dxa"/>
              <w:left w:w="120" w:type="dxa"/>
              <w:bottom w:w="80" w:type="dxa"/>
              <w:right w:w="120" w:type="dxa"/>
            </w:tcMar>
            <w:vAlign w:val="center"/>
          </w:tcPr>
          <w:p w14:paraId="29822AFA">
            <w:pPr>
              <w:spacing w:after="60"/>
              <w:jc w:val="center"/>
            </w:pPr>
            <w:r>
              <w:rPr>
                <w:b/>
                <w:bCs/>
                <w:sz w:val="19"/>
                <w:szCs w:val="19"/>
              </w:rPr>
              <w:t>Question</w:t>
            </w:r>
          </w:p>
        </w:tc>
        <w:tc>
          <w:tcPr>
            <w:tcW w:w="1700" w:type="dxa"/>
            <w:tcMar>
              <w:top w:w="80" w:type="dxa"/>
              <w:left w:w="120" w:type="dxa"/>
              <w:bottom w:w="80" w:type="dxa"/>
              <w:right w:w="120" w:type="dxa"/>
            </w:tcMar>
            <w:vAlign w:val="center"/>
          </w:tcPr>
          <w:p w14:paraId="01B793F0">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7AB30CDD">
            <w:pPr>
              <w:spacing w:after="60"/>
              <w:jc w:val="center"/>
            </w:pPr>
            <w:r>
              <w:rPr>
                <w:b/>
                <w:bCs/>
                <w:sz w:val="19"/>
                <w:szCs w:val="19"/>
              </w:rPr>
              <w:t>Marks</w:t>
            </w:r>
          </w:p>
        </w:tc>
      </w:tr>
      <w:tr w14:paraId="7F4E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EB38B6D">
            <w:pPr>
              <w:spacing w:after="60"/>
              <w:jc w:val="center"/>
            </w:pPr>
            <w:r>
              <w:rPr>
                <w:b/>
                <w:bCs/>
                <w:sz w:val="19"/>
                <w:szCs w:val="19"/>
              </w:rPr>
              <w:t>1</w:t>
            </w:r>
          </w:p>
        </w:tc>
        <w:tc>
          <w:tcPr>
            <w:tcW w:w="6060" w:type="dxa"/>
            <w:tcMar>
              <w:top w:w="80" w:type="dxa"/>
              <w:left w:w="120" w:type="dxa"/>
              <w:bottom w:w="80" w:type="dxa"/>
              <w:right w:w="120" w:type="dxa"/>
            </w:tcMar>
          </w:tcPr>
          <w:p w14:paraId="58F8AF1C">
            <w:pPr>
              <w:spacing w:after="60"/>
            </w:pPr>
            <w:r>
              <w:rPr>
                <w:sz w:val="19"/>
                <w:szCs w:val="19"/>
              </w:rPr>
              <w:t>Identify and fix the error in the given SQL query that uses incorrect JOIN syntax and returns duplicate results.</w:t>
            </w:r>
          </w:p>
        </w:tc>
        <w:tc>
          <w:tcPr>
            <w:tcW w:w="1700" w:type="dxa"/>
            <w:tcMar>
              <w:top w:w="80" w:type="dxa"/>
              <w:left w:w="80" w:type="dxa"/>
              <w:bottom w:w="80" w:type="dxa"/>
              <w:right w:w="80" w:type="dxa"/>
            </w:tcMar>
            <w:vAlign w:val="center"/>
          </w:tcPr>
          <w:p w14:paraId="5762AF32">
            <w:pPr>
              <w:spacing w:after="60"/>
              <w:jc w:val="center"/>
            </w:pPr>
            <w:r>
              <w:rPr>
                <w:sz w:val="17"/>
                <w:szCs w:val="17"/>
              </w:rPr>
              <w:t>BL3 – Apply</w:t>
            </w:r>
          </w:p>
        </w:tc>
        <w:tc>
          <w:tcPr>
            <w:tcW w:w="1000" w:type="dxa"/>
            <w:tcMar>
              <w:top w:w="80" w:type="dxa"/>
              <w:left w:w="60" w:type="dxa"/>
              <w:bottom w:w="80" w:type="dxa"/>
              <w:right w:w="60" w:type="dxa"/>
            </w:tcMar>
            <w:vAlign w:val="center"/>
          </w:tcPr>
          <w:p w14:paraId="7FE7EBD3">
            <w:pPr>
              <w:spacing w:after="60"/>
              <w:jc w:val="center"/>
            </w:pPr>
            <w:r>
              <w:rPr>
                <w:b/>
                <w:bCs/>
                <w:sz w:val="19"/>
                <w:szCs w:val="19"/>
              </w:rPr>
              <w:t>5</w:t>
            </w:r>
          </w:p>
        </w:tc>
      </w:tr>
      <w:tr w14:paraId="4FC0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3315A89">
            <w:pPr>
              <w:spacing w:after="60"/>
              <w:jc w:val="center"/>
            </w:pPr>
            <w:r>
              <w:rPr>
                <w:b/>
                <w:bCs/>
                <w:sz w:val="19"/>
                <w:szCs w:val="19"/>
              </w:rPr>
              <w:t>2</w:t>
            </w:r>
          </w:p>
        </w:tc>
        <w:tc>
          <w:tcPr>
            <w:tcW w:w="6060" w:type="dxa"/>
            <w:tcMar>
              <w:top w:w="80" w:type="dxa"/>
              <w:left w:w="120" w:type="dxa"/>
              <w:bottom w:w="80" w:type="dxa"/>
              <w:right w:w="120" w:type="dxa"/>
            </w:tcMar>
          </w:tcPr>
          <w:p w14:paraId="676AECCB">
            <w:pPr>
              <w:spacing w:after="60"/>
            </w:pPr>
            <w:r>
              <w:rPr>
                <w:sz w:val="19"/>
                <w:szCs w:val="19"/>
              </w:rPr>
              <w:t>The following sub-query returns incorrect results due to a missing correlation. Debug and rewrite it correctly.</w:t>
            </w:r>
          </w:p>
        </w:tc>
        <w:tc>
          <w:tcPr>
            <w:tcW w:w="1700" w:type="dxa"/>
            <w:tcMar>
              <w:top w:w="80" w:type="dxa"/>
              <w:left w:w="80" w:type="dxa"/>
              <w:bottom w:w="80" w:type="dxa"/>
              <w:right w:w="80" w:type="dxa"/>
            </w:tcMar>
            <w:vAlign w:val="center"/>
          </w:tcPr>
          <w:p w14:paraId="0C0B1C57">
            <w:pPr>
              <w:spacing w:after="60"/>
              <w:jc w:val="center"/>
            </w:pPr>
            <w:r>
              <w:rPr>
                <w:sz w:val="17"/>
                <w:szCs w:val="17"/>
              </w:rPr>
              <w:t>BL3 – Apply</w:t>
            </w:r>
          </w:p>
        </w:tc>
        <w:tc>
          <w:tcPr>
            <w:tcW w:w="1000" w:type="dxa"/>
            <w:tcMar>
              <w:top w:w="80" w:type="dxa"/>
              <w:left w:w="60" w:type="dxa"/>
              <w:bottom w:w="80" w:type="dxa"/>
              <w:right w:w="60" w:type="dxa"/>
            </w:tcMar>
            <w:vAlign w:val="center"/>
          </w:tcPr>
          <w:p w14:paraId="214ADAFF">
            <w:pPr>
              <w:spacing w:after="60"/>
              <w:jc w:val="center"/>
            </w:pPr>
            <w:r>
              <w:rPr>
                <w:b/>
                <w:bCs/>
                <w:sz w:val="19"/>
                <w:szCs w:val="19"/>
              </w:rPr>
              <w:t>5</w:t>
            </w:r>
          </w:p>
        </w:tc>
      </w:tr>
      <w:tr w14:paraId="3A30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BAF4BEC">
            <w:pPr>
              <w:spacing w:after="60"/>
              <w:jc w:val="center"/>
            </w:pPr>
            <w:r>
              <w:rPr>
                <w:b/>
                <w:bCs/>
                <w:sz w:val="19"/>
                <w:szCs w:val="19"/>
              </w:rPr>
              <w:t>3</w:t>
            </w:r>
          </w:p>
        </w:tc>
        <w:tc>
          <w:tcPr>
            <w:tcW w:w="6060" w:type="dxa"/>
            <w:tcMar>
              <w:top w:w="80" w:type="dxa"/>
              <w:left w:w="120" w:type="dxa"/>
              <w:bottom w:w="80" w:type="dxa"/>
              <w:right w:w="120" w:type="dxa"/>
            </w:tcMar>
          </w:tcPr>
          <w:p w14:paraId="2F004AE4">
            <w:pPr>
              <w:spacing w:after="60"/>
            </w:pPr>
            <w:r>
              <w:rPr>
                <w:sz w:val="19"/>
                <w:szCs w:val="19"/>
              </w:rPr>
              <w:t>A given SQL view definition causes errors when queried. Identify the issue and rewrite a correct and optimized view.</w:t>
            </w:r>
          </w:p>
        </w:tc>
        <w:tc>
          <w:tcPr>
            <w:tcW w:w="1700" w:type="dxa"/>
            <w:tcMar>
              <w:top w:w="80" w:type="dxa"/>
              <w:left w:w="80" w:type="dxa"/>
              <w:bottom w:w="80" w:type="dxa"/>
              <w:right w:w="80" w:type="dxa"/>
            </w:tcMar>
            <w:vAlign w:val="center"/>
          </w:tcPr>
          <w:p w14:paraId="3945E279">
            <w:pPr>
              <w:spacing w:after="60"/>
              <w:jc w:val="center"/>
            </w:pPr>
            <w:r>
              <w:rPr>
                <w:sz w:val="17"/>
                <w:szCs w:val="17"/>
              </w:rPr>
              <w:t>BL3 – Apply</w:t>
            </w:r>
          </w:p>
        </w:tc>
        <w:tc>
          <w:tcPr>
            <w:tcW w:w="1000" w:type="dxa"/>
            <w:tcMar>
              <w:top w:w="80" w:type="dxa"/>
              <w:left w:w="60" w:type="dxa"/>
              <w:bottom w:w="80" w:type="dxa"/>
              <w:right w:w="60" w:type="dxa"/>
            </w:tcMar>
            <w:vAlign w:val="center"/>
          </w:tcPr>
          <w:p w14:paraId="490E0709">
            <w:pPr>
              <w:spacing w:after="60"/>
              <w:jc w:val="center"/>
            </w:pPr>
            <w:r>
              <w:rPr>
                <w:b/>
                <w:bCs/>
                <w:sz w:val="19"/>
                <w:szCs w:val="19"/>
              </w:rPr>
              <w:t>5</w:t>
            </w:r>
          </w:p>
        </w:tc>
      </w:tr>
      <w:tr w14:paraId="5A33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AFFC995">
            <w:pPr>
              <w:spacing w:after="60"/>
              <w:jc w:val="center"/>
            </w:pPr>
            <w:r>
              <w:rPr>
                <w:b/>
                <w:bCs/>
                <w:sz w:val="19"/>
                <w:szCs w:val="19"/>
              </w:rPr>
              <w:t>4</w:t>
            </w:r>
          </w:p>
        </w:tc>
        <w:tc>
          <w:tcPr>
            <w:tcW w:w="6060" w:type="dxa"/>
            <w:tcMar>
              <w:top w:w="80" w:type="dxa"/>
              <w:left w:w="120" w:type="dxa"/>
              <w:bottom w:w="80" w:type="dxa"/>
              <w:right w:w="120" w:type="dxa"/>
            </w:tcMar>
          </w:tcPr>
          <w:p w14:paraId="41E550A4">
            <w:pPr>
              <w:spacing w:after="60"/>
            </w:pPr>
            <w:r>
              <w:rPr>
                <w:sz w:val="19"/>
                <w:szCs w:val="19"/>
              </w:rPr>
              <w:t>Debug the given relational algebra expression that produces incorrect output for a natural join operation.</w:t>
            </w:r>
          </w:p>
        </w:tc>
        <w:tc>
          <w:tcPr>
            <w:tcW w:w="1700" w:type="dxa"/>
            <w:tcMar>
              <w:top w:w="80" w:type="dxa"/>
              <w:left w:w="80" w:type="dxa"/>
              <w:bottom w:w="80" w:type="dxa"/>
              <w:right w:w="80" w:type="dxa"/>
            </w:tcMar>
            <w:vAlign w:val="center"/>
          </w:tcPr>
          <w:p w14:paraId="155372A1">
            <w:pPr>
              <w:spacing w:after="60"/>
              <w:jc w:val="center"/>
            </w:pPr>
            <w:r>
              <w:rPr>
                <w:sz w:val="17"/>
                <w:szCs w:val="17"/>
              </w:rPr>
              <w:t>BL3 – Apply</w:t>
            </w:r>
          </w:p>
        </w:tc>
        <w:tc>
          <w:tcPr>
            <w:tcW w:w="1000" w:type="dxa"/>
            <w:tcMar>
              <w:top w:w="80" w:type="dxa"/>
              <w:left w:w="60" w:type="dxa"/>
              <w:bottom w:w="80" w:type="dxa"/>
              <w:right w:w="60" w:type="dxa"/>
            </w:tcMar>
            <w:vAlign w:val="center"/>
          </w:tcPr>
          <w:p w14:paraId="3D61562B">
            <w:pPr>
              <w:spacing w:after="60"/>
              <w:jc w:val="center"/>
            </w:pPr>
            <w:r>
              <w:rPr>
                <w:b/>
                <w:bCs/>
                <w:sz w:val="19"/>
                <w:szCs w:val="19"/>
              </w:rPr>
              <w:t>5</w:t>
            </w:r>
          </w:p>
        </w:tc>
      </w:tr>
      <w:tr w14:paraId="009E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030E297F">
            <w:pPr>
              <w:spacing w:after="60"/>
              <w:jc w:val="center"/>
            </w:pPr>
            <w:r>
              <w:rPr>
                <w:b/>
                <w:bCs/>
                <w:sz w:val="19"/>
                <w:szCs w:val="19"/>
              </w:rPr>
              <w:t>5</w:t>
            </w:r>
          </w:p>
        </w:tc>
        <w:tc>
          <w:tcPr>
            <w:tcW w:w="6060" w:type="dxa"/>
            <w:tcMar>
              <w:top w:w="80" w:type="dxa"/>
              <w:left w:w="120" w:type="dxa"/>
              <w:bottom w:w="80" w:type="dxa"/>
              <w:right w:w="120" w:type="dxa"/>
            </w:tcMar>
          </w:tcPr>
          <w:p w14:paraId="515A9AEB">
            <w:pPr>
              <w:spacing w:after="60"/>
            </w:pPr>
            <w:r>
              <w:rPr>
                <w:sz w:val="19"/>
                <w:szCs w:val="19"/>
              </w:rPr>
              <w:t>The SQL query below violates referential integrity. Identify the violation and modify the statements to enforce proper constraints.</w:t>
            </w:r>
          </w:p>
        </w:tc>
        <w:tc>
          <w:tcPr>
            <w:tcW w:w="1700" w:type="dxa"/>
            <w:tcMar>
              <w:top w:w="80" w:type="dxa"/>
              <w:left w:w="80" w:type="dxa"/>
              <w:bottom w:w="80" w:type="dxa"/>
              <w:right w:w="80" w:type="dxa"/>
            </w:tcMar>
            <w:vAlign w:val="center"/>
          </w:tcPr>
          <w:p w14:paraId="1BF6028A">
            <w:pPr>
              <w:spacing w:after="60"/>
              <w:jc w:val="center"/>
            </w:pPr>
            <w:r>
              <w:rPr>
                <w:sz w:val="17"/>
                <w:szCs w:val="17"/>
              </w:rPr>
              <w:t>BL3 – Apply</w:t>
            </w:r>
          </w:p>
        </w:tc>
        <w:tc>
          <w:tcPr>
            <w:tcW w:w="1000" w:type="dxa"/>
            <w:tcMar>
              <w:top w:w="80" w:type="dxa"/>
              <w:left w:w="60" w:type="dxa"/>
              <w:bottom w:w="80" w:type="dxa"/>
              <w:right w:w="60" w:type="dxa"/>
            </w:tcMar>
            <w:vAlign w:val="center"/>
          </w:tcPr>
          <w:p w14:paraId="47CC3875">
            <w:pPr>
              <w:spacing w:after="60"/>
              <w:jc w:val="center"/>
            </w:pPr>
            <w:r>
              <w:rPr>
                <w:b/>
                <w:bCs/>
                <w:sz w:val="19"/>
                <w:szCs w:val="19"/>
              </w:rPr>
              <w:t>5</w:t>
            </w:r>
          </w:p>
        </w:tc>
      </w:tr>
      <w:tr w14:paraId="2F86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62C1A643">
            <w:pPr>
              <w:spacing w:after="60"/>
              <w:jc w:val="center"/>
            </w:pPr>
            <w:r>
              <w:rPr>
                <w:b/>
                <w:bCs/>
                <w:sz w:val="19"/>
                <w:szCs w:val="19"/>
              </w:rPr>
              <w:t>6</w:t>
            </w:r>
          </w:p>
        </w:tc>
        <w:tc>
          <w:tcPr>
            <w:tcW w:w="6060" w:type="dxa"/>
            <w:tcMar>
              <w:top w:w="80" w:type="dxa"/>
              <w:left w:w="120" w:type="dxa"/>
              <w:bottom w:w="80" w:type="dxa"/>
              <w:right w:w="120" w:type="dxa"/>
            </w:tcMar>
          </w:tcPr>
          <w:p w14:paraId="3A1443B7">
            <w:pPr>
              <w:spacing w:after="60"/>
            </w:pPr>
            <w:r>
              <w:rPr>
                <w:sz w:val="19"/>
                <w:szCs w:val="19"/>
              </w:rPr>
              <w:t>Given an inefficient SQL query with nested loops, rewrite it using JOIN to optimize performance.</w:t>
            </w:r>
          </w:p>
        </w:tc>
        <w:tc>
          <w:tcPr>
            <w:tcW w:w="1700" w:type="dxa"/>
            <w:tcMar>
              <w:top w:w="80" w:type="dxa"/>
              <w:left w:w="80" w:type="dxa"/>
              <w:bottom w:w="80" w:type="dxa"/>
              <w:right w:w="80" w:type="dxa"/>
            </w:tcMar>
            <w:vAlign w:val="center"/>
          </w:tcPr>
          <w:p w14:paraId="36768D96">
            <w:pPr>
              <w:spacing w:after="60"/>
              <w:jc w:val="center"/>
            </w:pPr>
            <w:r>
              <w:rPr>
                <w:sz w:val="17"/>
                <w:szCs w:val="17"/>
              </w:rPr>
              <w:t>BL6 – Create</w:t>
            </w:r>
          </w:p>
        </w:tc>
        <w:tc>
          <w:tcPr>
            <w:tcW w:w="1000" w:type="dxa"/>
            <w:tcMar>
              <w:top w:w="80" w:type="dxa"/>
              <w:left w:w="60" w:type="dxa"/>
              <w:bottom w:w="80" w:type="dxa"/>
              <w:right w:w="60" w:type="dxa"/>
            </w:tcMar>
            <w:vAlign w:val="center"/>
          </w:tcPr>
          <w:p w14:paraId="7D227F9E">
            <w:pPr>
              <w:spacing w:after="60"/>
              <w:jc w:val="center"/>
            </w:pPr>
            <w:r>
              <w:rPr>
                <w:b/>
                <w:bCs/>
                <w:sz w:val="19"/>
                <w:szCs w:val="19"/>
              </w:rPr>
              <w:t>5</w:t>
            </w:r>
          </w:p>
        </w:tc>
      </w:tr>
      <w:tr w14:paraId="2AFC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F6293B2">
            <w:pPr>
              <w:spacing w:after="60"/>
              <w:jc w:val="center"/>
            </w:pPr>
            <w:r>
              <w:rPr>
                <w:b/>
                <w:bCs/>
                <w:sz w:val="19"/>
                <w:szCs w:val="19"/>
              </w:rPr>
              <w:t>7</w:t>
            </w:r>
          </w:p>
        </w:tc>
        <w:tc>
          <w:tcPr>
            <w:tcW w:w="6060" w:type="dxa"/>
            <w:tcMar>
              <w:top w:w="80" w:type="dxa"/>
              <w:left w:w="120" w:type="dxa"/>
              <w:bottom w:w="80" w:type="dxa"/>
              <w:right w:w="120" w:type="dxa"/>
            </w:tcMar>
          </w:tcPr>
          <w:p w14:paraId="63C8F106">
            <w:pPr>
              <w:spacing w:after="60"/>
            </w:pPr>
            <w:r>
              <w:rPr>
                <w:sz w:val="19"/>
                <w:szCs w:val="19"/>
              </w:rPr>
              <w:t>The GROUP BY query below produces wrong aggregation results. Debug the query and explain the error.</w:t>
            </w:r>
          </w:p>
        </w:tc>
        <w:tc>
          <w:tcPr>
            <w:tcW w:w="1700" w:type="dxa"/>
            <w:tcMar>
              <w:top w:w="80" w:type="dxa"/>
              <w:left w:w="80" w:type="dxa"/>
              <w:bottom w:w="80" w:type="dxa"/>
              <w:right w:w="80" w:type="dxa"/>
            </w:tcMar>
            <w:vAlign w:val="center"/>
          </w:tcPr>
          <w:p w14:paraId="2ED35975">
            <w:pPr>
              <w:spacing w:after="60"/>
              <w:jc w:val="center"/>
            </w:pPr>
            <w:r>
              <w:rPr>
                <w:sz w:val="17"/>
                <w:szCs w:val="17"/>
              </w:rPr>
              <w:t>BL3 – Apply</w:t>
            </w:r>
          </w:p>
        </w:tc>
        <w:tc>
          <w:tcPr>
            <w:tcW w:w="1000" w:type="dxa"/>
            <w:tcMar>
              <w:top w:w="80" w:type="dxa"/>
              <w:left w:w="60" w:type="dxa"/>
              <w:bottom w:w="80" w:type="dxa"/>
              <w:right w:w="60" w:type="dxa"/>
            </w:tcMar>
            <w:vAlign w:val="center"/>
          </w:tcPr>
          <w:p w14:paraId="7D1BB504">
            <w:pPr>
              <w:spacing w:after="60"/>
              <w:jc w:val="center"/>
            </w:pPr>
            <w:r>
              <w:rPr>
                <w:b/>
                <w:bCs/>
                <w:sz w:val="19"/>
                <w:szCs w:val="19"/>
              </w:rPr>
              <w:t>5</w:t>
            </w:r>
          </w:p>
        </w:tc>
      </w:tr>
      <w:tr w14:paraId="6855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F14A66F">
            <w:pPr>
              <w:spacing w:after="60"/>
              <w:jc w:val="center"/>
            </w:pPr>
            <w:r>
              <w:rPr>
                <w:b/>
                <w:bCs/>
                <w:sz w:val="19"/>
                <w:szCs w:val="19"/>
              </w:rPr>
              <w:t>8</w:t>
            </w:r>
          </w:p>
        </w:tc>
        <w:tc>
          <w:tcPr>
            <w:tcW w:w="6060" w:type="dxa"/>
            <w:tcMar>
              <w:top w:w="80" w:type="dxa"/>
              <w:left w:w="120" w:type="dxa"/>
              <w:bottom w:w="80" w:type="dxa"/>
              <w:right w:w="120" w:type="dxa"/>
            </w:tcMar>
          </w:tcPr>
          <w:p w14:paraId="4641B9E7">
            <w:pPr>
              <w:spacing w:after="60"/>
            </w:pPr>
            <w:r>
              <w:rPr>
                <w:sz w:val="19"/>
                <w:szCs w:val="19"/>
              </w:rPr>
              <w:t>Identify and fix the logical error in a given SQL UPDATE statement that unintentionally modifies all rows in the table.</w:t>
            </w:r>
          </w:p>
        </w:tc>
        <w:tc>
          <w:tcPr>
            <w:tcW w:w="1700" w:type="dxa"/>
            <w:tcMar>
              <w:top w:w="80" w:type="dxa"/>
              <w:left w:w="80" w:type="dxa"/>
              <w:bottom w:w="80" w:type="dxa"/>
              <w:right w:w="80" w:type="dxa"/>
            </w:tcMar>
            <w:vAlign w:val="center"/>
          </w:tcPr>
          <w:p w14:paraId="6285BAFE">
            <w:pPr>
              <w:spacing w:after="60"/>
              <w:jc w:val="center"/>
            </w:pPr>
            <w:r>
              <w:rPr>
                <w:sz w:val="17"/>
                <w:szCs w:val="17"/>
              </w:rPr>
              <w:t>BL3 – Apply</w:t>
            </w:r>
          </w:p>
        </w:tc>
        <w:tc>
          <w:tcPr>
            <w:tcW w:w="1000" w:type="dxa"/>
            <w:tcMar>
              <w:top w:w="80" w:type="dxa"/>
              <w:left w:w="60" w:type="dxa"/>
              <w:bottom w:w="80" w:type="dxa"/>
              <w:right w:w="60" w:type="dxa"/>
            </w:tcMar>
            <w:vAlign w:val="center"/>
          </w:tcPr>
          <w:p w14:paraId="3F638794">
            <w:pPr>
              <w:spacing w:after="60"/>
              <w:jc w:val="center"/>
            </w:pPr>
            <w:r>
              <w:rPr>
                <w:b/>
                <w:bCs/>
                <w:sz w:val="19"/>
                <w:szCs w:val="19"/>
              </w:rPr>
              <w:t>5</w:t>
            </w:r>
          </w:p>
        </w:tc>
      </w:tr>
      <w:tr w14:paraId="57D9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04AB1EB">
            <w:pPr>
              <w:spacing w:after="60"/>
              <w:jc w:val="center"/>
            </w:pPr>
            <w:r>
              <w:rPr>
                <w:b/>
                <w:bCs/>
                <w:sz w:val="19"/>
                <w:szCs w:val="19"/>
              </w:rPr>
              <w:t>9</w:t>
            </w:r>
          </w:p>
        </w:tc>
        <w:tc>
          <w:tcPr>
            <w:tcW w:w="6060" w:type="dxa"/>
            <w:tcMar>
              <w:top w:w="80" w:type="dxa"/>
              <w:left w:w="120" w:type="dxa"/>
              <w:bottom w:w="80" w:type="dxa"/>
              <w:right w:w="120" w:type="dxa"/>
            </w:tcMar>
          </w:tcPr>
          <w:p w14:paraId="6C983F30">
            <w:pPr>
              <w:spacing w:after="60"/>
            </w:pPr>
            <w:r>
              <w:rPr>
                <w:sz w:val="19"/>
                <w:szCs w:val="19"/>
              </w:rPr>
              <w:t>Optimize the given multi-table SQL query by restructuring sub-queries into JOINs and using appropriate indexes.</w:t>
            </w:r>
          </w:p>
        </w:tc>
        <w:tc>
          <w:tcPr>
            <w:tcW w:w="1700" w:type="dxa"/>
            <w:tcMar>
              <w:top w:w="80" w:type="dxa"/>
              <w:left w:w="80" w:type="dxa"/>
              <w:bottom w:w="80" w:type="dxa"/>
              <w:right w:w="80" w:type="dxa"/>
            </w:tcMar>
            <w:vAlign w:val="center"/>
          </w:tcPr>
          <w:p w14:paraId="27BD04D5">
            <w:pPr>
              <w:spacing w:after="60"/>
              <w:jc w:val="center"/>
            </w:pPr>
            <w:r>
              <w:rPr>
                <w:sz w:val="17"/>
                <w:szCs w:val="17"/>
              </w:rPr>
              <w:t>BL6 – Create</w:t>
            </w:r>
          </w:p>
        </w:tc>
        <w:tc>
          <w:tcPr>
            <w:tcW w:w="1000" w:type="dxa"/>
            <w:tcMar>
              <w:top w:w="80" w:type="dxa"/>
              <w:left w:w="60" w:type="dxa"/>
              <w:bottom w:w="80" w:type="dxa"/>
              <w:right w:w="60" w:type="dxa"/>
            </w:tcMar>
            <w:vAlign w:val="center"/>
          </w:tcPr>
          <w:p w14:paraId="196F248A">
            <w:pPr>
              <w:spacing w:after="60"/>
              <w:jc w:val="center"/>
            </w:pPr>
            <w:r>
              <w:rPr>
                <w:b/>
                <w:bCs/>
                <w:sz w:val="19"/>
                <w:szCs w:val="19"/>
              </w:rPr>
              <w:t>5</w:t>
            </w:r>
          </w:p>
        </w:tc>
      </w:tr>
      <w:tr w14:paraId="2DE8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044A805">
            <w:pPr>
              <w:spacing w:after="60"/>
              <w:jc w:val="center"/>
            </w:pPr>
            <w:r>
              <w:rPr>
                <w:b/>
                <w:bCs/>
                <w:sz w:val="19"/>
                <w:szCs w:val="19"/>
              </w:rPr>
              <w:t>10</w:t>
            </w:r>
          </w:p>
        </w:tc>
        <w:tc>
          <w:tcPr>
            <w:tcW w:w="6060" w:type="dxa"/>
            <w:tcMar>
              <w:top w:w="80" w:type="dxa"/>
              <w:left w:w="120" w:type="dxa"/>
              <w:bottom w:w="80" w:type="dxa"/>
              <w:right w:w="120" w:type="dxa"/>
            </w:tcMar>
          </w:tcPr>
          <w:p w14:paraId="74EEA1BA">
            <w:pPr>
              <w:spacing w:after="60"/>
            </w:pPr>
            <w:r>
              <w:rPr>
                <w:sz w:val="19"/>
                <w:szCs w:val="19"/>
              </w:rPr>
              <w:t>Debug a given relational calculus expression that returns an empty result set due to incorrect quantifier usage.</w:t>
            </w:r>
          </w:p>
        </w:tc>
        <w:tc>
          <w:tcPr>
            <w:tcW w:w="1700" w:type="dxa"/>
            <w:tcMar>
              <w:top w:w="80" w:type="dxa"/>
              <w:left w:w="80" w:type="dxa"/>
              <w:bottom w:w="80" w:type="dxa"/>
              <w:right w:w="80" w:type="dxa"/>
            </w:tcMar>
            <w:vAlign w:val="center"/>
          </w:tcPr>
          <w:p w14:paraId="01BF5B94">
            <w:pPr>
              <w:spacing w:after="60"/>
              <w:jc w:val="center"/>
            </w:pPr>
            <w:r>
              <w:rPr>
                <w:sz w:val="17"/>
                <w:szCs w:val="17"/>
              </w:rPr>
              <w:t>BL3 – Apply</w:t>
            </w:r>
          </w:p>
        </w:tc>
        <w:tc>
          <w:tcPr>
            <w:tcW w:w="1000" w:type="dxa"/>
            <w:tcMar>
              <w:top w:w="80" w:type="dxa"/>
              <w:left w:w="60" w:type="dxa"/>
              <w:bottom w:w="80" w:type="dxa"/>
              <w:right w:w="60" w:type="dxa"/>
            </w:tcMar>
            <w:vAlign w:val="center"/>
          </w:tcPr>
          <w:p w14:paraId="2528EBBF">
            <w:pPr>
              <w:spacing w:after="60"/>
              <w:jc w:val="center"/>
            </w:pPr>
            <w:r>
              <w:rPr>
                <w:b/>
                <w:bCs/>
                <w:sz w:val="19"/>
                <w:szCs w:val="19"/>
              </w:rPr>
              <w:t>5</w:t>
            </w:r>
          </w:p>
        </w:tc>
      </w:tr>
    </w:tbl>
    <w:p w14:paraId="3D2883CF">
      <w:pPr>
        <w:rPr>
          <w:sz w:val="24"/>
          <w:szCs w:val="24"/>
        </w:rPr>
      </w:pPr>
    </w:p>
    <w:p w14:paraId="7D85C125">
      <w:pPr>
        <w:rPr>
          <w:sz w:val="24"/>
          <w:szCs w:val="24"/>
        </w:rPr>
      </w:pPr>
    </w:p>
    <w:p w14:paraId="0FB9CDD8">
      <w:pPr>
        <w:rPr>
          <w:sz w:val="24"/>
          <w:szCs w:val="24"/>
        </w:rPr>
      </w:pPr>
    </w:p>
    <w:p w14:paraId="22409905">
      <w:pPr>
        <w:rPr>
          <w:sz w:val="24"/>
          <w:szCs w:val="24"/>
        </w:rPr>
      </w:pPr>
    </w:p>
    <w:p w14:paraId="0080A4CB">
      <w:pPr>
        <w:rPr>
          <w:sz w:val="24"/>
          <w:szCs w:val="24"/>
        </w:rPr>
      </w:pPr>
    </w:p>
    <w:p w14:paraId="623EAF19">
      <w:pPr>
        <w:rPr>
          <w:sz w:val="24"/>
          <w:szCs w:val="24"/>
        </w:rPr>
      </w:pPr>
    </w:p>
    <w:p w14:paraId="19D04A7F">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66C6A51A">
      <w:pPr>
        <w:rPr>
          <w:b/>
          <w:bCs/>
          <w:sz w:val="24"/>
          <w:szCs w:val="24"/>
        </w:rPr>
      </w:pPr>
    </w:p>
    <w:p w14:paraId="6DB8D4C6">
      <w:pPr>
        <w:rPr>
          <w:b/>
          <w:bCs/>
          <w:i/>
          <w:iCs/>
          <w:sz w:val="24"/>
          <w:szCs w:val="24"/>
        </w:rPr>
      </w:pPr>
      <w:r>
        <w:rPr>
          <w:b/>
          <w:bCs/>
          <w:i/>
          <w:iCs/>
          <w:sz w:val="24"/>
          <w:szCs w:val="24"/>
        </w:rPr>
        <w:t>Code of Conduct:</w:t>
      </w:r>
    </w:p>
    <w:p w14:paraId="66C79335">
      <w:pPr>
        <w:rPr>
          <w:i/>
          <w:iCs/>
          <w:sz w:val="24"/>
          <w:szCs w:val="24"/>
        </w:rPr>
      </w:pPr>
    </w:p>
    <w:p w14:paraId="11674C05">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42DC27A5">
      <w:pPr>
        <w:jc w:val="both"/>
        <w:rPr>
          <w:i/>
          <w:iCs/>
          <w:sz w:val="24"/>
          <w:szCs w:val="24"/>
        </w:rPr>
      </w:pPr>
      <w:r>
        <w:rPr>
          <w:i/>
          <w:iCs/>
          <w:sz w:val="24"/>
          <w:szCs w:val="24"/>
        </w:rPr>
        <w:t>I understand that any violation of academic integrity rules will result in disciplinary action.</w:t>
      </w:r>
    </w:p>
    <w:p w14:paraId="12E9B7E4">
      <w:pPr>
        <w:rPr>
          <w:i/>
          <w:iCs/>
          <w:sz w:val="24"/>
          <w:szCs w:val="24"/>
        </w:rPr>
      </w:pPr>
    </w:p>
    <w:p w14:paraId="2B405C3A">
      <w:pPr>
        <w:rPr>
          <w:b/>
          <w:bCs/>
          <w:i/>
          <w:iCs/>
          <w:sz w:val="24"/>
          <w:szCs w:val="24"/>
        </w:rPr>
      </w:pPr>
      <w:r>
        <w:rPr>
          <w:b/>
          <w:bCs/>
          <w:i/>
          <w:iCs/>
          <w:sz w:val="24"/>
          <w:szCs w:val="24"/>
        </w:rPr>
        <w:t>Signature of the student:</w:t>
      </w:r>
    </w:p>
    <w:p w14:paraId="5F1EF1F6">
      <w:pPr>
        <w:rPr>
          <w:sz w:val="24"/>
          <w:szCs w:val="24"/>
        </w:rPr>
      </w:pPr>
    </w:p>
    <w:p w14:paraId="413562DA">
      <w:pPr>
        <w:rPr>
          <w:i/>
          <w:iCs/>
          <w:sz w:val="24"/>
          <w:szCs w:val="24"/>
        </w:rPr>
      </w:pPr>
    </w:p>
    <w:p w14:paraId="2C0A47CA">
      <w:pPr>
        <w:rPr>
          <w:b/>
          <w:bCs/>
          <w:sz w:val="24"/>
          <w:szCs w:val="24"/>
        </w:rPr>
      </w:pPr>
      <w:r>
        <w:rPr>
          <w:b/>
          <w:bCs/>
          <w:sz w:val="24"/>
          <w:szCs w:val="24"/>
        </w:rPr>
        <w:t>RUBRICS FOR CALCULATION:</w:t>
      </w:r>
    </w:p>
    <w:p w14:paraId="5C4DDE06">
      <w:pPr>
        <w:rPr>
          <w:b/>
          <w:bCs/>
          <w:sz w:val="24"/>
          <w:szCs w:val="24"/>
        </w:rPr>
      </w:pPr>
    </w:p>
    <w:tbl>
      <w:tblPr>
        <w:tblStyle w:val="9"/>
        <w:tblW w:w="5000" w:type="pct"/>
        <w:tblInd w:w="0" w:type="dxa"/>
        <w:tblLayout w:type="autofit"/>
        <w:tblCellMar>
          <w:top w:w="0" w:type="dxa"/>
          <w:left w:w="108" w:type="dxa"/>
          <w:bottom w:w="0" w:type="dxa"/>
          <w:right w:w="108" w:type="dxa"/>
        </w:tblCellMar>
      </w:tblPr>
      <w:tblGrid>
        <w:gridCol w:w="1339"/>
        <w:gridCol w:w="1228"/>
        <w:gridCol w:w="1585"/>
        <w:gridCol w:w="1713"/>
        <w:gridCol w:w="1634"/>
        <w:gridCol w:w="1746"/>
      </w:tblGrid>
      <w:tr w14:paraId="1E8BFA08">
        <w:tblPrEx>
          <w:tblCellMar>
            <w:top w:w="0" w:type="dxa"/>
            <w:left w:w="108" w:type="dxa"/>
            <w:bottom w:w="0" w:type="dxa"/>
            <w:right w:w="108" w:type="dxa"/>
          </w:tblCellMar>
        </w:tblPrEx>
        <w:trPr>
          <w:trHeight w:val="315" w:hRule="atLeast"/>
        </w:trPr>
        <w:tc>
          <w:tcPr>
            <w:tcW w:w="589" w:type="pct"/>
            <w:tcBorders>
              <w:top w:val="single" w:color="000000" w:sz="4" w:space="0"/>
              <w:left w:val="single" w:color="000000" w:sz="4" w:space="0"/>
              <w:bottom w:val="single" w:color="000000" w:sz="4" w:space="0"/>
              <w:right w:val="single" w:color="000000" w:sz="4" w:space="0"/>
            </w:tcBorders>
            <w:vAlign w:val="center"/>
          </w:tcPr>
          <w:p w14:paraId="59E817F8">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589" w:type="pct"/>
            <w:tcBorders>
              <w:top w:val="single" w:color="000000" w:sz="4" w:space="0"/>
              <w:left w:val="nil"/>
              <w:bottom w:val="single" w:color="000000" w:sz="4" w:space="0"/>
              <w:right w:val="single" w:color="000000" w:sz="4" w:space="0"/>
            </w:tcBorders>
            <w:vAlign w:val="center"/>
          </w:tcPr>
          <w:p w14:paraId="37EC6753">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910" w:type="pct"/>
            <w:tcBorders>
              <w:top w:val="single" w:color="000000" w:sz="4" w:space="0"/>
              <w:left w:val="nil"/>
              <w:bottom w:val="single" w:color="000000" w:sz="4" w:space="0"/>
              <w:right w:val="single" w:color="000000" w:sz="4" w:space="0"/>
            </w:tcBorders>
            <w:vAlign w:val="center"/>
          </w:tcPr>
          <w:p w14:paraId="0344BA0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979" w:type="pct"/>
            <w:tcBorders>
              <w:top w:val="single" w:color="000000" w:sz="4" w:space="0"/>
              <w:left w:val="nil"/>
              <w:bottom w:val="single" w:color="000000" w:sz="4" w:space="0"/>
              <w:right w:val="single" w:color="000000" w:sz="4" w:space="0"/>
            </w:tcBorders>
            <w:vAlign w:val="center"/>
          </w:tcPr>
          <w:p w14:paraId="7EA0DD47">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936" w:type="pct"/>
            <w:tcBorders>
              <w:top w:val="single" w:color="000000" w:sz="4" w:space="0"/>
              <w:left w:val="nil"/>
              <w:bottom w:val="single" w:color="000000" w:sz="4" w:space="0"/>
              <w:right w:val="single" w:color="000000" w:sz="4" w:space="0"/>
            </w:tcBorders>
            <w:vAlign w:val="center"/>
          </w:tcPr>
          <w:p w14:paraId="7C55E4FA">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997" w:type="pct"/>
            <w:tcBorders>
              <w:top w:val="single" w:color="000000" w:sz="4" w:space="0"/>
              <w:left w:val="nil"/>
              <w:bottom w:val="single" w:color="000000" w:sz="4" w:space="0"/>
              <w:right w:val="single" w:color="000000" w:sz="4" w:space="0"/>
            </w:tcBorders>
            <w:vAlign w:val="center"/>
          </w:tcPr>
          <w:p w14:paraId="063E493A">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14:paraId="4295FC58">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7B03D514">
            <w:pPr>
              <w:spacing w:line="240" w:lineRule="auto"/>
              <w:jc w:val="center"/>
              <w:rPr>
                <w:rFonts w:eastAsia="Times New Roman"/>
                <w:color w:val="000000"/>
                <w:sz w:val="20"/>
                <w:szCs w:val="20"/>
                <w:lang w:val="en-IN"/>
              </w:rPr>
            </w:pPr>
            <w:r>
              <w:rPr>
                <w:rFonts w:eastAsia="Times New Roman"/>
                <w:color w:val="000000"/>
                <w:sz w:val="20"/>
                <w:szCs w:val="20"/>
                <w:lang w:val="en-IN"/>
              </w:rPr>
              <w:t>Problem Identification</w:t>
            </w:r>
          </w:p>
        </w:tc>
        <w:tc>
          <w:tcPr>
            <w:tcW w:w="589" w:type="pct"/>
            <w:tcBorders>
              <w:top w:val="nil"/>
              <w:left w:val="nil"/>
              <w:bottom w:val="single" w:color="000000" w:sz="4" w:space="0"/>
              <w:right w:val="single" w:color="000000" w:sz="4" w:space="0"/>
            </w:tcBorders>
            <w:vAlign w:val="center"/>
          </w:tcPr>
          <w:p w14:paraId="5D1247BD">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21571805">
            <w:pPr>
              <w:spacing w:line="240" w:lineRule="auto"/>
              <w:jc w:val="center"/>
              <w:rPr>
                <w:rFonts w:eastAsia="Times New Roman"/>
                <w:color w:val="000000"/>
                <w:sz w:val="20"/>
                <w:szCs w:val="20"/>
                <w:lang w:val="en-IN"/>
              </w:rPr>
            </w:pPr>
            <w:r>
              <w:rPr>
                <w:rFonts w:eastAsia="Times New Roman"/>
                <w:color w:val="000000"/>
                <w:sz w:val="20"/>
                <w:szCs w:val="20"/>
                <w:lang w:val="en-IN"/>
              </w:rPr>
              <w:t>Accurately identifies all errors and root causes with clear understanding</w:t>
            </w:r>
          </w:p>
        </w:tc>
        <w:tc>
          <w:tcPr>
            <w:tcW w:w="979" w:type="pct"/>
            <w:tcBorders>
              <w:top w:val="nil"/>
              <w:left w:val="nil"/>
              <w:bottom w:val="single" w:color="000000" w:sz="4" w:space="0"/>
              <w:right w:val="single" w:color="000000" w:sz="4" w:space="0"/>
            </w:tcBorders>
            <w:vAlign w:val="center"/>
          </w:tcPr>
          <w:p w14:paraId="2541430C">
            <w:pPr>
              <w:spacing w:line="240" w:lineRule="auto"/>
              <w:jc w:val="center"/>
              <w:rPr>
                <w:rFonts w:eastAsia="Times New Roman"/>
                <w:color w:val="000000"/>
                <w:sz w:val="20"/>
                <w:szCs w:val="20"/>
                <w:lang w:val="en-IN"/>
              </w:rPr>
            </w:pPr>
            <w:r>
              <w:rPr>
                <w:rFonts w:eastAsia="Times New Roman"/>
                <w:color w:val="000000"/>
                <w:sz w:val="20"/>
                <w:szCs w:val="20"/>
                <w:lang w:val="en-IN"/>
              </w:rPr>
              <w:t>Identifies most errors with minor gaps</w:t>
            </w:r>
          </w:p>
        </w:tc>
        <w:tc>
          <w:tcPr>
            <w:tcW w:w="936" w:type="pct"/>
            <w:tcBorders>
              <w:top w:val="nil"/>
              <w:left w:val="nil"/>
              <w:bottom w:val="single" w:color="000000" w:sz="4" w:space="0"/>
              <w:right w:val="single" w:color="000000" w:sz="4" w:space="0"/>
            </w:tcBorders>
            <w:vAlign w:val="center"/>
          </w:tcPr>
          <w:p w14:paraId="53B5E4EC">
            <w:pPr>
              <w:spacing w:line="240" w:lineRule="auto"/>
              <w:jc w:val="center"/>
              <w:rPr>
                <w:rFonts w:eastAsia="Times New Roman"/>
                <w:color w:val="000000"/>
                <w:sz w:val="20"/>
                <w:szCs w:val="20"/>
                <w:lang w:val="en-IN"/>
              </w:rPr>
            </w:pPr>
            <w:r>
              <w:rPr>
                <w:rFonts w:eastAsia="Times New Roman"/>
                <w:color w:val="000000"/>
                <w:sz w:val="20"/>
                <w:szCs w:val="20"/>
                <w:lang w:val="en-IN"/>
              </w:rPr>
              <w:t>Identifies some errors but misses key issues</w:t>
            </w:r>
          </w:p>
        </w:tc>
        <w:tc>
          <w:tcPr>
            <w:tcW w:w="997" w:type="pct"/>
            <w:tcBorders>
              <w:top w:val="nil"/>
              <w:left w:val="nil"/>
              <w:bottom w:val="single" w:color="000000" w:sz="4" w:space="0"/>
              <w:right w:val="single" w:color="000000" w:sz="4" w:space="0"/>
            </w:tcBorders>
            <w:vAlign w:val="center"/>
          </w:tcPr>
          <w:p w14:paraId="041C091B">
            <w:pPr>
              <w:spacing w:line="240" w:lineRule="auto"/>
              <w:jc w:val="center"/>
              <w:rPr>
                <w:rFonts w:eastAsia="Times New Roman"/>
                <w:color w:val="000000"/>
                <w:sz w:val="20"/>
                <w:szCs w:val="20"/>
                <w:lang w:val="en-IN"/>
              </w:rPr>
            </w:pPr>
            <w:r>
              <w:rPr>
                <w:rFonts w:eastAsia="Times New Roman"/>
                <w:color w:val="000000"/>
                <w:sz w:val="20"/>
                <w:szCs w:val="20"/>
                <w:lang w:val="en-IN"/>
              </w:rPr>
              <w:t>Unable to identify errors correctly</w:t>
            </w:r>
          </w:p>
        </w:tc>
      </w:tr>
      <w:tr w14:paraId="4AD9DE6F">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0EFE83E7">
            <w:pPr>
              <w:spacing w:line="240" w:lineRule="auto"/>
              <w:jc w:val="center"/>
              <w:rPr>
                <w:rFonts w:eastAsia="Times New Roman"/>
                <w:color w:val="000000"/>
                <w:sz w:val="20"/>
                <w:szCs w:val="20"/>
                <w:lang w:val="en-IN"/>
              </w:rPr>
            </w:pPr>
            <w:r>
              <w:rPr>
                <w:rFonts w:eastAsia="Times New Roman"/>
                <w:color w:val="000000"/>
                <w:sz w:val="20"/>
                <w:szCs w:val="20"/>
                <w:lang w:val="en-IN"/>
              </w:rPr>
              <w:t>Debugging</w:t>
            </w:r>
          </w:p>
        </w:tc>
        <w:tc>
          <w:tcPr>
            <w:tcW w:w="589" w:type="pct"/>
            <w:tcBorders>
              <w:top w:val="nil"/>
              <w:left w:val="nil"/>
              <w:bottom w:val="single" w:color="000000" w:sz="4" w:space="0"/>
              <w:right w:val="single" w:color="000000" w:sz="4" w:space="0"/>
            </w:tcBorders>
            <w:vAlign w:val="center"/>
          </w:tcPr>
          <w:p w14:paraId="5516F6C7">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910" w:type="pct"/>
            <w:tcBorders>
              <w:top w:val="nil"/>
              <w:left w:val="nil"/>
              <w:bottom w:val="single" w:color="000000" w:sz="4" w:space="0"/>
              <w:right w:val="single" w:color="000000" w:sz="4" w:space="0"/>
            </w:tcBorders>
            <w:vAlign w:val="center"/>
          </w:tcPr>
          <w:p w14:paraId="6D062388">
            <w:pPr>
              <w:spacing w:line="240" w:lineRule="auto"/>
              <w:jc w:val="center"/>
              <w:rPr>
                <w:rFonts w:eastAsia="Times New Roman"/>
                <w:color w:val="000000"/>
                <w:sz w:val="20"/>
                <w:szCs w:val="20"/>
                <w:lang w:val="en-IN"/>
              </w:rPr>
            </w:pPr>
            <w:r>
              <w:rPr>
                <w:rFonts w:eastAsia="Times New Roman"/>
                <w:color w:val="000000"/>
                <w:sz w:val="20"/>
                <w:szCs w:val="20"/>
                <w:lang w:val="en-IN"/>
              </w:rPr>
              <w:t>Applies systematic debugging techniques effectively to resolve issues</w:t>
            </w:r>
          </w:p>
        </w:tc>
        <w:tc>
          <w:tcPr>
            <w:tcW w:w="979" w:type="pct"/>
            <w:tcBorders>
              <w:top w:val="nil"/>
              <w:left w:val="nil"/>
              <w:bottom w:val="single" w:color="000000" w:sz="4" w:space="0"/>
              <w:right w:val="single" w:color="000000" w:sz="4" w:space="0"/>
            </w:tcBorders>
            <w:vAlign w:val="center"/>
          </w:tcPr>
          <w:p w14:paraId="1F8E002F">
            <w:pPr>
              <w:spacing w:line="240" w:lineRule="auto"/>
              <w:jc w:val="center"/>
              <w:rPr>
                <w:rFonts w:eastAsia="Times New Roman"/>
                <w:color w:val="000000"/>
                <w:sz w:val="20"/>
                <w:szCs w:val="20"/>
                <w:lang w:val="en-IN"/>
              </w:rPr>
            </w:pPr>
            <w:r>
              <w:rPr>
                <w:rFonts w:eastAsia="Times New Roman"/>
                <w:color w:val="000000"/>
                <w:sz w:val="20"/>
                <w:szCs w:val="20"/>
                <w:lang w:val="en-IN"/>
              </w:rPr>
              <w:t>Uses appropriate debugging methods with minor errors</w:t>
            </w:r>
          </w:p>
        </w:tc>
        <w:tc>
          <w:tcPr>
            <w:tcW w:w="936" w:type="pct"/>
            <w:tcBorders>
              <w:top w:val="nil"/>
              <w:left w:val="nil"/>
              <w:bottom w:val="single" w:color="000000" w:sz="4" w:space="0"/>
              <w:right w:val="single" w:color="000000" w:sz="4" w:space="0"/>
            </w:tcBorders>
            <w:vAlign w:val="center"/>
          </w:tcPr>
          <w:p w14:paraId="25A9D495">
            <w:pPr>
              <w:spacing w:line="240" w:lineRule="auto"/>
              <w:jc w:val="center"/>
              <w:rPr>
                <w:rFonts w:eastAsia="Times New Roman"/>
                <w:color w:val="000000"/>
                <w:sz w:val="20"/>
                <w:szCs w:val="20"/>
                <w:lang w:val="en-IN"/>
              </w:rPr>
            </w:pPr>
            <w:r>
              <w:rPr>
                <w:rFonts w:eastAsia="Times New Roman"/>
                <w:color w:val="000000"/>
                <w:sz w:val="20"/>
                <w:szCs w:val="20"/>
                <w:lang w:val="en-IN"/>
              </w:rPr>
              <w:t>Limited debugging approach; requires guidance</w:t>
            </w:r>
          </w:p>
        </w:tc>
        <w:tc>
          <w:tcPr>
            <w:tcW w:w="997" w:type="pct"/>
            <w:tcBorders>
              <w:top w:val="nil"/>
              <w:left w:val="nil"/>
              <w:bottom w:val="single" w:color="000000" w:sz="4" w:space="0"/>
              <w:right w:val="single" w:color="000000" w:sz="4" w:space="0"/>
            </w:tcBorders>
            <w:vAlign w:val="center"/>
          </w:tcPr>
          <w:p w14:paraId="7F4D12DF">
            <w:pPr>
              <w:spacing w:line="240" w:lineRule="auto"/>
              <w:jc w:val="center"/>
              <w:rPr>
                <w:rFonts w:eastAsia="Times New Roman"/>
                <w:color w:val="000000"/>
                <w:sz w:val="20"/>
                <w:szCs w:val="20"/>
                <w:lang w:val="en-IN"/>
              </w:rPr>
            </w:pPr>
            <w:r>
              <w:rPr>
                <w:rFonts w:eastAsia="Times New Roman"/>
                <w:color w:val="000000"/>
                <w:sz w:val="20"/>
                <w:szCs w:val="20"/>
                <w:lang w:val="en-IN"/>
              </w:rPr>
              <w:t>Unable to debug or resolve issues</w:t>
            </w:r>
          </w:p>
        </w:tc>
      </w:tr>
      <w:tr w14:paraId="03778B53">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2337380B">
            <w:pPr>
              <w:spacing w:line="240" w:lineRule="auto"/>
              <w:jc w:val="center"/>
              <w:rPr>
                <w:rFonts w:eastAsia="Times New Roman"/>
                <w:color w:val="000000"/>
                <w:sz w:val="20"/>
                <w:szCs w:val="20"/>
                <w:lang w:val="en-IN"/>
              </w:rPr>
            </w:pPr>
            <w:r>
              <w:rPr>
                <w:rFonts w:eastAsia="Times New Roman"/>
                <w:color w:val="000000"/>
                <w:sz w:val="20"/>
                <w:szCs w:val="20"/>
                <w:lang w:val="en-IN"/>
              </w:rPr>
              <w:t>Optimization</w:t>
            </w:r>
          </w:p>
        </w:tc>
        <w:tc>
          <w:tcPr>
            <w:tcW w:w="589" w:type="pct"/>
            <w:tcBorders>
              <w:top w:val="nil"/>
              <w:left w:val="nil"/>
              <w:bottom w:val="single" w:color="000000" w:sz="4" w:space="0"/>
              <w:right w:val="single" w:color="000000" w:sz="4" w:space="0"/>
            </w:tcBorders>
            <w:vAlign w:val="center"/>
          </w:tcPr>
          <w:p w14:paraId="186DD12B">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47FE29ED">
            <w:pPr>
              <w:spacing w:line="240" w:lineRule="auto"/>
              <w:jc w:val="center"/>
              <w:rPr>
                <w:rFonts w:eastAsia="Times New Roman"/>
                <w:color w:val="000000"/>
                <w:sz w:val="20"/>
                <w:szCs w:val="20"/>
                <w:lang w:val="en-IN"/>
              </w:rPr>
            </w:pPr>
            <w:r>
              <w:rPr>
                <w:rFonts w:eastAsia="Times New Roman"/>
                <w:color w:val="000000"/>
                <w:sz w:val="20"/>
                <w:szCs w:val="20"/>
                <w:lang w:val="en-IN"/>
              </w:rPr>
              <w:t>Optimizes code by significantly improving time complexity using efficient algorithms</w:t>
            </w:r>
          </w:p>
        </w:tc>
        <w:tc>
          <w:tcPr>
            <w:tcW w:w="979" w:type="pct"/>
            <w:tcBorders>
              <w:top w:val="nil"/>
              <w:left w:val="nil"/>
              <w:bottom w:val="single" w:color="000000" w:sz="4" w:space="0"/>
              <w:right w:val="single" w:color="000000" w:sz="4" w:space="0"/>
            </w:tcBorders>
            <w:vAlign w:val="center"/>
          </w:tcPr>
          <w:p w14:paraId="7C9B31A0">
            <w:pPr>
              <w:spacing w:line="240" w:lineRule="auto"/>
              <w:jc w:val="center"/>
              <w:rPr>
                <w:rFonts w:eastAsia="Times New Roman"/>
                <w:color w:val="000000"/>
                <w:sz w:val="20"/>
                <w:szCs w:val="20"/>
                <w:lang w:val="en-IN"/>
              </w:rPr>
            </w:pPr>
            <w:r>
              <w:rPr>
                <w:rFonts w:eastAsia="Times New Roman"/>
                <w:color w:val="000000"/>
                <w:sz w:val="20"/>
                <w:szCs w:val="20"/>
                <w:lang w:val="en-IN"/>
              </w:rPr>
              <w:t>Improves time complexity with minor gaps in efficiency</w:t>
            </w:r>
          </w:p>
        </w:tc>
        <w:tc>
          <w:tcPr>
            <w:tcW w:w="936" w:type="pct"/>
            <w:tcBorders>
              <w:top w:val="nil"/>
              <w:left w:val="nil"/>
              <w:bottom w:val="single" w:color="000000" w:sz="4" w:space="0"/>
              <w:right w:val="single" w:color="000000" w:sz="4" w:space="0"/>
            </w:tcBorders>
            <w:vAlign w:val="center"/>
          </w:tcPr>
          <w:p w14:paraId="68CBC0BB">
            <w:pPr>
              <w:spacing w:line="240" w:lineRule="auto"/>
              <w:jc w:val="center"/>
              <w:rPr>
                <w:rFonts w:eastAsia="Times New Roman"/>
                <w:color w:val="000000"/>
                <w:sz w:val="20"/>
                <w:szCs w:val="20"/>
                <w:lang w:val="en-IN"/>
              </w:rPr>
            </w:pPr>
            <w:r>
              <w:rPr>
                <w:rFonts w:eastAsia="Times New Roman"/>
                <w:color w:val="000000"/>
                <w:sz w:val="20"/>
                <w:szCs w:val="20"/>
                <w:lang w:val="en-IN"/>
              </w:rPr>
              <w:t>Limited improvement in time complexity</w:t>
            </w:r>
          </w:p>
        </w:tc>
        <w:tc>
          <w:tcPr>
            <w:tcW w:w="997" w:type="pct"/>
            <w:tcBorders>
              <w:top w:val="nil"/>
              <w:left w:val="nil"/>
              <w:bottom w:val="single" w:color="000000" w:sz="4" w:space="0"/>
              <w:right w:val="single" w:color="000000" w:sz="4" w:space="0"/>
            </w:tcBorders>
            <w:vAlign w:val="center"/>
          </w:tcPr>
          <w:p w14:paraId="6BADBEA4">
            <w:pPr>
              <w:spacing w:line="240" w:lineRule="auto"/>
              <w:jc w:val="center"/>
              <w:rPr>
                <w:rFonts w:eastAsia="Times New Roman"/>
                <w:color w:val="000000"/>
                <w:sz w:val="20"/>
                <w:szCs w:val="20"/>
                <w:lang w:val="en-IN"/>
              </w:rPr>
            </w:pPr>
            <w:r>
              <w:rPr>
                <w:rFonts w:eastAsia="Times New Roman"/>
                <w:color w:val="000000"/>
                <w:sz w:val="20"/>
                <w:szCs w:val="20"/>
                <w:lang w:val="en-IN"/>
              </w:rPr>
              <w:t>No improvement; inefficient approach retained</w:t>
            </w:r>
          </w:p>
        </w:tc>
      </w:tr>
      <w:tr w14:paraId="568F84D5">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1C289871">
            <w:pPr>
              <w:spacing w:line="240" w:lineRule="auto"/>
              <w:jc w:val="center"/>
              <w:rPr>
                <w:rFonts w:eastAsia="Times New Roman"/>
                <w:color w:val="000000"/>
                <w:sz w:val="20"/>
                <w:szCs w:val="20"/>
                <w:lang w:val="en-IN"/>
              </w:rPr>
            </w:pPr>
            <w:r>
              <w:rPr>
                <w:rFonts w:eastAsia="Times New Roman"/>
                <w:color w:val="000000"/>
                <w:sz w:val="20"/>
                <w:szCs w:val="20"/>
                <w:lang w:val="en-IN"/>
              </w:rPr>
              <w:t>Analysis</w:t>
            </w:r>
          </w:p>
        </w:tc>
        <w:tc>
          <w:tcPr>
            <w:tcW w:w="589" w:type="pct"/>
            <w:tcBorders>
              <w:top w:val="nil"/>
              <w:left w:val="nil"/>
              <w:bottom w:val="single" w:color="000000" w:sz="4" w:space="0"/>
              <w:right w:val="single" w:color="000000" w:sz="4" w:space="0"/>
            </w:tcBorders>
            <w:vAlign w:val="center"/>
          </w:tcPr>
          <w:p w14:paraId="5C6CDDBF">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color="000000" w:sz="4" w:space="0"/>
              <w:right w:val="single" w:color="000000" w:sz="4" w:space="0"/>
            </w:tcBorders>
            <w:vAlign w:val="center"/>
          </w:tcPr>
          <w:p w14:paraId="5783D927">
            <w:pPr>
              <w:spacing w:line="240" w:lineRule="auto"/>
              <w:jc w:val="center"/>
              <w:rPr>
                <w:rFonts w:eastAsia="Times New Roman"/>
                <w:color w:val="000000"/>
                <w:sz w:val="20"/>
                <w:szCs w:val="20"/>
                <w:lang w:val="en-IN"/>
              </w:rPr>
            </w:pPr>
            <w:r>
              <w:rPr>
                <w:rFonts w:eastAsia="Times New Roman"/>
                <w:color w:val="000000"/>
                <w:sz w:val="20"/>
                <w:szCs w:val="20"/>
                <w:lang w:val="en-IN"/>
              </w:rPr>
              <w:t>Demonstrates strong logical reasoning and clear justification of solutions</w:t>
            </w:r>
          </w:p>
        </w:tc>
        <w:tc>
          <w:tcPr>
            <w:tcW w:w="979" w:type="pct"/>
            <w:tcBorders>
              <w:top w:val="nil"/>
              <w:left w:val="nil"/>
              <w:bottom w:val="single" w:color="000000" w:sz="4" w:space="0"/>
              <w:right w:val="single" w:color="000000" w:sz="4" w:space="0"/>
            </w:tcBorders>
            <w:vAlign w:val="center"/>
          </w:tcPr>
          <w:p w14:paraId="782E952A">
            <w:pPr>
              <w:spacing w:line="240" w:lineRule="auto"/>
              <w:jc w:val="center"/>
              <w:rPr>
                <w:rFonts w:eastAsia="Times New Roman"/>
                <w:color w:val="000000"/>
                <w:sz w:val="20"/>
                <w:szCs w:val="20"/>
                <w:lang w:val="en-IN"/>
              </w:rPr>
            </w:pPr>
            <w:r>
              <w:rPr>
                <w:rFonts w:eastAsia="Times New Roman"/>
                <w:color w:val="000000"/>
                <w:sz w:val="20"/>
                <w:szCs w:val="20"/>
                <w:lang w:val="en-IN"/>
              </w:rPr>
              <w:t>Shows reasonable analysis with some justification</w:t>
            </w:r>
          </w:p>
        </w:tc>
        <w:tc>
          <w:tcPr>
            <w:tcW w:w="936" w:type="pct"/>
            <w:tcBorders>
              <w:top w:val="nil"/>
              <w:left w:val="nil"/>
              <w:bottom w:val="single" w:color="000000" w:sz="4" w:space="0"/>
              <w:right w:val="single" w:color="000000" w:sz="4" w:space="0"/>
            </w:tcBorders>
            <w:vAlign w:val="center"/>
          </w:tcPr>
          <w:p w14:paraId="2E1D70F5">
            <w:pPr>
              <w:spacing w:line="240" w:lineRule="auto"/>
              <w:jc w:val="center"/>
              <w:rPr>
                <w:rFonts w:eastAsia="Times New Roman"/>
                <w:color w:val="000000"/>
                <w:sz w:val="20"/>
                <w:szCs w:val="20"/>
                <w:lang w:val="en-IN"/>
              </w:rPr>
            </w:pPr>
            <w:r>
              <w:rPr>
                <w:rFonts w:eastAsia="Times New Roman"/>
                <w:color w:val="000000"/>
                <w:sz w:val="20"/>
                <w:szCs w:val="20"/>
                <w:lang w:val="en-IN"/>
              </w:rPr>
              <w:t>Limited analysis; weak reasoning</w:t>
            </w:r>
          </w:p>
        </w:tc>
        <w:tc>
          <w:tcPr>
            <w:tcW w:w="997" w:type="pct"/>
            <w:tcBorders>
              <w:top w:val="nil"/>
              <w:left w:val="nil"/>
              <w:bottom w:val="single" w:color="000000" w:sz="4" w:space="0"/>
              <w:right w:val="single" w:color="000000" w:sz="4" w:space="0"/>
            </w:tcBorders>
            <w:vAlign w:val="center"/>
          </w:tcPr>
          <w:p w14:paraId="3A8334DB">
            <w:pPr>
              <w:spacing w:line="240" w:lineRule="auto"/>
              <w:jc w:val="center"/>
              <w:rPr>
                <w:rFonts w:eastAsia="Times New Roman"/>
                <w:color w:val="000000"/>
                <w:sz w:val="20"/>
                <w:szCs w:val="20"/>
                <w:lang w:val="en-IN"/>
              </w:rPr>
            </w:pPr>
            <w:r>
              <w:rPr>
                <w:rFonts w:eastAsia="Times New Roman"/>
                <w:color w:val="000000"/>
                <w:sz w:val="20"/>
                <w:szCs w:val="20"/>
                <w:lang w:val="en-IN"/>
              </w:rPr>
              <w:t>No analytical reasoning demonstrated</w:t>
            </w:r>
          </w:p>
        </w:tc>
      </w:tr>
      <w:tr w14:paraId="72552C9D">
        <w:tblPrEx>
          <w:tblCellMar>
            <w:top w:w="0" w:type="dxa"/>
            <w:left w:w="108" w:type="dxa"/>
            <w:bottom w:w="0" w:type="dxa"/>
            <w:right w:w="108" w:type="dxa"/>
          </w:tblCellMar>
        </w:tblPrEx>
        <w:trPr>
          <w:trHeight w:val="315" w:hRule="atLeast"/>
        </w:trPr>
        <w:tc>
          <w:tcPr>
            <w:tcW w:w="589" w:type="pct"/>
            <w:tcBorders>
              <w:top w:val="nil"/>
              <w:left w:val="single" w:color="000000" w:sz="4" w:space="0"/>
              <w:bottom w:val="single" w:color="000000" w:sz="4" w:space="0"/>
              <w:right w:val="single" w:color="000000" w:sz="4" w:space="0"/>
            </w:tcBorders>
            <w:vAlign w:val="center"/>
          </w:tcPr>
          <w:p w14:paraId="5AE7BFF6">
            <w:pPr>
              <w:spacing w:line="240" w:lineRule="auto"/>
              <w:jc w:val="center"/>
              <w:rPr>
                <w:rFonts w:eastAsia="Times New Roman"/>
                <w:color w:val="000000"/>
                <w:sz w:val="20"/>
                <w:szCs w:val="20"/>
                <w:lang w:val="en-IN"/>
              </w:rPr>
            </w:pPr>
            <w:r>
              <w:rPr>
                <w:rFonts w:eastAsia="Times New Roman"/>
                <w:color w:val="000000"/>
                <w:sz w:val="20"/>
                <w:szCs w:val="20"/>
                <w:lang w:val="en-IN"/>
              </w:rPr>
              <w:t>Code Quality</w:t>
            </w:r>
          </w:p>
        </w:tc>
        <w:tc>
          <w:tcPr>
            <w:tcW w:w="589" w:type="pct"/>
            <w:tcBorders>
              <w:top w:val="nil"/>
              <w:left w:val="nil"/>
              <w:bottom w:val="single" w:color="000000" w:sz="4" w:space="0"/>
              <w:right w:val="single" w:color="000000" w:sz="4" w:space="0"/>
            </w:tcBorders>
            <w:vAlign w:val="center"/>
          </w:tcPr>
          <w:p w14:paraId="07BC1F61">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910" w:type="pct"/>
            <w:tcBorders>
              <w:top w:val="nil"/>
              <w:left w:val="nil"/>
              <w:bottom w:val="single" w:color="000000" w:sz="4" w:space="0"/>
              <w:right w:val="single" w:color="000000" w:sz="4" w:space="0"/>
            </w:tcBorders>
            <w:vAlign w:val="center"/>
          </w:tcPr>
          <w:p w14:paraId="570C8C00">
            <w:pPr>
              <w:spacing w:line="240" w:lineRule="auto"/>
              <w:jc w:val="center"/>
              <w:rPr>
                <w:rFonts w:eastAsia="Times New Roman"/>
                <w:color w:val="000000"/>
                <w:sz w:val="20"/>
                <w:szCs w:val="20"/>
                <w:lang w:val="en-IN"/>
              </w:rPr>
            </w:pPr>
            <w:r>
              <w:rPr>
                <w:rFonts w:eastAsia="Times New Roman"/>
                <w:color w:val="000000"/>
                <w:sz w:val="20"/>
                <w:szCs w:val="20"/>
                <w:lang w:val="en-IN"/>
              </w:rPr>
              <w:t>Produces clean, well-structured code with proper comments and documentation</w:t>
            </w:r>
          </w:p>
        </w:tc>
        <w:tc>
          <w:tcPr>
            <w:tcW w:w="979" w:type="pct"/>
            <w:tcBorders>
              <w:top w:val="nil"/>
              <w:left w:val="nil"/>
              <w:bottom w:val="single" w:color="000000" w:sz="4" w:space="0"/>
              <w:right w:val="single" w:color="000000" w:sz="4" w:space="0"/>
            </w:tcBorders>
            <w:vAlign w:val="center"/>
          </w:tcPr>
          <w:p w14:paraId="1763CBF2">
            <w:pPr>
              <w:spacing w:line="240" w:lineRule="auto"/>
              <w:jc w:val="center"/>
              <w:rPr>
                <w:rFonts w:eastAsia="Times New Roman"/>
                <w:color w:val="000000"/>
                <w:sz w:val="20"/>
                <w:szCs w:val="20"/>
                <w:lang w:val="en-IN"/>
              </w:rPr>
            </w:pPr>
            <w:r>
              <w:rPr>
                <w:rFonts w:eastAsia="Times New Roman"/>
                <w:color w:val="000000"/>
                <w:sz w:val="20"/>
                <w:szCs w:val="20"/>
                <w:lang w:val="en-IN"/>
              </w:rPr>
              <w:t>Code is mostly clear with minor documentation gaps</w:t>
            </w:r>
          </w:p>
        </w:tc>
        <w:tc>
          <w:tcPr>
            <w:tcW w:w="936" w:type="pct"/>
            <w:tcBorders>
              <w:top w:val="nil"/>
              <w:left w:val="nil"/>
              <w:bottom w:val="single" w:color="000000" w:sz="4" w:space="0"/>
              <w:right w:val="single" w:color="000000" w:sz="4" w:space="0"/>
            </w:tcBorders>
            <w:vAlign w:val="center"/>
          </w:tcPr>
          <w:p w14:paraId="6A93C4A0">
            <w:pPr>
              <w:spacing w:line="240" w:lineRule="auto"/>
              <w:jc w:val="center"/>
              <w:rPr>
                <w:rFonts w:eastAsia="Times New Roman"/>
                <w:color w:val="000000"/>
                <w:sz w:val="20"/>
                <w:szCs w:val="20"/>
                <w:lang w:val="en-IN"/>
              </w:rPr>
            </w:pPr>
            <w:r>
              <w:rPr>
                <w:rFonts w:eastAsia="Times New Roman"/>
                <w:color w:val="000000"/>
                <w:sz w:val="20"/>
                <w:szCs w:val="20"/>
                <w:lang w:val="en-IN"/>
              </w:rPr>
              <w:t>Code lacks structure and proper documentation</w:t>
            </w:r>
          </w:p>
        </w:tc>
        <w:tc>
          <w:tcPr>
            <w:tcW w:w="997" w:type="pct"/>
            <w:tcBorders>
              <w:top w:val="nil"/>
              <w:left w:val="nil"/>
              <w:bottom w:val="single" w:color="000000" w:sz="4" w:space="0"/>
              <w:right w:val="single" w:color="000000" w:sz="4" w:space="0"/>
            </w:tcBorders>
            <w:vAlign w:val="center"/>
          </w:tcPr>
          <w:p w14:paraId="41EB136E">
            <w:pPr>
              <w:spacing w:line="240" w:lineRule="auto"/>
              <w:jc w:val="center"/>
              <w:rPr>
                <w:rFonts w:eastAsia="Times New Roman"/>
                <w:color w:val="000000"/>
                <w:sz w:val="20"/>
                <w:szCs w:val="20"/>
                <w:lang w:val="en-IN"/>
              </w:rPr>
            </w:pPr>
            <w:r>
              <w:rPr>
                <w:rFonts w:eastAsia="Times New Roman"/>
                <w:color w:val="000000"/>
                <w:sz w:val="20"/>
                <w:szCs w:val="20"/>
                <w:lang w:val="en-IN"/>
              </w:rPr>
              <w:t>Poorly written code with no documentation</w:t>
            </w:r>
          </w:p>
        </w:tc>
      </w:tr>
    </w:tbl>
    <w:p w14:paraId="11286468">
      <w:pPr>
        <w:rPr>
          <w:sz w:val="24"/>
          <w:szCs w:val="24"/>
        </w:rPr>
      </w:pPr>
    </w:p>
    <w:p>
      <w:r>
        <w:br w:type="page"/>
      </w:r>
    </w:p>
    <w:p>
      <w:pPr>
        <w:spacing w:after="240" w:line="240" w:lineRule="auto"/>
      </w:pPr>
      <w:r>
        <w:rPr>
          <w:rFonts w:ascii="Calibri" w:hAnsi="Calibri"/>
          <w:b/>
          <w:color w:val="1F4E79"/>
          <w:sz w:val="32"/>
          <w:szCs w:val="32"/>
        </w:rPr>
        <w:t xml:space="preserve">ANSWERS</w:t>
      </w:r>
    </w:p>
    <w:p>
      <w:pPr>
        <w:spacing w:after="180" w:line="240" w:lineRule="auto"/>
      </w:pPr>
      <w:r>
        <w:rPr>
          <w:rFonts w:ascii="Calibri" w:hAnsi="Calibri"/>
          <w:b/>
          <w:color w:val="2E75B6"/>
          <w:sz w:val="26"/>
          <w:szCs w:val="26"/>
        </w:rPr>
        <w:t xml:space="preserve">Q1. Fixing Incorrect JOIN Syntax That Returns Duplicate Results</w:t>
      </w:r>
    </w:p>
    <w:p>
      <w:pPr>
        <w:spacing w:after="100" w:line="240" w:lineRule="auto"/>
      </w:pPr>
      <w:r>
        <w:rPr>
          <w:rFonts w:ascii="Calibri" w:hAnsi="Calibri"/>
          <w:b/>
          <w:color w:val="C00000"/>
          <w:sz w:val="22"/>
          <w:szCs w:val="22"/>
        </w:rPr>
        <w:t xml:space="preserve">Given (Incorrect)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e.EmployeeName, d.DepartmentName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 Department 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e.DepartmentID = d.DepartmentID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OR  e.ManagerID    = d.DepartmentID;</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The old-style comma join combined with an OR condition produces a near-cartesian product: rows match on either condition, so an employee can be paired with a department twice (once via DepartmentID and once via ManagerID), producing duplicate rows. Mixing OR into a join predicate is a very common cause of duplicate/incorrect JOIN results.</w:t>
      </w:r>
    </w:p>
    <w:p>
      <w:pPr>
        <w:spacing w:after="100" w:line="240" w:lineRule="auto"/>
      </w:pPr>
      <w:r>
        <w:rPr>
          <w:rFonts w:ascii="Calibri" w:hAnsi="Calibri"/>
          <w:b/>
          <w:color w:val="1F7A1F"/>
          <w:sz w:val="22"/>
          <w:szCs w:val="22"/>
        </w:rPr>
        <w:t xml:space="preserve">Corrected &amp; Optimized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DISTINCT e.EmployeeName, d.DepartmentName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Department 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ON e.DepartmentID = d.DepartmentID;</w:t>
      </w:r>
    </w:p>
    <w:p>
      <w:pPr>
        <w:spacing w:after="160" w:line="240" w:lineRule="auto"/>
      </w:pPr>
      <w:r>
        <w:rPr>
          <w:rFonts w:ascii="Calibri" w:hAnsi="Calibri"/>
          <w:sz w:val="22"/>
          <w:szCs w:val="22"/>
        </w:rPr>
        <w:t xml:space="preserve">Explanation: Replacing the comma join with an explicit INNER JOIN and a single, correct ON condition (e.DepartmentID = d.DepartmentID) removes the ambiguous OR logic. DISTINCT is added as a safety net in case the underlying data itself has duplicate rows, but the real fix is using proper JOIN syntax with one clear join condition instead of an implicit join with OR.</w:t>
      </w:r>
    </w:p>
    <w:p>
      <w:pPr>
        <w:spacing w:after="180" w:line="240" w:lineRule="auto"/>
      </w:pPr>
      <w:r>
        <w:rPr>
          <w:rFonts w:ascii="Calibri" w:hAnsi="Calibri"/>
          <w:b/>
          <w:color w:val="2E75B6"/>
          <w:sz w:val="26"/>
          <w:szCs w:val="26"/>
        </w:rPr>
        <w:t xml:space="preserve">Q2. Debugging a Sub-query With a Missing Correlation</w:t>
      </w:r>
    </w:p>
    <w:p>
      <w:pPr>
        <w:spacing w:after="100" w:line="240" w:lineRule="auto"/>
      </w:pPr>
      <w:r>
        <w:rPr>
          <w:rFonts w:ascii="Calibri" w:hAnsi="Calibri"/>
          <w:b/>
          <w:color w:val="C00000"/>
          <w:sz w:val="22"/>
          <w:szCs w:val="22"/>
        </w:rPr>
        <w:t xml:space="preserve">Given (Incorrect) Query – intent: employees earning above their own department's average 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EmployeeID, EmployeeName, Salary, DepartmentID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WHERE  Salary &gt; (SELECT AVG(Salary) FROM Employee);</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The sub-query computes the AVG(Salary) across the entire Employee table instead of per department, because it is not correlated to the outer query's DepartmentID. This returns employees earning more than the company-wide average, not the department-wise average — an incorrect result for the stated requirement.</w:t>
      </w:r>
    </w:p>
    <w:p>
      <w:pPr>
        <w:spacing w:after="100" w:line="240" w:lineRule="auto"/>
      </w:pPr>
      <w:r>
        <w:rPr>
          <w:rFonts w:ascii="Calibri" w:hAnsi="Calibri"/>
          <w:b/>
          <w:color w:val="1F7A1F"/>
          <w:sz w:val="22"/>
          <w:szCs w:val="22"/>
        </w:rPr>
        <w:t xml:space="preserve">Corrected (Correlated)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e1.EmployeeID, e1.EmployeeName, e1.Salary, e1.DepartmentID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e1.Salary &gt;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AVG(e2.Salary)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FROM   Employee e2</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WHERE  e2.DepartmentID = e1.DepartmentID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sz w:val="22"/>
          <w:szCs w:val="22"/>
        </w:rPr>
        <w:t xml:space="preserve">Explanation: Adding the correlation condition e2.DepartmentID = e1.DepartmentID makes the sub-query re-evaluate AVG(Salary) separately for each employee's own department, so the comparison is now against the correct department-level average.</w:t>
      </w:r>
    </w:p>
    <w:p>
      <w:pPr>
        <w:spacing w:after="180" w:line="240" w:lineRule="auto"/>
      </w:pPr>
      <w:r>
        <w:rPr>
          <w:rFonts w:ascii="Calibri" w:hAnsi="Calibri"/>
          <w:b/>
          <w:color w:val="2E75B6"/>
          <w:sz w:val="26"/>
          <w:szCs w:val="26"/>
        </w:rPr>
        <w:t xml:space="preserve">Q3. Fixing a Faulty SQL VIEW Definition</w:t>
      </w:r>
    </w:p>
    <w:p>
      <w:pPr>
        <w:spacing w:after="100" w:line="240" w:lineRule="auto"/>
      </w:pPr>
      <w:r>
        <w:rPr>
          <w:rFonts w:ascii="Calibri" w:hAnsi="Calibri"/>
          <w:b/>
          <w:color w:val="C00000"/>
          <w:sz w:val="22"/>
          <w:szCs w:val="22"/>
        </w:rPr>
        <w:t xml:space="preserve">Given (Incorrect) 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VIEW DeptSalarySummary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DepartmentID, EmployeeName, AVG(Salary)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ORDER  BY DepartmentID;</w:t>
      </w:r>
    </w:p>
    <w:p>
      <w:pPr>
        <w:spacing w:after="160" w:line="240" w:lineRule="auto"/>
      </w:pPr>
      <w:r>
        <w:rPr>
          <w:rFonts w:ascii="Calibri" w:hAnsi="Calibri"/>
          <w:b/>
          <w:sz w:val="22"/>
          <w:szCs w:val="22"/>
        </w:rPr>
        <w:t xml:space="preserve">Error Identified:</w:t>
      </w:r>
    </w:p>
    <w:p>
      <w:pPr>
        <w:spacing w:after="80" w:line="240" w:lineRule="auto"/>
      </w:pPr>
      <w:r>
        <w:rPr>
          <w:rFonts w:ascii="Calibri" w:hAnsi="Calibri"/>
          <w:sz w:val="22"/>
          <w:szCs w:val="22"/>
        </w:rPr>
        <w:t xml:space="preserve">•  An aggregate function AVG(Salary) is mixed with a non-aggregated column (EmployeeName) with no GROUP BY — this is illegal in standard SQL and most databases will raise an error.</w:t>
      </w:r>
    </w:p>
    <w:p>
      <w:pPr>
        <w:spacing w:after="80" w:line="240" w:lineRule="auto"/>
      </w:pPr>
      <w:r>
        <w:rPr>
          <w:rFonts w:ascii="Calibri" w:hAnsi="Calibri"/>
          <w:sz w:val="22"/>
          <w:szCs w:val="22"/>
        </w:rPr>
        <w:t xml:space="preserve">•  An ORDER BY clause with no TOP/LIMIT inside a view is disallowed or ignored by several database engines (e.g., SQL Server rejects ORDER BY in a view unless combined with TOP).</w:t>
      </w:r>
    </w:p>
    <w:p>
      <w:pPr>
        <w:spacing w:after="80" w:line="240" w:lineRule="auto"/>
      </w:pPr>
      <w:r>
        <w:rPr>
          <w:rFonts w:ascii="Calibri" w:hAnsi="Calibri"/>
          <w:sz w:val="22"/>
          <w:szCs w:val="22"/>
        </w:rPr>
        <w:t xml:space="preserve">•  The view lacks a descriptive alias for the aggregated column, making it hard to reference later.</w:t>
      </w:r>
    </w:p>
    <w:p>
      <w:pPr>
        <w:spacing w:after="100" w:line="240" w:lineRule="auto"/>
      </w:pPr>
      <w:r>
        <w:rPr>
          <w:rFonts w:ascii="Calibri" w:hAnsi="Calibri"/>
          <w:b/>
          <w:color w:val="1F7A1F"/>
          <w:sz w:val="22"/>
          <w:szCs w:val="22"/>
        </w:rPr>
        <w:t xml:space="preserve">Corrected &amp; Optimized 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VIEW DeptSalarySummary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DepartmentID,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AVG(Salary) AS AvgSalary,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    AS EmployeeCount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GROUP  BY DepartmentID;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Ordering is applied when the view is queried, not inside the view:</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SELECT * FROM DeptSalarySummary ORDER BY DepartmentID;</w:t>
      </w:r>
    </w:p>
    <w:p>
      <w:pPr>
        <w:spacing w:after="160" w:line="240" w:lineRule="auto"/>
      </w:pPr>
      <w:r>
        <w:rPr>
          <w:rFonts w:ascii="Calibri" w:hAnsi="Calibri"/>
          <w:sz w:val="22"/>
          <w:szCs w:val="22"/>
        </w:rPr>
        <w:t xml:space="preserve">Explanation: EmployeeName is removed since it cannot coexist with an ungrouped aggregate; GROUP BY DepartmentID makes the aggregation valid and meaningful per department. The ORDER BY is moved out of the view definition to the querying statement, which is both syntactically safe across databases and the correct place for sort order (views represent a stored query, not a fixed sorted result).</w:t>
      </w:r>
    </w:p>
    <w:p>
      <w:pPr>
        <w:spacing w:after="180" w:line="240" w:lineRule="auto"/>
      </w:pPr>
      <w:r>
        <w:rPr>
          <w:rFonts w:ascii="Calibri" w:hAnsi="Calibri"/>
          <w:b/>
          <w:color w:val="2E75B6"/>
          <w:sz w:val="26"/>
          <w:szCs w:val="26"/>
        </w:rPr>
        <w:t xml:space="preserve">Q4. Debugging a Relational Algebra Expression for Natural Join</w:t>
      </w:r>
    </w:p>
    <w:p>
      <w:pPr>
        <w:spacing w:after="100" w:line="240" w:lineRule="auto"/>
      </w:pPr>
      <w:r>
        <w:rPr>
          <w:rFonts w:ascii="Calibri" w:hAnsi="Calibri"/>
          <w:b/>
          <w:color w:val="C00000"/>
          <w:sz w:val="22"/>
          <w:szCs w:val="22"/>
        </w:rPr>
        <w:t xml:space="preserve">Given (Incorrect) Expression:</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Result = Employee × Department</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The Cartesian Product (×) operator combines every tuple of Employee with every tuple of Department, regardless of whether DepartmentID matches. This produces an incorrect, bloated output (rows = |Employee| × |Department|) instead of only the tuples that logically belong together.</w:t>
      </w:r>
    </w:p>
    <w:p>
      <w:pPr>
        <w:spacing w:after="100" w:line="240" w:lineRule="auto"/>
      </w:pPr>
      <w:r>
        <w:rPr>
          <w:rFonts w:ascii="Calibri" w:hAnsi="Calibri"/>
          <w:b/>
          <w:color w:val="1F7A1F"/>
          <w:sz w:val="22"/>
          <w:szCs w:val="22"/>
        </w:rPr>
        <w:t xml:space="preserve">Corrected Expression (Natural Join):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Result = Employee ⨝ Department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Equivalent using Selection + Projection over the Cartesian Product: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Result = π EmployeeID, EmployeeName, Employee.DepartmentID, DepartmentName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(σ Employee.DepartmentID = Department.DepartmentID (Employee × Department))</w:t>
      </w:r>
    </w:p>
    <w:p>
      <w:pPr>
        <w:spacing w:after="160" w:line="240" w:lineRule="auto"/>
      </w:pPr>
      <w:r>
        <w:rPr>
          <w:rFonts w:ascii="Calibri" w:hAnsi="Calibri"/>
          <w:sz w:val="22"/>
          <w:szCs w:val="22"/>
        </w:rPr>
        <w:t xml:space="preserve">Explanation: The Natural Join (⨝) automatically equates and merges attributes with the same name in both relations (DepartmentID), returning only matching tuples with the common attribute appearing once — which is what a Cartesian Product alone cannot do. The second form shows the same correction built manually using Selection (σ) to enforce the matching condition and Projection (π) to remove the duplicate column.</w:t>
      </w:r>
    </w:p>
    <w:p>
      <w:pPr>
        <w:spacing w:after="180" w:line="240" w:lineRule="auto"/>
      </w:pPr>
      <w:r>
        <w:rPr>
          <w:rFonts w:ascii="Calibri" w:hAnsi="Calibri"/>
          <w:b/>
          <w:color w:val="2E75B6"/>
          <w:sz w:val="26"/>
          <w:szCs w:val="26"/>
        </w:rPr>
        <w:t xml:space="preserve">Q5. Fixing a Referential Integrity Violation</w:t>
      </w:r>
    </w:p>
    <w:p>
      <w:pPr>
        <w:spacing w:after="100" w:line="240" w:lineRule="auto"/>
      </w:pPr>
      <w:r>
        <w:rPr>
          <w:rFonts w:ascii="Calibri" w:hAnsi="Calibri"/>
          <w:b/>
          <w:color w:val="C00000"/>
          <w:sz w:val="22"/>
          <w:szCs w:val="22"/>
        </w:rPr>
        <w:t xml:space="preserve">Given (Incorrect) Statements: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Orders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OrderID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CustomerID INT,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OrderDate  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No FOREIGN KEY defined, so this insert is wrongly allowed: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Orders VALUES (501, 9999, '2026-08-01');</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CustomerID 9999 does not exist in the Customer table</w:t>
      </w:r>
    </w:p>
    <w:p>
      <w:pPr>
        <w:spacing w:after="160" w:line="240" w:lineRule="auto"/>
      </w:pPr>
      <w:r>
        <w:rPr>
          <w:rFonts w:ascii="Calibri" w:hAnsi="Calibri"/>
          <w:b/>
          <w:sz w:val="22"/>
          <w:szCs w:val="22"/>
        </w:rPr>
        <w:t xml:space="preserve">Violation Identified:</w:t>
      </w:r>
    </w:p>
    <w:p>
      <w:pPr>
        <w:spacing w:after="160" w:line="240" w:lineRule="auto"/>
      </w:pPr>
      <w:r>
        <w:rPr>
          <w:rFonts w:ascii="Calibri" w:hAnsi="Calibri"/>
          <w:sz w:val="22"/>
          <w:szCs w:val="22"/>
        </w:rPr>
        <w:t xml:space="preserve">Orders.CustomerID has no FOREIGN KEY constraint referencing Customer(CustomerID), so the database silently accepts an order for a customer that does not exist — a direct violation of referential integrity.</w:t>
      </w:r>
    </w:p>
    <w:p>
      <w:pPr>
        <w:spacing w:after="100" w:line="240" w:lineRule="auto"/>
      </w:pPr>
      <w:r>
        <w:rPr>
          <w:rFonts w:ascii="Calibri" w:hAnsi="Calibri"/>
          <w:b/>
          <w:color w:val="1F7A1F"/>
          <w:sz w:val="22"/>
          <w:szCs w:val="22"/>
        </w:rPr>
        <w:t xml:space="preserve">Corrected Statements: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Orders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OrderID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CustomerID INT NOT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OrderDate  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CONSTRAINT fk_customer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FOREIGN KEY (CustomerID)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REFERENCES Customer(CustomerID)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ON DELETE RESTRICT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ON UPDATE CASCADE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This insert will now correctly be REJECTED: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Orders VALUES (501, 9999, '2026-08-01');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Error: FOREIGN KEY constraint violation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Valid insert (CustomerID already exists in Customer):</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INSERT INTO Orders VALUES (502, 101, '2026-08-01');</w:t>
      </w:r>
    </w:p>
    <w:p>
      <w:pPr>
        <w:spacing w:after="160" w:line="240" w:lineRule="auto"/>
      </w:pPr>
      <w:r>
        <w:rPr>
          <w:rFonts w:ascii="Calibri" w:hAnsi="Calibri"/>
          <w:sz w:val="22"/>
          <w:szCs w:val="22"/>
        </w:rPr>
        <w:t xml:space="preserve">Explanation: Adding the FOREIGN KEY constraint forces every CustomerID in Orders to already exist in Customer. ON DELETE RESTRICT prevents a customer from being deleted while open orders reference them, and ON UPDATE CASCADE keeps CustomerID values in sync if a CustomerID is ever changed — both enforce referential integrity going forward.</w:t>
      </w:r>
    </w:p>
    <w:p>
      <w:pPr>
        <w:spacing w:after="180" w:line="240" w:lineRule="auto"/>
      </w:pPr>
      <w:r>
        <w:rPr>
          <w:rFonts w:ascii="Calibri" w:hAnsi="Calibri"/>
          <w:b/>
          <w:color w:val="2E75B6"/>
          <w:sz w:val="26"/>
          <w:szCs w:val="26"/>
        </w:rPr>
        <w:t xml:space="preserve">Q6. Optimizing an Inefficient Nested-Loop Query Using JOIN</w:t>
      </w:r>
    </w:p>
    <w:p>
      <w:pPr>
        <w:spacing w:after="100" w:line="240" w:lineRule="auto"/>
      </w:pPr>
      <w:r>
        <w:rPr>
          <w:rFonts w:ascii="Calibri" w:hAnsi="Calibri"/>
          <w:b/>
          <w:color w:val="C00000"/>
          <w:sz w:val="22"/>
          <w:szCs w:val="22"/>
        </w:rPr>
        <w:t xml:space="preserve">Given (Inefficient) Query – correlated sub-query acting like a nested loop:</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o.OrderID, o.OrderDate,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c.CustomerName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FROM   Customer c</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WHERE  c.CustomerID = o.CustomerID) AS CustomerName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Orders o</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WHERE  o.CustomerID IN (SELECT CustomerID FROM Customer);</w:t>
      </w:r>
    </w:p>
    <w:p>
      <w:pPr>
        <w:spacing w:after="160" w:line="240" w:lineRule="auto"/>
      </w:pPr>
      <w:r>
        <w:rPr>
          <w:rFonts w:ascii="Calibri" w:hAnsi="Calibri"/>
          <w:b/>
          <w:sz w:val="22"/>
          <w:szCs w:val="22"/>
        </w:rPr>
        <w:t xml:space="preserve">Problem Identified:</w:t>
      </w:r>
    </w:p>
    <w:p>
      <w:pPr>
        <w:spacing w:after="160" w:line="240" w:lineRule="auto"/>
      </w:pPr>
      <w:r>
        <w:rPr>
          <w:rFonts w:ascii="Calibri" w:hAnsi="Calibri"/>
          <w:sz w:val="22"/>
          <w:szCs w:val="22"/>
        </w:rPr>
        <w:t xml:space="preserve">The scalar sub-query in the SELECT list runs once for every row of Orders (a row-by-row / nested-loop pattern), and the IN sub-query re-scans the entire Customer table for every row too. This is O(n × m) behavior and scales poorly on large tables.</w:t>
      </w:r>
    </w:p>
    <w:p>
      <w:pPr>
        <w:spacing w:after="100" w:line="240" w:lineRule="auto"/>
      </w:pPr>
      <w:r>
        <w:rPr>
          <w:rFonts w:ascii="Calibri" w:hAnsi="Calibri"/>
          <w:b/>
          <w:color w:val="1F7A1F"/>
          <w:sz w:val="22"/>
          <w:szCs w:val="22"/>
        </w:rPr>
        <w:t xml:space="preserve">Optimized Query Using JOIN: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o.OrderID, o.OrderDate, c.CustomerName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Orders   o</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JOIN   Customer c ON o.CustomerID = c.CustomerID;</w:t>
      </w:r>
    </w:p>
    <w:p>
      <w:pPr>
        <w:spacing w:after="160" w:line="240" w:lineRule="auto"/>
      </w:pPr>
      <w:r>
        <w:rPr>
          <w:rFonts w:ascii="Calibri" w:hAnsi="Calibri"/>
          <w:sz w:val="22"/>
          <w:szCs w:val="22"/>
        </w:rPr>
        <w:t xml:space="preserve">Explanation: A single INNER JOIN lets the database's query optimizer use a set-based join algorithm (hash join / merge join) instead of executing a sub-query per row, which is far more efficient than nested scalar sub-queries and eliminates redundant repeated scans of Customer.</w:t>
      </w:r>
    </w:p>
    <w:p>
      <w:pPr>
        <w:spacing w:after="180" w:line="240" w:lineRule="auto"/>
      </w:pPr>
      <w:r>
        <w:rPr>
          <w:rFonts w:ascii="Calibri" w:hAnsi="Calibri"/>
          <w:b/>
          <w:color w:val="2E75B6"/>
          <w:sz w:val="26"/>
          <w:szCs w:val="26"/>
        </w:rPr>
        <w:t xml:space="preserve">Q7. Debugging a GROUP BY Query That Produces Wrong Aggregation</w:t>
      </w:r>
    </w:p>
    <w:p>
      <w:pPr>
        <w:spacing w:after="100" w:line="240" w:lineRule="auto"/>
      </w:pPr>
      <w:r>
        <w:rPr>
          <w:rFonts w:ascii="Calibri" w:hAnsi="Calibri"/>
          <w:b/>
          <w:color w:val="C00000"/>
          <w:sz w:val="22"/>
          <w:szCs w:val="22"/>
        </w:rPr>
        <w:t xml:space="preserve">Given (Incorrect)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ProductID, ProductName, CategoryID, SUM(Quantity) AS TotalSold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SalesDetail</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ProductID;</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ProductName and CategoryID are selected but not included in the GROUP BY clause and are not wrapped in an aggregate function. In strict SQL engines this raises an error; in lenient engines (e.g., older MySQL modes) it silently returns an arbitrary, often incorrect, ProductName/CategoryID value for each group — giving misleading results even though SUM(Quantity) itself is correct.</w:t>
      </w:r>
    </w:p>
    <w:p>
      <w:pPr>
        <w:spacing w:after="100" w:line="240" w:lineRule="auto"/>
      </w:pPr>
      <w:r>
        <w:rPr>
          <w:rFonts w:ascii="Calibri" w:hAnsi="Calibri"/>
          <w:b/>
          <w:color w:val="1F7A1F"/>
          <w:sz w:val="22"/>
          <w:szCs w:val="22"/>
        </w:rPr>
        <w:t xml:space="preserve">Corrected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ProductID, ProductName, CategoryID, SUM(Quantity) AS TotalSold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SalesDetail</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ProductID, ProductName, CategoryID;</w:t>
      </w:r>
    </w:p>
    <w:p>
      <w:pPr>
        <w:spacing w:after="160" w:line="240" w:lineRule="auto"/>
      </w:pPr>
      <w:r>
        <w:rPr>
          <w:rFonts w:ascii="Calibri" w:hAnsi="Calibri"/>
          <w:sz w:val="22"/>
          <w:szCs w:val="22"/>
        </w:rPr>
        <w:t xml:space="preserve">Explanation: Every non-aggregated column in the SELECT list must appear in GROUP BY. Adding ProductName and CategoryID to the GROUP BY clause ensures each group truly represents one distinct product, so SUM(Quantity) is now computed correctly and consistently per product.</w:t>
      </w:r>
    </w:p>
    <w:p>
      <w:pPr>
        <w:spacing w:after="180" w:line="240" w:lineRule="auto"/>
      </w:pPr>
      <w:r>
        <w:rPr>
          <w:rFonts w:ascii="Calibri" w:hAnsi="Calibri"/>
          <w:b/>
          <w:color w:val="2E75B6"/>
          <w:sz w:val="26"/>
          <w:szCs w:val="26"/>
        </w:rPr>
        <w:t xml:space="preserve">Q8. Fixing an UPDATE Statement That Unintentionally Modifies All Rows</w:t>
      </w:r>
    </w:p>
    <w:p>
      <w:pPr>
        <w:spacing w:after="100" w:line="240" w:lineRule="auto"/>
      </w:pPr>
      <w:r>
        <w:rPr>
          <w:rFonts w:ascii="Calibri" w:hAnsi="Calibri"/>
          <w:b/>
          <w:color w:val="C00000"/>
          <w:sz w:val="22"/>
          <w:szCs w:val="22"/>
        </w:rPr>
        <w:t xml:space="preserve">Given (Incorrect) Statement: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UPDATE Employee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SET    Salary = Salary * 1.10;</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There is no WHERE clause, so the UPDATE applies to every row in the Employee table — giving every employee a 10% raise instead of only the intended subset (e.g., a specific department or performance group). This is one of the most common and most dangerous SQL logical errors.</w:t>
      </w:r>
    </w:p>
    <w:p>
      <w:pPr>
        <w:spacing w:after="100" w:line="240" w:lineRule="auto"/>
      </w:pPr>
      <w:r>
        <w:rPr>
          <w:rFonts w:ascii="Calibri" w:hAnsi="Calibri"/>
          <w:b/>
          <w:color w:val="1F7A1F"/>
          <w:sz w:val="22"/>
          <w:szCs w:val="22"/>
        </w:rPr>
        <w:t xml:space="preserve">Corrected Statement: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UPDATE Employee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SET    Salary = Salary * 1.10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DepartmentID = 3</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AND  PerformanceRating &gt;= 4;</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Good practice: preview the affected rows before updating</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 FROM Employee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WHERE  DepartmentID = 3 AND PerformanceRating &gt;= 4;</w:t>
      </w:r>
    </w:p>
    <w:p>
      <w:pPr>
        <w:spacing w:after="160" w:line="240" w:lineRule="auto"/>
      </w:pPr>
      <w:r>
        <w:rPr>
          <w:rFonts w:ascii="Calibri" w:hAnsi="Calibri"/>
          <w:sz w:val="22"/>
          <w:szCs w:val="22"/>
        </w:rPr>
        <w:t xml:space="preserve">Explanation: Adding a WHERE clause restricts the UPDATE to only the intended rows. Running the equivalent SELECT with the same WHERE condition first is a standard safety practice to confirm exactly which rows will be affected before committing the UPDATE.</w:t>
      </w:r>
    </w:p>
    <w:p>
      <w:pPr>
        <w:spacing w:after="180" w:line="240" w:lineRule="auto"/>
      </w:pPr>
      <w:r>
        <w:rPr>
          <w:rFonts w:ascii="Calibri" w:hAnsi="Calibri"/>
          <w:b/>
          <w:color w:val="2E75B6"/>
          <w:sz w:val="26"/>
          <w:szCs w:val="26"/>
        </w:rPr>
        <w:t xml:space="preserve">Q9. Optimizing a Multi-Table Query – Sub-queries into JOINs + Indexes</w:t>
      </w:r>
    </w:p>
    <w:p>
      <w:pPr>
        <w:spacing w:after="100" w:line="240" w:lineRule="auto"/>
      </w:pPr>
      <w:r>
        <w:rPr>
          <w:rFonts w:ascii="Calibri" w:hAnsi="Calibri"/>
          <w:b/>
          <w:color w:val="C00000"/>
          <w:sz w:val="22"/>
          <w:szCs w:val="22"/>
        </w:rPr>
        <w:t xml:space="preserve">Given (Unoptimized)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OrderID, OrderDate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Orders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CustomerID IN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CustomerID FROM Customer WHERE City = 'Chennai'</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AND    ProductID IN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ProductID FROM Product WHERE Category = 'Electronics'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b/>
          <w:sz w:val="22"/>
          <w:szCs w:val="22"/>
        </w:rPr>
        <w:t xml:space="preserve">Problem Identified:</w:t>
      </w:r>
    </w:p>
    <w:p>
      <w:pPr>
        <w:spacing w:after="160" w:line="240" w:lineRule="auto"/>
      </w:pPr>
      <w:r>
        <w:rPr>
          <w:rFonts w:ascii="Calibri" w:hAnsi="Calibri"/>
          <w:sz w:val="22"/>
          <w:szCs w:val="22"/>
        </w:rPr>
        <w:t xml:space="preserve">Two independent IN sub-queries force the database to evaluate Customer and Product repeatedly and cannot leverage indexed join paths efficiently; this pattern typically performs worse than an equivalent JOIN-based plan, especially on large tables.</w:t>
      </w:r>
    </w:p>
    <w:p>
      <w:pPr>
        <w:spacing w:after="100" w:line="240" w:lineRule="auto"/>
      </w:pPr>
      <w:r>
        <w:rPr>
          <w:rFonts w:ascii="Calibri" w:hAnsi="Calibri"/>
          <w:b/>
          <w:color w:val="1F7A1F"/>
          <w:sz w:val="22"/>
          <w:szCs w:val="22"/>
        </w:rPr>
        <w:t xml:space="preserve">Optimized Query Using JOINs: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o.OrderID, o.OrderDate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Orders   o</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Customer c ON o.CustomerID = c.CustomerID AND c.City = 'Chennai'</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JOIN   Product  p ON o.ProductID  = p.ProductID  AND p.Category = 'Electronics';</w:t>
      </w:r>
    </w:p>
    <w:p>
      <w:pPr>
        <w:spacing w:after="160" w:line="240" w:lineRule="auto"/>
      </w:pPr>
      <w:r>
        <w:rPr>
          <w:rFonts w:ascii="Calibri" w:hAnsi="Calibri"/>
          <w:b/>
          <w:sz w:val="22"/>
          <w:szCs w:val="22"/>
        </w:rPr>
        <w:t xml:space="preserve">Recommended Indexes: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INDEX idx_orders_customerid ON Orders(CustomerID);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INDEX idx_orders_productid  ON Orders(ProductID);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INDEX idx_customer_city     ON Customer(City);</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CREATE INDEX idx_product_category  ON Product(Category);</w:t>
      </w:r>
    </w:p>
    <w:p>
      <w:pPr>
        <w:spacing w:after="160" w:line="240" w:lineRule="auto"/>
      </w:pPr>
      <w:r>
        <w:rPr>
          <w:rFonts w:ascii="Calibri" w:hAnsi="Calibri"/>
          <w:sz w:val="22"/>
          <w:szCs w:val="22"/>
        </w:rPr>
        <w:t xml:space="preserve">Explanation: Restructuring the sub-queries into JOINs lets the optimizer choose efficient join algorithms (hash/merge/index join) instead of re-evaluating each IN list. Indexing the foreign-key columns (CustomerID, ProductID) and the filter columns (City, Category) allows the engine to quickly locate matching rows instead of scanning entire tables, significantly improving performance on large datasets.</w:t>
      </w:r>
    </w:p>
    <w:p>
      <w:pPr>
        <w:spacing w:after="180" w:line="240" w:lineRule="auto"/>
      </w:pPr>
      <w:r>
        <w:rPr>
          <w:rFonts w:ascii="Calibri" w:hAnsi="Calibri"/>
          <w:b/>
          <w:color w:val="2E75B6"/>
          <w:sz w:val="26"/>
          <w:szCs w:val="26"/>
        </w:rPr>
        <w:t xml:space="preserve">Q10. Debugging a Relational Calculus Expression With Incorrect Quantifier Usage</w:t>
      </w:r>
    </w:p>
    <w:p>
      <w:pPr>
        <w:spacing w:after="100" w:line="240" w:lineRule="auto"/>
      </w:pPr>
      <w:r>
        <w:rPr>
          <w:rFonts w:ascii="Calibri" w:hAnsi="Calibri"/>
          <w:b/>
          <w:color w:val="C00000"/>
          <w:sz w:val="22"/>
          <w:szCs w:val="22"/>
        </w:rPr>
        <w:t xml:space="preserve">Given (Incorrect) Expression – intent: find students enrolled in at least one course: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s.StudentID | s ∈ Student ∧</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 e ( e ∈ Enrollment → e.StudentID = s.StudentID ) }</w:t>
      </w:r>
    </w:p>
    <w:p>
      <w:pPr>
        <w:spacing w:after="160" w:line="240" w:lineRule="auto"/>
      </w:pPr>
      <w:r>
        <w:rPr>
          <w:rFonts w:ascii="Calibri" w:hAnsi="Calibri"/>
          <w:b/>
          <w:sz w:val="22"/>
          <w:szCs w:val="22"/>
        </w:rPr>
        <w:t xml:space="preserve">Error Identified:</w:t>
      </w:r>
    </w:p>
    <w:p>
      <w:pPr>
        <w:spacing w:after="160" w:line="240" w:lineRule="auto"/>
      </w:pPr>
      <w:r>
        <w:rPr>
          <w:rFonts w:ascii="Calibri" w:hAnsi="Calibri"/>
          <w:sz w:val="22"/>
          <w:szCs w:val="22"/>
        </w:rPr>
        <w:t xml:space="preserve">The universal quantifier (∀) incorrectly requires that EVERY tuple e in the entire Enrollment relation must belong to student s — which is only true if Enrollment contains rows for just that one student. For any realistic database with multiple students, this condition is almost never satisfied, so the query returns an empty result set.</w:t>
      </w:r>
    </w:p>
    <w:p>
      <w:pPr>
        <w:spacing w:after="100" w:line="240" w:lineRule="auto"/>
      </w:pPr>
      <w:r>
        <w:rPr>
          <w:rFonts w:ascii="Calibri" w:hAnsi="Calibri"/>
          <w:b/>
          <w:color w:val="1F7A1F"/>
          <w:sz w:val="22"/>
          <w:szCs w:val="22"/>
        </w:rPr>
        <w:t xml:space="preserve">Corrected Expression (Existential Quantifier):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s.StudentID | s ∈ Student ∧</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 e ( e ∈ Enrollment ∧ e.StudentID = s.StudentID ) }</w:t>
      </w:r>
    </w:p>
    <w:p>
      <w:pPr>
        <w:spacing w:after="160" w:line="240" w:lineRule="auto"/>
      </w:pPr>
      <w:r>
        <w:rPr>
          <w:rFonts w:ascii="Calibri" w:hAnsi="Calibri"/>
          <w:sz w:val="22"/>
          <w:szCs w:val="22"/>
        </w:rPr>
        <w:t xml:space="preserve">Explanation: Replacing ∀ with the existential quantifier (∃) correctly asks for at least one Enrollment tuple that matches the student's StudentID, which is the right condition for "enrolled in at least one course." The universal quantifier is reserved for stronger conditions such as "enrolled in every course" or "borrowed from all genres," not for simple existence checks.</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BB578A9-A5EE-4C9D-A734-53AD5718FD9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76FF164-6E7C-4836-A08F-E1D6C3D47CBD}"/>
  </w:font>
  <w:font w:name="Wingdings">
    <w:panose1 w:val="05000000000000000000"/>
    <w:charset w:val="02"/>
    <w:family w:val="auto"/>
    <w:pitch w:val="default"/>
    <w:sig w:usb0="00000000" w:usb1="00000000" w:usb2="00000000" w:usb3="00000000" w:csb0="80000000" w:csb1="00000000"/>
    <w:embedRegular r:id="rId3" w:fontKey="{564C9CD2-4484-4160-A83F-19D1B9636A1E}"/>
  </w:font>
  <w:font w:name="Calibri">
    <w:panose1 w:val="020F0502020204030204"/>
    <w:charset w:val="00"/>
    <w:family w:val="swiss"/>
    <w:pitch w:val="default"/>
    <w:sig w:usb0="E4002EFF" w:usb1="C200247B" w:usb2="00000009" w:usb3="00000000" w:csb0="200001FF" w:csb1="00000000"/>
    <w:embedRegular r:id="rId4" w:fontKey="{FB49C2F5-16AB-4A41-8780-26952B6A298C}"/>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740B0"/>
    <w:rsid w:val="000920AB"/>
    <w:rsid w:val="000F4FCD"/>
    <w:rsid w:val="00182166"/>
    <w:rsid w:val="001F04B5"/>
    <w:rsid w:val="00212E80"/>
    <w:rsid w:val="00352632"/>
    <w:rsid w:val="003C28D9"/>
    <w:rsid w:val="00435F7B"/>
    <w:rsid w:val="00477254"/>
    <w:rsid w:val="004B71F2"/>
    <w:rsid w:val="00547D24"/>
    <w:rsid w:val="005607B4"/>
    <w:rsid w:val="005F143E"/>
    <w:rsid w:val="00644C98"/>
    <w:rsid w:val="0065600C"/>
    <w:rsid w:val="006E6894"/>
    <w:rsid w:val="00802005"/>
    <w:rsid w:val="008B1853"/>
    <w:rsid w:val="009F421A"/>
    <w:rsid w:val="00A026F7"/>
    <w:rsid w:val="00A47B3D"/>
    <w:rsid w:val="00A965CC"/>
    <w:rsid w:val="00C80A12"/>
    <w:rsid w:val="00CD41D5"/>
    <w:rsid w:val="00DE0B00"/>
    <w:rsid w:val="00E506C2"/>
    <w:rsid w:val="00E727B5"/>
    <w:rsid w:val="00EF2E03"/>
    <w:rsid w:val="00F40195"/>
    <w:rsid w:val="00FB3C05"/>
    <w:rsid w:val="79CC7F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3</Pages>
  <Words>490</Words>
  <Characters>2763</Characters>
  <Lines>24</Lines>
  <Paragraphs>6</Paragraphs>
  <TotalTime>2</TotalTime>
  <ScaleCrop>false</ScaleCrop>
  <LinksUpToDate>false</LinksUpToDate>
  <CharactersWithSpaces>3266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2026-04-09T07:19:00Z</dcterms:created>
  <dc:creator>Geethapriyan K</dc:creator>
  <cp:lastModifiedBy>A. Jaya Mabel Rani</cp:lastModifiedBy>
  <dcterms:modified xsi:type="dcterms:W3CDTF">2026-07-29T07:21:30Z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9DDEFC6178BE4E5E8D64199E317F64CD_13</vt:lpwstr>
  </property>
</Properties>
</file>