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PROJECT REPORT</w:t>
      </w:r>
    </w:p>
    <w:p>
      <w:pPr>
        <w:jc w:val="center"/>
      </w:pPr>
      <w:r>
        <w:rPr>
          <w:b/>
          <w:color w:val="1F4E79"/>
          <w:sz w:val="48"/>
        </w:rPr>
        <w:t>PERSONAL FINANCE &amp;</w:t>
        <w:br/>
        <w:t>BUDGETING MODEL FOR</w:t>
        <w:br/>
        <w:t>COLLEGE STUDENTS</w:t>
      </w:r>
    </w:p>
    <w:p>
      <w:pPr>
        <w:jc w:val="center"/>
      </w:pPr>
      <w:r>
        <w:rPr>
          <w:i/>
          <w:sz w:val="24"/>
        </w:rPr>
        <w:br/>
        <w:t>An Excel-Based Financial Planning and What-If Analysis Project</w:t>
      </w:r>
    </w:p>
    <w:p>
      <w:pPr>
        <w:jc w:val="center"/>
      </w:pPr>
      <w:r>
        <w:rPr>
          <w:b/>
        </w:rPr>
        <w:br/>
        <w:br/>
        <w:t>Submitted by</w:t>
      </w:r>
    </w:p>
    <w:p>
      <w:pPr>
        <w:jc w:val="center"/>
      </w:pPr>
      <w:r>
        <w:rPr>
          <w:sz w:val="26"/>
        </w:rPr>
        <w:t>Preeti Priyashree</w:t>
        <w:br/>
        <w:t>B.Com, Ravenshaw University, Cuttack</w:t>
      </w:r>
    </w:p>
    <w:p>
      <w:pPr>
        <w:jc w:val="center"/>
      </w:pPr>
      <w:r>
        <w:br/>
        <w:t>Academic Project | 2026</w:t>
      </w:r>
    </w:p>
    <w:p>
      <w:r>
        <w:br w:type="page"/>
      </w:r>
    </w:p>
    <w:p>
      <w:pPr>
        <w:pStyle w:val="Heading1"/>
      </w:pPr>
      <w:r>
        <w:t>CERTIFICATE</w:t>
      </w:r>
    </w:p>
    <w:p>
      <w:r>
        <w:t>This is to certify that Preeti Priyashree, a student of Bachelor of Commerce at Ravenshaw University, has prepared the project report titled “Personal Finance &amp; Budgeting Model for College Students”. The project presents an Excel-based approach to budgeting, expense tracking, savings planning and what-if analysis. The work has been prepared for academic and portfolio-development purposes.</w:t>
      </w:r>
    </w:p>
    <w:p>
      <w:r>
        <w:br/>
        <w:t>Date: ____________________</w:t>
        <w:br/>
        <w:t>Place: Cuttack, Odisha</w:t>
      </w:r>
    </w:p>
    <w:p>
      <w:r>
        <w:br/>
        <w:br/>
        <w:t>Student Signature: ____________________</w:t>
        <w:br/>
        <w:t>Faculty/Guide Signature: ____________________</w:t>
      </w:r>
    </w:p>
    <w:p>
      <w:r>
        <w:br w:type="page"/>
      </w:r>
    </w:p>
    <w:p>
      <w:pPr>
        <w:pStyle w:val="Heading1"/>
      </w:pPr>
      <w:r>
        <w:t>DECLARATION</w:t>
      </w:r>
    </w:p>
    <w:p>
      <w:r>
        <w:t>I, Preeti Priyashree, hereby declare that this project report titled “Personal Finance &amp; Budgeting Model for College Students” is my academic project based on the development of an Excel-based budgeting and financial-planning model. The sample financial figures used in the model are illustrative assumptions designed to demonstrate the working of the tool. The report is intended for educational and portfolio purposes and does not constitute personal investment or financial advice.</w:t>
      </w:r>
    </w:p>
    <w:p>
      <w:r>
        <w:br/>
        <w:t>Signature: ____________________</w:t>
        <w:br/>
        <w:t>Name: Preeti Priyashree</w:t>
        <w:br/>
        <w:t>Date: ____________________</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Section</w:t>
            </w:r>
          </w:p>
        </w:tc>
        <w:tc>
          <w:tcPr>
            <w:tcW w:type="dxa" w:w="4968"/>
            <w:vAlign w:val="center"/>
            <w:shd w:fill="1F4E78"/>
          </w:tcPr>
          <w:p>
            <w:r>
              <w:rPr>
                <w:color w:val="FFFFFF"/>
              </w:rPr>
            </w:r>
            <w:r>
              <w:rPr>
                <w:b/>
                <w:color w:val="FFFFFF"/>
                <w:sz w:val="18"/>
              </w:rPr>
              <w:t>Page</w:t>
            </w:r>
          </w:p>
        </w:tc>
      </w:tr>
      <w:tr>
        <w:tc>
          <w:tcPr>
            <w:tcW w:type="dxa" w:w="4968"/>
            <w:vAlign w:val="center"/>
          </w:tcPr>
          <w:p>
            <w:r/>
            <w:r>
              <w:rPr>
                <w:b w:val="0"/>
                <w:sz w:val="18"/>
              </w:rPr>
              <w:t>1. Executive Summary</w:t>
            </w:r>
          </w:p>
        </w:tc>
        <w:tc>
          <w:tcPr>
            <w:tcW w:type="dxa" w:w="4968"/>
            <w:vAlign w:val="center"/>
          </w:tcPr>
          <w:p>
            <w:r/>
            <w:r>
              <w:rPr>
                <w:b w:val="0"/>
                <w:sz w:val="18"/>
              </w:rPr>
              <w:t>4</w:t>
            </w:r>
          </w:p>
        </w:tc>
      </w:tr>
      <w:tr>
        <w:tc>
          <w:tcPr>
            <w:tcW w:type="dxa" w:w="4968"/>
            <w:vAlign w:val="center"/>
          </w:tcPr>
          <w:p>
            <w:r/>
            <w:r>
              <w:rPr>
                <w:b w:val="0"/>
                <w:sz w:val="18"/>
              </w:rPr>
              <w:t>2. Introduction</w:t>
            </w:r>
          </w:p>
        </w:tc>
        <w:tc>
          <w:tcPr>
            <w:tcW w:type="dxa" w:w="4968"/>
            <w:vAlign w:val="center"/>
          </w:tcPr>
          <w:p>
            <w:r/>
            <w:r>
              <w:rPr>
                <w:b w:val="0"/>
                <w:sz w:val="18"/>
              </w:rPr>
              <w:t>4</w:t>
            </w:r>
          </w:p>
        </w:tc>
      </w:tr>
      <w:tr>
        <w:tc>
          <w:tcPr>
            <w:tcW w:type="dxa" w:w="4968"/>
            <w:vAlign w:val="center"/>
          </w:tcPr>
          <w:p>
            <w:r/>
            <w:r>
              <w:rPr>
                <w:b w:val="0"/>
                <w:sz w:val="18"/>
              </w:rPr>
              <w:t>3. Objectives of the Project</w:t>
            </w:r>
          </w:p>
        </w:tc>
        <w:tc>
          <w:tcPr>
            <w:tcW w:type="dxa" w:w="4968"/>
            <w:vAlign w:val="center"/>
          </w:tcPr>
          <w:p>
            <w:r/>
            <w:r>
              <w:rPr>
                <w:b w:val="0"/>
                <w:sz w:val="18"/>
              </w:rPr>
              <w:t>5</w:t>
            </w:r>
          </w:p>
        </w:tc>
      </w:tr>
      <w:tr>
        <w:tc>
          <w:tcPr>
            <w:tcW w:type="dxa" w:w="4968"/>
            <w:vAlign w:val="center"/>
          </w:tcPr>
          <w:p>
            <w:r/>
            <w:r>
              <w:rPr>
                <w:b w:val="0"/>
                <w:sz w:val="18"/>
              </w:rPr>
              <w:t>4. Scope and Methodology</w:t>
            </w:r>
          </w:p>
        </w:tc>
        <w:tc>
          <w:tcPr>
            <w:tcW w:type="dxa" w:w="4968"/>
            <w:vAlign w:val="center"/>
          </w:tcPr>
          <w:p>
            <w:r/>
            <w:r>
              <w:rPr>
                <w:b w:val="0"/>
                <w:sz w:val="18"/>
              </w:rPr>
              <w:t>5</w:t>
            </w:r>
          </w:p>
        </w:tc>
      </w:tr>
      <w:tr>
        <w:tc>
          <w:tcPr>
            <w:tcW w:type="dxa" w:w="4968"/>
            <w:vAlign w:val="center"/>
          </w:tcPr>
          <w:p>
            <w:r/>
            <w:r>
              <w:rPr>
                <w:b w:val="0"/>
                <w:sz w:val="18"/>
              </w:rPr>
              <w:t>5. Design of the Excel Model</w:t>
            </w:r>
          </w:p>
        </w:tc>
        <w:tc>
          <w:tcPr>
            <w:tcW w:type="dxa" w:w="4968"/>
            <w:vAlign w:val="center"/>
          </w:tcPr>
          <w:p>
            <w:r/>
            <w:r>
              <w:rPr>
                <w:b w:val="0"/>
                <w:sz w:val="18"/>
              </w:rPr>
              <w:t>6</w:t>
            </w:r>
          </w:p>
        </w:tc>
      </w:tr>
      <w:tr>
        <w:tc>
          <w:tcPr>
            <w:tcW w:type="dxa" w:w="4968"/>
            <w:vAlign w:val="center"/>
          </w:tcPr>
          <w:p>
            <w:r/>
            <w:r>
              <w:rPr>
                <w:b w:val="0"/>
                <w:sz w:val="18"/>
              </w:rPr>
              <w:t>6. Financial Analysis and Results</w:t>
            </w:r>
          </w:p>
        </w:tc>
        <w:tc>
          <w:tcPr>
            <w:tcW w:type="dxa" w:w="4968"/>
            <w:vAlign w:val="center"/>
          </w:tcPr>
          <w:p>
            <w:r/>
            <w:r>
              <w:rPr>
                <w:b w:val="0"/>
                <w:sz w:val="18"/>
              </w:rPr>
              <w:t>7</w:t>
            </w:r>
          </w:p>
        </w:tc>
      </w:tr>
      <w:tr>
        <w:tc>
          <w:tcPr>
            <w:tcW w:type="dxa" w:w="4968"/>
            <w:vAlign w:val="center"/>
          </w:tcPr>
          <w:p>
            <w:r/>
            <w:r>
              <w:rPr>
                <w:b w:val="0"/>
                <w:sz w:val="18"/>
              </w:rPr>
              <w:t>7. What-If Analysis</w:t>
            </w:r>
          </w:p>
        </w:tc>
        <w:tc>
          <w:tcPr>
            <w:tcW w:type="dxa" w:w="4968"/>
            <w:vAlign w:val="center"/>
          </w:tcPr>
          <w:p>
            <w:r/>
            <w:r>
              <w:rPr>
                <w:b w:val="0"/>
                <w:sz w:val="18"/>
              </w:rPr>
              <w:t>8</w:t>
            </w:r>
          </w:p>
        </w:tc>
      </w:tr>
      <w:tr>
        <w:tc>
          <w:tcPr>
            <w:tcW w:type="dxa" w:w="4968"/>
            <w:vAlign w:val="center"/>
          </w:tcPr>
          <w:p>
            <w:r/>
            <w:r>
              <w:rPr>
                <w:b w:val="0"/>
                <w:sz w:val="18"/>
              </w:rPr>
              <w:t>8. Key Findings</w:t>
            </w:r>
          </w:p>
        </w:tc>
        <w:tc>
          <w:tcPr>
            <w:tcW w:type="dxa" w:w="4968"/>
            <w:vAlign w:val="center"/>
          </w:tcPr>
          <w:p>
            <w:r/>
            <w:r>
              <w:rPr>
                <w:b w:val="0"/>
                <w:sz w:val="18"/>
              </w:rPr>
              <w:t>8</w:t>
            </w:r>
          </w:p>
        </w:tc>
      </w:tr>
      <w:tr>
        <w:tc>
          <w:tcPr>
            <w:tcW w:type="dxa" w:w="4968"/>
            <w:vAlign w:val="center"/>
          </w:tcPr>
          <w:p>
            <w:r/>
            <w:r>
              <w:rPr>
                <w:b w:val="0"/>
                <w:sz w:val="18"/>
              </w:rPr>
              <w:t>9. Limitations</w:t>
            </w:r>
          </w:p>
        </w:tc>
        <w:tc>
          <w:tcPr>
            <w:tcW w:type="dxa" w:w="4968"/>
            <w:vAlign w:val="center"/>
          </w:tcPr>
          <w:p>
            <w:r/>
            <w:r>
              <w:rPr>
                <w:b w:val="0"/>
                <w:sz w:val="18"/>
              </w:rPr>
              <w:t>9</w:t>
            </w:r>
          </w:p>
        </w:tc>
      </w:tr>
      <w:tr>
        <w:tc>
          <w:tcPr>
            <w:tcW w:type="dxa" w:w="4968"/>
            <w:vAlign w:val="center"/>
          </w:tcPr>
          <w:p>
            <w:r/>
            <w:r>
              <w:rPr>
                <w:b w:val="0"/>
                <w:sz w:val="18"/>
              </w:rPr>
              <w:t>10. Conclusion</w:t>
            </w:r>
          </w:p>
        </w:tc>
        <w:tc>
          <w:tcPr>
            <w:tcW w:type="dxa" w:w="4968"/>
            <w:vAlign w:val="center"/>
          </w:tcPr>
          <w:p>
            <w:r/>
            <w:r>
              <w:rPr>
                <w:b w:val="0"/>
                <w:sz w:val="18"/>
              </w:rPr>
              <w:t>9</w:t>
            </w:r>
          </w:p>
        </w:tc>
      </w:tr>
      <w:tr>
        <w:tc>
          <w:tcPr>
            <w:tcW w:type="dxa" w:w="4968"/>
            <w:vAlign w:val="center"/>
          </w:tcPr>
          <w:p>
            <w:r/>
            <w:r>
              <w:rPr>
                <w:b w:val="0"/>
                <w:sz w:val="18"/>
              </w:rPr>
              <w:t>11. Skills Developed</w:t>
            </w:r>
          </w:p>
        </w:tc>
        <w:tc>
          <w:tcPr>
            <w:tcW w:type="dxa" w:w="4968"/>
            <w:vAlign w:val="center"/>
          </w:tcPr>
          <w:p>
            <w:r/>
            <w:r>
              <w:rPr>
                <w:b w:val="0"/>
                <w:sz w:val="18"/>
              </w:rPr>
              <w:t>10</w:t>
            </w:r>
          </w:p>
        </w:tc>
      </w:tr>
      <w:tr>
        <w:tc>
          <w:tcPr>
            <w:tcW w:type="dxa" w:w="4968"/>
            <w:vAlign w:val="center"/>
          </w:tcPr>
          <w:p>
            <w:r/>
            <w:r>
              <w:rPr>
                <w:b w:val="0"/>
                <w:sz w:val="18"/>
              </w:rPr>
              <w:t>12. References / Data Sources</w:t>
            </w:r>
          </w:p>
        </w:tc>
        <w:tc>
          <w:tcPr>
            <w:tcW w:type="dxa" w:w="4968"/>
            <w:vAlign w:val="center"/>
          </w:tcPr>
          <w:p>
            <w:r/>
            <w:r>
              <w:rPr>
                <w:b w:val="0"/>
                <w:sz w:val="18"/>
              </w:rPr>
              <w:t>10</w:t>
            </w:r>
          </w:p>
        </w:tc>
      </w:tr>
    </w:tbl>
    <w:p>
      <w:r>
        <w:br w:type="page"/>
      </w:r>
    </w:p>
    <w:p>
      <w:pPr>
        <w:pStyle w:val="Heading1"/>
      </w:pPr>
      <w:r>
        <w:t>1. EXECUTIVE SUMMARY</w:t>
      </w:r>
    </w:p>
    <w:p>
      <w:r>
        <w:t>Managing personal finances is an important practical skill for college students. Students often receive a fixed monthly allowance, scholarship, part-time income or family support while facing recurring and discretionary expenses. Without a structured system, it can be difficult to understand where money is being spent, whether the monthly budget is being followed, and how much can realistically be saved.</w:t>
      </w:r>
    </w:p>
    <w:p>
      <w:r>
        <w:t>This project develops an Excel-based Personal Finance &amp; Budgeting Model designed specifically for college students. The workbook combines a monthly budget planner, expense tracker, savings-goal calculator, financial dashboard and what-if analysis. The model uses formulas to calculate total expenditure, monthly savings, savings rate, budget variances and estimated time required to reach financial goals.</w:t>
      </w:r>
    </w:p>
    <w:p>
      <w:r>
        <w:t>For demonstration, the model assumes monthly income of ₹15,000. The illustrative actual expenditure across seven categories is ₹10,300, resulting in monthly savings of ₹4,700 and a savings rate of approximately 31.3%. The scenario analysis demonstrates how reducing selected expenses can increase annual savings.</w:t>
      </w:r>
    </w:p>
    <w:p>
      <w:pPr>
        <w:pStyle w:val="Heading1"/>
      </w:pPr>
      <w:r>
        <w:t>2. INTRODUCTION</w:t>
      </w:r>
    </w:p>
    <w:p>
      <w:r>
        <w:t>Personal financial management refers to the process of planning, monitoring and controlling an individual's financial resources. For a student, this can include managing food and transportation expenses, educational costs, mobile and internet bills, entertainment, personal spending and emergency savings.</w:t>
      </w:r>
    </w:p>
    <w:p>
      <w:r>
        <w:t>The purpose of this project is not merely to record expenses but to convert financial information into a simple decision-support tool. Excel is suitable for this purpose because it combines data entry, formulas, tables, charts and scenario analysis in one environment.</w:t>
      </w:r>
    </w:p>
    <w:p>
      <w:r>
        <w:t>The project follows a practical financial-management cycle: plan a budget → record actual spending → compare actuals with the budget → identify variances → calculate savings → set goals → test alternative spending scenarios.</w:t>
      </w:r>
    </w:p>
    <w:p>
      <w:pPr>
        <w:pStyle w:val="Heading1"/>
      </w:pPr>
      <w:r>
        <w:t>3. OBJECTIVES OF THE PROJECT</w:t>
      </w:r>
    </w:p>
    <w:p>
      <w:pPr>
        <w:pStyle w:val="ListBullet"/>
      </w:pPr>
      <w:r>
        <w:t>To develop a practical monthly budgeting system for college students.</w:t>
      </w:r>
    </w:p>
    <w:p>
      <w:pPr>
        <w:pStyle w:val="ListBullet"/>
      </w:pPr>
      <w:r>
        <w:t>To track expenses by category and payment method.</w:t>
      </w:r>
    </w:p>
    <w:p>
      <w:pPr>
        <w:pStyle w:val="ListBullet"/>
      </w:pPr>
      <w:r>
        <w:t>To compare budgeted expenditure with actual expenditure and identify variances.</w:t>
      </w:r>
    </w:p>
    <w:p>
      <w:pPr>
        <w:pStyle w:val="ListBullet"/>
      </w:pPr>
      <w:r>
        <w:t>To calculate monthly savings and savings rate using Excel formulas.</w:t>
      </w:r>
    </w:p>
    <w:p>
      <w:pPr>
        <w:pStyle w:val="ListBullet"/>
      </w:pPr>
      <w:r>
        <w:t>To create a savings-goal calculator that estimates the number of months required to reach a target.</w:t>
      </w:r>
    </w:p>
    <w:p>
      <w:pPr>
        <w:pStyle w:val="ListBullet"/>
      </w:pPr>
      <w:r>
        <w:t>To use what-if analysis to understand how changes in spending can affect savings.</w:t>
      </w:r>
    </w:p>
    <w:p>
      <w:pPr>
        <w:pStyle w:val="ListBullet"/>
      </w:pPr>
      <w:r>
        <w:t>To present financial information through a simple dashboard for easier interpretation.</w:t>
      </w:r>
    </w:p>
    <w:p>
      <w:pPr>
        <w:pStyle w:val="Heading1"/>
      </w:pPr>
      <w:r>
        <w:t>4. SCOPE AND METHODOLOGY</w:t>
      </w:r>
    </w:p>
    <w:p>
      <w:r>
        <w:t>The project focuses on student-level personal budgeting rather than investment management, tax planning or professional financial advice. The workbook can be adapted to different income levels and expense patterns.</w:t>
      </w:r>
    </w:p>
    <w:p>
      <w:pPr>
        <w:pStyle w:val="Heading2"/>
      </w:pPr>
      <w:r>
        <w:t>4.1 Data and Assumptions</w:t>
      </w:r>
    </w:p>
    <w:p>
      <w:r>
        <w:t>The demonstration model uses hypothetical monthly figures. A monthly income of ₹15,000 is assumed. The budget covers seven categories: food, transportation, education, mobile/internet, entertainment, personal expenses and an emergency fund. Sample actual expenses are included to demonstrate the formulas and dashboard.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Pr>
                <w:color w:val="FFFFFF"/>
              </w:rPr>
            </w:r>
            <w:r>
              <w:rPr>
                <w:b/>
                <w:color w:val="FFFFFF"/>
                <w:sz w:val="18"/>
              </w:rPr>
              <w:t>Category</w:t>
            </w:r>
          </w:p>
        </w:tc>
        <w:tc>
          <w:tcPr>
            <w:tcW w:type="dxa" w:w="2484"/>
            <w:vAlign w:val="center"/>
            <w:shd w:fill="1F4E78"/>
          </w:tcPr>
          <w:p>
            <w:r>
              <w:rPr>
                <w:color w:val="FFFFFF"/>
              </w:rPr>
            </w:r>
            <w:r>
              <w:rPr>
                <w:b/>
                <w:color w:val="FFFFFF"/>
                <w:sz w:val="18"/>
              </w:rPr>
              <w:t>Budget (₹)</w:t>
            </w:r>
          </w:p>
        </w:tc>
        <w:tc>
          <w:tcPr>
            <w:tcW w:type="dxa" w:w="2484"/>
            <w:vAlign w:val="center"/>
            <w:shd w:fill="1F4E78"/>
          </w:tcPr>
          <w:p>
            <w:r>
              <w:rPr>
                <w:color w:val="FFFFFF"/>
              </w:rPr>
            </w:r>
            <w:r>
              <w:rPr>
                <w:b/>
                <w:color w:val="FFFFFF"/>
                <w:sz w:val="18"/>
              </w:rPr>
              <w:t>Actual (₹)</w:t>
            </w:r>
          </w:p>
        </w:tc>
        <w:tc>
          <w:tcPr>
            <w:tcW w:type="dxa" w:w="2484"/>
            <w:vAlign w:val="center"/>
            <w:shd w:fill="1F4E78"/>
          </w:tcPr>
          <w:p>
            <w:r>
              <w:rPr>
                <w:color w:val="FFFFFF"/>
              </w:rPr>
            </w:r>
            <w:r>
              <w:rPr>
                <w:b/>
                <w:color w:val="FFFFFF"/>
                <w:sz w:val="18"/>
              </w:rPr>
              <w:t>Variance (₹)</w:t>
            </w:r>
          </w:p>
        </w:tc>
      </w:tr>
      <w:tr>
        <w:tc>
          <w:tcPr>
            <w:tcW w:type="dxa" w:w="2484"/>
            <w:vAlign w:val="center"/>
          </w:tcPr>
          <w:p>
            <w:r/>
            <w:r>
              <w:rPr>
                <w:b w:val="0"/>
                <w:sz w:val="18"/>
              </w:rPr>
              <w:t>Food</w:t>
            </w:r>
          </w:p>
        </w:tc>
        <w:tc>
          <w:tcPr>
            <w:tcW w:type="dxa" w:w="2484"/>
            <w:vAlign w:val="center"/>
          </w:tcPr>
          <w:p>
            <w:r/>
            <w:r>
              <w:rPr>
                <w:b w:val="0"/>
                <w:sz w:val="18"/>
              </w:rPr>
              <w:t>3,000</w:t>
            </w:r>
          </w:p>
        </w:tc>
        <w:tc>
          <w:tcPr>
            <w:tcW w:type="dxa" w:w="2484"/>
            <w:vAlign w:val="center"/>
          </w:tcPr>
          <w:p>
            <w:r/>
            <w:r>
              <w:rPr>
                <w:b w:val="0"/>
                <w:sz w:val="18"/>
              </w:rPr>
              <w:t>2,800</w:t>
            </w:r>
          </w:p>
        </w:tc>
        <w:tc>
          <w:tcPr>
            <w:tcW w:type="dxa" w:w="2484"/>
            <w:vAlign w:val="center"/>
          </w:tcPr>
          <w:p>
            <w:r/>
            <w:r>
              <w:rPr>
                <w:b w:val="0"/>
                <w:sz w:val="18"/>
              </w:rPr>
              <w:t>200</w:t>
            </w:r>
          </w:p>
        </w:tc>
      </w:tr>
      <w:tr>
        <w:tc>
          <w:tcPr>
            <w:tcW w:type="dxa" w:w="2484"/>
            <w:vAlign w:val="center"/>
          </w:tcPr>
          <w:p>
            <w:r/>
            <w:r>
              <w:rPr>
                <w:b w:val="0"/>
                <w:sz w:val="18"/>
              </w:rPr>
              <w:t>Transportation</w:t>
            </w:r>
          </w:p>
        </w:tc>
        <w:tc>
          <w:tcPr>
            <w:tcW w:type="dxa" w:w="2484"/>
            <w:vAlign w:val="center"/>
          </w:tcPr>
          <w:p>
            <w:r/>
            <w:r>
              <w:rPr>
                <w:b w:val="0"/>
                <w:sz w:val="18"/>
              </w:rPr>
              <w:t>1,500</w:t>
            </w:r>
          </w:p>
        </w:tc>
        <w:tc>
          <w:tcPr>
            <w:tcW w:type="dxa" w:w="2484"/>
            <w:vAlign w:val="center"/>
          </w:tcPr>
          <w:p>
            <w:r/>
            <w:r>
              <w:rPr>
                <w:b w:val="0"/>
                <w:sz w:val="18"/>
              </w:rPr>
              <w:t>1,200</w:t>
            </w:r>
          </w:p>
        </w:tc>
        <w:tc>
          <w:tcPr>
            <w:tcW w:type="dxa" w:w="2484"/>
            <w:vAlign w:val="center"/>
          </w:tcPr>
          <w:p>
            <w:r/>
            <w:r>
              <w:rPr>
                <w:b w:val="0"/>
                <w:sz w:val="18"/>
              </w:rPr>
              <w:t>300</w:t>
            </w:r>
          </w:p>
        </w:tc>
      </w:tr>
      <w:tr>
        <w:tc>
          <w:tcPr>
            <w:tcW w:type="dxa" w:w="2484"/>
            <w:vAlign w:val="center"/>
          </w:tcPr>
          <w:p>
            <w:r/>
            <w:r>
              <w:rPr>
                <w:b w:val="0"/>
                <w:sz w:val="18"/>
              </w:rPr>
              <w:t>Education</w:t>
            </w:r>
          </w:p>
        </w:tc>
        <w:tc>
          <w:tcPr>
            <w:tcW w:type="dxa" w:w="2484"/>
            <w:vAlign w:val="center"/>
          </w:tcPr>
          <w:p>
            <w:r/>
            <w:r>
              <w:rPr>
                <w:b w:val="0"/>
                <w:sz w:val="18"/>
              </w:rPr>
              <w:t>2,000</w:t>
            </w:r>
          </w:p>
        </w:tc>
        <w:tc>
          <w:tcPr>
            <w:tcW w:type="dxa" w:w="2484"/>
            <w:vAlign w:val="center"/>
          </w:tcPr>
          <w:p>
            <w:r/>
            <w:r>
              <w:rPr>
                <w:b w:val="0"/>
                <w:sz w:val="18"/>
              </w:rPr>
              <w:t>1,800</w:t>
            </w:r>
          </w:p>
        </w:tc>
        <w:tc>
          <w:tcPr>
            <w:tcW w:type="dxa" w:w="2484"/>
            <w:vAlign w:val="center"/>
          </w:tcPr>
          <w:p>
            <w:r/>
            <w:r>
              <w:rPr>
                <w:b w:val="0"/>
                <w:sz w:val="18"/>
              </w:rPr>
              <w:t>200</w:t>
            </w:r>
          </w:p>
        </w:tc>
      </w:tr>
      <w:tr>
        <w:tc>
          <w:tcPr>
            <w:tcW w:type="dxa" w:w="2484"/>
            <w:vAlign w:val="center"/>
          </w:tcPr>
          <w:p>
            <w:r/>
            <w:r>
              <w:rPr>
                <w:b w:val="0"/>
                <w:sz w:val="18"/>
              </w:rPr>
              <w:t>Mobile/Internet</w:t>
            </w:r>
          </w:p>
        </w:tc>
        <w:tc>
          <w:tcPr>
            <w:tcW w:type="dxa" w:w="2484"/>
            <w:vAlign w:val="center"/>
          </w:tcPr>
          <w:p>
            <w:r/>
            <w:r>
              <w:rPr>
                <w:b w:val="0"/>
                <w:sz w:val="18"/>
              </w:rPr>
              <w:t>800</w:t>
            </w:r>
          </w:p>
        </w:tc>
        <w:tc>
          <w:tcPr>
            <w:tcW w:type="dxa" w:w="2484"/>
            <w:vAlign w:val="center"/>
          </w:tcPr>
          <w:p>
            <w:r/>
            <w:r>
              <w:rPr>
                <w:b w:val="0"/>
                <w:sz w:val="18"/>
              </w:rPr>
              <w:t>700</w:t>
            </w:r>
          </w:p>
        </w:tc>
        <w:tc>
          <w:tcPr>
            <w:tcW w:type="dxa" w:w="2484"/>
            <w:vAlign w:val="center"/>
          </w:tcPr>
          <w:p>
            <w:r/>
            <w:r>
              <w:rPr>
                <w:b w:val="0"/>
                <w:sz w:val="18"/>
              </w:rPr>
              <w:t>100</w:t>
            </w:r>
          </w:p>
        </w:tc>
      </w:tr>
      <w:tr>
        <w:tc>
          <w:tcPr>
            <w:tcW w:type="dxa" w:w="2484"/>
            <w:vAlign w:val="center"/>
          </w:tcPr>
          <w:p>
            <w:r/>
            <w:r>
              <w:rPr>
                <w:b w:val="0"/>
                <w:sz w:val="18"/>
              </w:rPr>
              <w:t>Entertainment</w:t>
            </w:r>
          </w:p>
        </w:tc>
        <w:tc>
          <w:tcPr>
            <w:tcW w:type="dxa" w:w="2484"/>
            <w:vAlign w:val="center"/>
          </w:tcPr>
          <w:p>
            <w:r/>
            <w:r>
              <w:rPr>
                <w:b w:val="0"/>
                <w:sz w:val="18"/>
              </w:rPr>
              <w:t>1,200</w:t>
            </w:r>
          </w:p>
        </w:tc>
        <w:tc>
          <w:tcPr>
            <w:tcW w:type="dxa" w:w="2484"/>
            <w:vAlign w:val="center"/>
          </w:tcPr>
          <w:p>
            <w:r/>
            <w:r>
              <w:rPr>
                <w:b w:val="0"/>
                <w:sz w:val="18"/>
              </w:rPr>
              <w:t>1,400</w:t>
            </w:r>
          </w:p>
        </w:tc>
        <w:tc>
          <w:tcPr>
            <w:tcW w:type="dxa" w:w="2484"/>
            <w:vAlign w:val="center"/>
          </w:tcPr>
          <w:p>
            <w:r/>
            <w:r>
              <w:rPr>
                <w:b w:val="0"/>
                <w:sz w:val="18"/>
              </w:rPr>
              <w:t>-200</w:t>
            </w:r>
          </w:p>
        </w:tc>
      </w:tr>
      <w:tr>
        <w:tc>
          <w:tcPr>
            <w:tcW w:type="dxa" w:w="2484"/>
            <w:vAlign w:val="center"/>
          </w:tcPr>
          <w:p>
            <w:r/>
            <w:r>
              <w:rPr>
                <w:b w:val="0"/>
                <w:sz w:val="18"/>
              </w:rPr>
              <w:t>Personal</w:t>
            </w:r>
          </w:p>
        </w:tc>
        <w:tc>
          <w:tcPr>
            <w:tcW w:type="dxa" w:w="2484"/>
            <w:vAlign w:val="center"/>
          </w:tcPr>
          <w:p>
            <w:r/>
            <w:r>
              <w:rPr>
                <w:b w:val="0"/>
                <w:sz w:val="18"/>
              </w:rPr>
              <w:t>1,000</w:t>
            </w:r>
          </w:p>
        </w:tc>
        <w:tc>
          <w:tcPr>
            <w:tcW w:type="dxa" w:w="2484"/>
            <w:vAlign w:val="center"/>
          </w:tcPr>
          <w:p>
            <w:r/>
            <w:r>
              <w:rPr>
                <w:b w:val="0"/>
                <w:sz w:val="18"/>
              </w:rPr>
              <w:t>900</w:t>
            </w:r>
          </w:p>
        </w:tc>
        <w:tc>
          <w:tcPr>
            <w:tcW w:type="dxa" w:w="2484"/>
            <w:vAlign w:val="center"/>
          </w:tcPr>
          <w:p>
            <w:r/>
            <w:r>
              <w:rPr>
                <w:b w:val="0"/>
                <w:sz w:val="18"/>
              </w:rPr>
              <w:t>100</w:t>
            </w:r>
          </w:p>
        </w:tc>
      </w:tr>
      <w:tr>
        <w:tc>
          <w:tcPr>
            <w:tcW w:type="dxa" w:w="2484"/>
            <w:vAlign w:val="center"/>
          </w:tcPr>
          <w:p>
            <w:r/>
            <w:r>
              <w:rPr>
                <w:b w:val="0"/>
                <w:sz w:val="18"/>
              </w:rPr>
              <w:t>Emergency Fund</w:t>
            </w:r>
          </w:p>
        </w:tc>
        <w:tc>
          <w:tcPr>
            <w:tcW w:type="dxa" w:w="2484"/>
            <w:vAlign w:val="center"/>
          </w:tcPr>
          <w:p>
            <w:r/>
            <w:r>
              <w:rPr>
                <w:b w:val="0"/>
                <w:sz w:val="18"/>
              </w:rPr>
              <w:t>1,500</w:t>
            </w:r>
          </w:p>
        </w:tc>
        <w:tc>
          <w:tcPr>
            <w:tcW w:type="dxa" w:w="2484"/>
            <w:vAlign w:val="center"/>
          </w:tcPr>
          <w:p>
            <w:r/>
            <w:r>
              <w:rPr>
                <w:b w:val="0"/>
                <w:sz w:val="18"/>
              </w:rPr>
              <w:t>1,500</w:t>
            </w:r>
          </w:p>
        </w:tc>
        <w:tc>
          <w:tcPr>
            <w:tcW w:type="dxa" w:w="2484"/>
            <w:vAlign w:val="center"/>
          </w:tcPr>
          <w:p>
            <w:r/>
            <w:r>
              <w:rPr>
                <w:b w:val="0"/>
                <w:sz w:val="18"/>
              </w:rPr>
              <w:t>0</w:t>
            </w:r>
          </w:p>
        </w:tc>
      </w:tr>
      <w:tr>
        <w:tc>
          <w:tcPr>
            <w:tcW w:type="dxa" w:w="2484"/>
            <w:vAlign w:val="center"/>
          </w:tcPr>
          <w:p>
            <w:r/>
            <w:r>
              <w:rPr>
                <w:b w:val="0"/>
                <w:sz w:val="18"/>
              </w:rPr>
              <w:t>Total</w:t>
            </w:r>
          </w:p>
        </w:tc>
        <w:tc>
          <w:tcPr>
            <w:tcW w:type="dxa" w:w="2484"/>
            <w:vAlign w:val="center"/>
          </w:tcPr>
          <w:p>
            <w:r/>
            <w:r>
              <w:rPr>
                <w:b w:val="0"/>
                <w:sz w:val="18"/>
              </w:rPr>
              <w:t>11,000</w:t>
            </w:r>
          </w:p>
        </w:tc>
        <w:tc>
          <w:tcPr>
            <w:tcW w:type="dxa" w:w="2484"/>
            <w:vAlign w:val="center"/>
          </w:tcPr>
          <w:p>
            <w:r/>
            <w:r>
              <w:rPr>
                <w:b w:val="0"/>
                <w:sz w:val="18"/>
              </w:rPr>
              <w:t>10,300</w:t>
            </w:r>
          </w:p>
        </w:tc>
        <w:tc>
          <w:tcPr>
            <w:tcW w:type="dxa" w:w="2484"/>
            <w:vAlign w:val="center"/>
          </w:tcPr>
          <w:p>
            <w:r/>
            <w:r>
              <w:rPr>
                <w:b w:val="0"/>
                <w:sz w:val="18"/>
              </w:rPr>
              <w:t>700</w:t>
            </w:r>
          </w:p>
        </w:tc>
      </w:tr>
    </w:tbl>
    <w:p>
      <w:r>
        <w:t>A positive variance indicates that actual spending is below the budgeted amount, while a negative variance indicates that actual spending exceeded the budget.</w:t>
      </w:r>
    </w:p>
    <w:p>
      <w:pPr>
        <w:pStyle w:val="Heading1"/>
      </w:pPr>
      <w:r>
        <w:t>5. DESIGN OF THE EXCEL MODEL</w:t>
      </w:r>
    </w:p>
    <w:p>
      <w:pPr>
        <w:pStyle w:val="Heading2"/>
      </w:pPr>
      <w:r>
        <w:t>5.1 Dashboard</w:t>
      </w:r>
    </w:p>
    <w:p>
      <w:r>
        <w:t>The dashboard provides a quick summary of monthly income, expenses, savings and savings rate. It also contains charts that visualize category-wise spending and budget-versus-actual expenditure.</w:t>
      </w:r>
    </w:p>
    <w:p>
      <w:pPr>
        <w:pStyle w:val="Heading2"/>
      </w:pPr>
      <w:r>
        <w:t>5.2 Budget Planner</w:t>
      </w:r>
    </w:p>
    <w:p>
      <w:r>
        <w:t>The Budget Planner contains the monthly income, savings goal and category-wise budget. Actual expenses are entered alongside the planned budget, and the variance column is calculated automatically.</w:t>
      </w:r>
    </w:p>
    <w:p>
      <w:pPr>
        <w:pStyle w:val="Heading2"/>
      </w:pPr>
      <w:r>
        <w:t>5.3 Expense Tracker</w:t>
      </w:r>
    </w:p>
    <w:p>
      <w:r>
        <w:t>The Expense Tracker records date, category, description, amount, payment method and notes. Dropdown lists are used for categories and payment methods to make data entry consistent.</w:t>
      </w:r>
    </w:p>
    <w:p>
      <w:pPr>
        <w:pStyle w:val="Heading2"/>
      </w:pPr>
      <w:r>
        <w:t>5.4 Savings Goals</w:t>
      </w:r>
    </w:p>
    <w:p>
      <w:r>
        <w:t>The Savings Goals sheet contains target amount, current savings and monthly contribution. The workbook calculates the remaining amount and estimates the number of months needed to reach the target.</w:t>
      </w:r>
    </w:p>
    <w:p>
      <w:pPr>
        <w:pStyle w:val="Heading2"/>
      </w:pPr>
      <w:r>
        <w:t>5.5 What-If Analysis</w:t>
      </w:r>
    </w:p>
    <w:p>
      <w:r>
        <w:t>The What-If Analysis sheet compares different spending assumptions. It calculates monthly savings, savings rate and annual savings under each scenario. This helps demonstrate the financial effect of changing expense levels.</w:t>
      </w:r>
    </w:p>
    <w:p>
      <w:pPr>
        <w:pStyle w:val="Heading1"/>
      </w:pPr>
      <w:r>
        <w:t>6. FINANCIAL ANALYSIS AND RESULTS</w:t>
      </w:r>
    </w:p>
    <w:p>
      <w:r>
        <w:t>Based on the illustrative data, monthly income is ₹15,000 and actual monthly expenditure is ₹10,300. Therefore, monthly savings are calculated as:</w:t>
      </w:r>
    </w:p>
    <w:p>
      <w:pPr>
        <w:jc w:val="center"/>
      </w:pPr>
      <w:r>
        <w:rPr>
          <w:b/>
        </w:rPr>
        <w:t>Monthly Savings = Monthly Income − Actual Expenses</w:t>
        <w:br/>
        <w:t>= ₹15,000 − ₹10,300 = ₹4,700</w:t>
      </w:r>
    </w:p>
    <w:p>
      <w:r>
        <w:t>The savings rate is calculated as monthly savings divided by monthly income. For the demonstration dataset, the savings rate is approximately 31.3%.</w:t>
      </w:r>
    </w:p>
    <w:p>
      <w:pPr>
        <w:jc w:val="center"/>
      </w:pPr>
      <w:r>
        <w:rPr>
          <w:b/>
        </w:rPr>
        <w:t>Savings Rate = (₹4,700 ÷ ₹15,000) × 100 ≈ 31.3%</w:t>
      </w:r>
    </w:p>
    <w:p>
      <w:pPr>
        <w:pStyle w:val="Heading2"/>
      </w:pPr>
      <w:r>
        <w:t>6.1 Budget Variance Analysis</w:t>
      </w:r>
    </w:p>
    <w:p>
      <w:r>
        <w:t>The largest overspending in the sample data occurs in entertainment, where actual expenditure of ₹1,400 is ₹200 above the budget of ₹1,200. Transportation, food, education and mobile/internet are below their respective budgets. This illustrates how a category-level variance can highlight areas that may require closer monitoring.</w:t>
      </w:r>
    </w:p>
    <w:p>
      <w:pPr>
        <w:pStyle w:val="Heading2"/>
      </w:pPr>
      <w:r>
        <w:t>6.2 Savings Goal Illustration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Pr>
                <w:color w:val="FFFFFF"/>
              </w:rPr>
            </w:r>
            <w:r>
              <w:rPr>
                <w:b/>
                <w:color w:val="FFFFFF"/>
                <w:sz w:val="18"/>
              </w:rPr>
              <w:t>Goal</w:t>
            </w:r>
          </w:p>
        </w:tc>
        <w:tc>
          <w:tcPr>
            <w:tcW w:type="dxa" w:w="1987"/>
            <w:vAlign w:val="center"/>
            <w:shd w:fill="1F4E78"/>
          </w:tcPr>
          <w:p>
            <w:r>
              <w:rPr>
                <w:color w:val="FFFFFF"/>
              </w:rPr>
            </w:r>
            <w:r>
              <w:rPr>
                <w:b/>
                <w:color w:val="FFFFFF"/>
                <w:sz w:val="18"/>
              </w:rPr>
              <w:t>Target (₹)</w:t>
            </w:r>
          </w:p>
        </w:tc>
        <w:tc>
          <w:tcPr>
            <w:tcW w:type="dxa" w:w="1987"/>
            <w:vAlign w:val="center"/>
            <w:shd w:fill="1F4E78"/>
          </w:tcPr>
          <w:p>
            <w:r>
              <w:rPr>
                <w:color w:val="FFFFFF"/>
              </w:rPr>
            </w:r>
            <w:r>
              <w:rPr>
                <w:b/>
                <w:color w:val="FFFFFF"/>
                <w:sz w:val="18"/>
              </w:rPr>
              <w:t>Current (₹)</w:t>
            </w:r>
          </w:p>
        </w:tc>
        <w:tc>
          <w:tcPr>
            <w:tcW w:type="dxa" w:w="1987"/>
            <w:vAlign w:val="center"/>
            <w:shd w:fill="1F4E78"/>
          </w:tcPr>
          <w:p>
            <w:r>
              <w:rPr>
                <w:color w:val="FFFFFF"/>
              </w:rPr>
            </w:r>
            <w:r>
              <w:rPr>
                <w:b/>
                <w:color w:val="FFFFFF"/>
                <w:sz w:val="18"/>
              </w:rPr>
              <w:t>Monthly Contribution (₹)</w:t>
            </w:r>
          </w:p>
        </w:tc>
        <w:tc>
          <w:tcPr>
            <w:tcW w:type="dxa" w:w="1987"/>
            <w:vAlign w:val="center"/>
            <w:shd w:fill="1F4E78"/>
          </w:tcPr>
          <w:p>
            <w:r>
              <w:rPr>
                <w:color w:val="FFFFFF"/>
              </w:rPr>
            </w:r>
            <w:r>
              <w:rPr>
                <w:b/>
                <w:color w:val="FFFFFF"/>
                <w:sz w:val="18"/>
              </w:rPr>
              <w:t>Estimated Months</w:t>
            </w:r>
          </w:p>
        </w:tc>
      </w:tr>
      <w:tr>
        <w:tc>
          <w:tcPr>
            <w:tcW w:type="dxa" w:w="1987"/>
            <w:vAlign w:val="center"/>
          </w:tcPr>
          <w:p>
            <w:r/>
            <w:r>
              <w:rPr>
                <w:b w:val="0"/>
                <w:sz w:val="18"/>
              </w:rPr>
              <w:t>Emergency Fund</w:t>
            </w:r>
          </w:p>
        </w:tc>
        <w:tc>
          <w:tcPr>
            <w:tcW w:type="dxa" w:w="1987"/>
            <w:vAlign w:val="center"/>
          </w:tcPr>
          <w:p>
            <w:r/>
            <w:r>
              <w:rPr>
                <w:b w:val="0"/>
                <w:sz w:val="18"/>
              </w:rPr>
              <w:t>30,000</w:t>
            </w:r>
          </w:p>
        </w:tc>
        <w:tc>
          <w:tcPr>
            <w:tcW w:type="dxa" w:w="1987"/>
            <w:vAlign w:val="center"/>
          </w:tcPr>
          <w:p>
            <w:r/>
            <w:r>
              <w:rPr>
                <w:b w:val="0"/>
                <w:sz w:val="18"/>
              </w:rPr>
              <w:t>5,000</w:t>
            </w:r>
          </w:p>
        </w:tc>
        <w:tc>
          <w:tcPr>
            <w:tcW w:type="dxa" w:w="1987"/>
            <w:vAlign w:val="center"/>
          </w:tcPr>
          <w:p>
            <w:r/>
            <w:r>
              <w:rPr>
                <w:b w:val="0"/>
                <w:sz w:val="18"/>
              </w:rPr>
              <w:t>2,500</w:t>
            </w:r>
          </w:p>
        </w:tc>
        <w:tc>
          <w:tcPr>
            <w:tcW w:type="dxa" w:w="1987"/>
            <w:vAlign w:val="center"/>
          </w:tcPr>
          <w:p>
            <w:r/>
            <w:r>
              <w:rPr>
                <w:b w:val="0"/>
                <w:sz w:val="18"/>
              </w:rPr>
              <w:t>10</w:t>
            </w:r>
          </w:p>
        </w:tc>
      </w:tr>
      <w:tr>
        <w:tc>
          <w:tcPr>
            <w:tcW w:type="dxa" w:w="1987"/>
            <w:vAlign w:val="center"/>
          </w:tcPr>
          <w:p>
            <w:r/>
            <w:r>
              <w:rPr>
                <w:b w:val="0"/>
                <w:sz w:val="18"/>
              </w:rPr>
              <w:t>Laptop</w:t>
            </w:r>
          </w:p>
        </w:tc>
        <w:tc>
          <w:tcPr>
            <w:tcW w:type="dxa" w:w="1987"/>
            <w:vAlign w:val="center"/>
          </w:tcPr>
          <w:p>
            <w:r/>
            <w:r>
              <w:rPr>
                <w:b w:val="0"/>
                <w:sz w:val="18"/>
              </w:rPr>
              <w:t>50,000</w:t>
            </w:r>
          </w:p>
        </w:tc>
        <w:tc>
          <w:tcPr>
            <w:tcW w:type="dxa" w:w="1987"/>
            <w:vAlign w:val="center"/>
          </w:tcPr>
          <w:p>
            <w:r/>
            <w:r>
              <w:rPr>
                <w:b w:val="0"/>
                <w:sz w:val="18"/>
              </w:rPr>
              <w:t>10,000</w:t>
            </w:r>
          </w:p>
        </w:tc>
        <w:tc>
          <w:tcPr>
            <w:tcW w:type="dxa" w:w="1987"/>
            <w:vAlign w:val="center"/>
          </w:tcPr>
          <w:p>
            <w:r/>
            <w:r>
              <w:rPr>
                <w:b w:val="0"/>
                <w:sz w:val="18"/>
              </w:rPr>
              <w:t>4,000</w:t>
            </w:r>
          </w:p>
        </w:tc>
        <w:tc>
          <w:tcPr>
            <w:tcW w:type="dxa" w:w="1987"/>
            <w:vAlign w:val="center"/>
          </w:tcPr>
          <w:p>
            <w:r/>
            <w:r>
              <w:rPr>
                <w:b w:val="0"/>
                <w:sz w:val="18"/>
              </w:rPr>
              <w:t>10</w:t>
            </w:r>
          </w:p>
        </w:tc>
      </w:tr>
      <w:tr>
        <w:tc>
          <w:tcPr>
            <w:tcW w:type="dxa" w:w="1987"/>
            <w:vAlign w:val="center"/>
          </w:tcPr>
          <w:p>
            <w:r/>
            <w:r>
              <w:rPr>
                <w:b w:val="0"/>
                <w:sz w:val="18"/>
              </w:rPr>
              <w:t>Japan Study Fund</w:t>
            </w:r>
          </w:p>
        </w:tc>
        <w:tc>
          <w:tcPr>
            <w:tcW w:type="dxa" w:w="1987"/>
            <w:vAlign w:val="center"/>
          </w:tcPr>
          <w:p>
            <w:r/>
            <w:r>
              <w:rPr>
                <w:b w:val="0"/>
                <w:sz w:val="18"/>
              </w:rPr>
              <w:t>1,00,000</w:t>
            </w:r>
          </w:p>
        </w:tc>
        <w:tc>
          <w:tcPr>
            <w:tcW w:type="dxa" w:w="1987"/>
            <w:vAlign w:val="center"/>
          </w:tcPr>
          <w:p>
            <w:r/>
            <w:r>
              <w:rPr>
                <w:b w:val="0"/>
                <w:sz w:val="18"/>
              </w:rPr>
              <w:t>15,000</w:t>
            </w:r>
          </w:p>
        </w:tc>
        <w:tc>
          <w:tcPr>
            <w:tcW w:type="dxa" w:w="1987"/>
            <w:vAlign w:val="center"/>
          </w:tcPr>
          <w:p>
            <w:r/>
            <w:r>
              <w:rPr>
                <w:b w:val="0"/>
                <w:sz w:val="18"/>
              </w:rPr>
              <w:t>5,000</w:t>
            </w:r>
          </w:p>
        </w:tc>
        <w:tc>
          <w:tcPr>
            <w:tcW w:type="dxa" w:w="1987"/>
            <w:vAlign w:val="center"/>
          </w:tcPr>
          <w:p>
            <w:r/>
            <w:r>
              <w:rPr>
                <w:b w:val="0"/>
                <w:sz w:val="18"/>
              </w:rPr>
              <w:t>17</w:t>
            </w:r>
          </w:p>
        </w:tc>
      </w:tr>
    </w:tbl>
    <w:p>
      <w:r>
        <w:t>The months are calculated using the remaining target amount divided by the planned monthly contribution, rounded up to the next whole month. These are illustrative estimates and do not account for interest, investment returns or changes in income.</w:t>
      </w:r>
    </w:p>
    <w:p>
      <w:pPr>
        <w:pStyle w:val="Heading1"/>
      </w:pPr>
      <w:r>
        <w:t>7. WHAT-IF ANALYSIS</w:t>
      </w:r>
    </w:p>
    <w:p>
      <w:r>
        <w:t>Scenario analysis is used to demonstrate how a small change in spending can affect savings. The model uses the same illustrative income of ₹15,000 and changes the expense assumption.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Pr>
                <w:color w:val="FFFFFF"/>
              </w:rPr>
            </w:r>
            <w:r>
              <w:rPr>
                <w:b/>
                <w:color w:val="FFFFFF"/>
                <w:sz w:val="18"/>
              </w:rPr>
              <w:t>Scenario</w:t>
            </w:r>
          </w:p>
        </w:tc>
        <w:tc>
          <w:tcPr>
            <w:tcW w:type="dxa" w:w="1987"/>
            <w:vAlign w:val="center"/>
            <w:shd w:fill="1F4E78"/>
          </w:tcPr>
          <w:p>
            <w:r>
              <w:rPr>
                <w:color w:val="FFFFFF"/>
              </w:rPr>
            </w:r>
            <w:r>
              <w:rPr>
                <w:b/>
                <w:color w:val="FFFFFF"/>
                <w:sz w:val="18"/>
              </w:rPr>
              <w:t>Expenses (₹)</w:t>
            </w:r>
          </w:p>
        </w:tc>
        <w:tc>
          <w:tcPr>
            <w:tcW w:type="dxa" w:w="1987"/>
            <w:vAlign w:val="center"/>
            <w:shd w:fill="1F4E78"/>
          </w:tcPr>
          <w:p>
            <w:r>
              <w:rPr>
                <w:color w:val="FFFFFF"/>
              </w:rPr>
            </w:r>
            <w:r>
              <w:rPr>
                <w:b/>
                <w:color w:val="FFFFFF"/>
                <w:sz w:val="18"/>
              </w:rPr>
              <w:t>Monthly Savings (₹)</w:t>
            </w:r>
          </w:p>
        </w:tc>
        <w:tc>
          <w:tcPr>
            <w:tcW w:type="dxa" w:w="1987"/>
            <w:vAlign w:val="center"/>
            <w:shd w:fill="1F4E78"/>
          </w:tcPr>
          <w:p>
            <w:r>
              <w:rPr>
                <w:color w:val="FFFFFF"/>
              </w:rPr>
            </w:r>
            <w:r>
              <w:rPr>
                <w:b/>
                <w:color w:val="FFFFFF"/>
                <w:sz w:val="18"/>
              </w:rPr>
              <w:t>Savings Rate</w:t>
            </w:r>
          </w:p>
        </w:tc>
        <w:tc>
          <w:tcPr>
            <w:tcW w:type="dxa" w:w="1987"/>
            <w:vAlign w:val="center"/>
            <w:shd w:fill="1F4E78"/>
          </w:tcPr>
          <w:p>
            <w:r>
              <w:rPr>
                <w:color w:val="FFFFFF"/>
              </w:rPr>
            </w:r>
            <w:r>
              <w:rPr>
                <w:b/>
                <w:color w:val="FFFFFF"/>
                <w:sz w:val="18"/>
              </w:rPr>
              <w:t>Annual Savings (₹)</w:t>
            </w:r>
          </w:p>
        </w:tc>
      </w:tr>
      <w:tr>
        <w:tc>
          <w:tcPr>
            <w:tcW w:type="dxa" w:w="1987"/>
            <w:vAlign w:val="center"/>
          </w:tcPr>
          <w:p>
            <w:r/>
            <w:r>
              <w:rPr>
                <w:b w:val="0"/>
                <w:sz w:val="18"/>
              </w:rPr>
              <w:t>Current Budget</w:t>
            </w:r>
          </w:p>
        </w:tc>
        <w:tc>
          <w:tcPr>
            <w:tcW w:type="dxa" w:w="1987"/>
            <w:vAlign w:val="center"/>
          </w:tcPr>
          <w:p>
            <w:r/>
            <w:r>
              <w:rPr>
                <w:b w:val="0"/>
                <w:sz w:val="18"/>
              </w:rPr>
              <w:t>10,300</w:t>
            </w:r>
          </w:p>
        </w:tc>
        <w:tc>
          <w:tcPr>
            <w:tcW w:type="dxa" w:w="1987"/>
            <w:vAlign w:val="center"/>
          </w:tcPr>
          <w:p>
            <w:r/>
            <w:r>
              <w:rPr>
                <w:b w:val="0"/>
                <w:sz w:val="18"/>
              </w:rPr>
              <w:t>4,700</w:t>
            </w:r>
          </w:p>
        </w:tc>
        <w:tc>
          <w:tcPr>
            <w:tcW w:type="dxa" w:w="1987"/>
            <w:vAlign w:val="center"/>
          </w:tcPr>
          <w:p>
            <w:r/>
            <w:r>
              <w:rPr>
                <w:b w:val="0"/>
                <w:sz w:val="18"/>
              </w:rPr>
              <w:t>31.3%</w:t>
            </w:r>
          </w:p>
        </w:tc>
        <w:tc>
          <w:tcPr>
            <w:tcW w:type="dxa" w:w="1987"/>
            <w:vAlign w:val="center"/>
          </w:tcPr>
          <w:p>
            <w:r/>
            <w:r>
              <w:rPr>
                <w:b w:val="0"/>
                <w:sz w:val="18"/>
              </w:rPr>
              <w:t>56,400</w:t>
            </w:r>
          </w:p>
        </w:tc>
      </w:tr>
      <w:tr>
        <w:tc>
          <w:tcPr>
            <w:tcW w:type="dxa" w:w="1987"/>
            <w:vAlign w:val="center"/>
          </w:tcPr>
          <w:p>
            <w:r/>
            <w:r>
              <w:rPr>
                <w:b w:val="0"/>
                <w:sz w:val="18"/>
              </w:rPr>
              <w:t>Reduce Entertainment by ₹500</w:t>
            </w:r>
          </w:p>
        </w:tc>
        <w:tc>
          <w:tcPr>
            <w:tcW w:type="dxa" w:w="1987"/>
            <w:vAlign w:val="center"/>
          </w:tcPr>
          <w:p>
            <w:r/>
            <w:r>
              <w:rPr>
                <w:b w:val="0"/>
                <w:sz w:val="18"/>
              </w:rPr>
              <w:t>9,800</w:t>
            </w:r>
          </w:p>
        </w:tc>
        <w:tc>
          <w:tcPr>
            <w:tcW w:type="dxa" w:w="1987"/>
            <w:vAlign w:val="center"/>
          </w:tcPr>
          <w:p>
            <w:r/>
            <w:r>
              <w:rPr>
                <w:b w:val="0"/>
                <w:sz w:val="18"/>
              </w:rPr>
              <w:t>5,200</w:t>
            </w:r>
          </w:p>
        </w:tc>
        <w:tc>
          <w:tcPr>
            <w:tcW w:type="dxa" w:w="1987"/>
            <w:vAlign w:val="center"/>
          </w:tcPr>
          <w:p>
            <w:r/>
            <w:r>
              <w:rPr>
                <w:b w:val="0"/>
                <w:sz w:val="18"/>
              </w:rPr>
              <w:t>34.7%</w:t>
            </w:r>
          </w:p>
        </w:tc>
        <w:tc>
          <w:tcPr>
            <w:tcW w:type="dxa" w:w="1987"/>
            <w:vAlign w:val="center"/>
          </w:tcPr>
          <w:p>
            <w:r/>
            <w:r>
              <w:rPr>
                <w:b w:val="0"/>
                <w:sz w:val="18"/>
              </w:rPr>
              <w:t>62,400</w:t>
            </w:r>
          </w:p>
        </w:tc>
      </w:tr>
      <w:tr>
        <w:tc>
          <w:tcPr>
            <w:tcW w:type="dxa" w:w="1987"/>
            <w:vAlign w:val="center"/>
          </w:tcPr>
          <w:p>
            <w:r/>
            <w:r>
              <w:rPr>
                <w:b w:val="0"/>
                <w:sz w:val="18"/>
              </w:rPr>
              <w:t>Reduce Food + Entertainment by ₹1,000</w:t>
            </w:r>
          </w:p>
        </w:tc>
        <w:tc>
          <w:tcPr>
            <w:tcW w:type="dxa" w:w="1987"/>
            <w:vAlign w:val="center"/>
          </w:tcPr>
          <w:p>
            <w:r/>
            <w:r>
              <w:rPr>
                <w:b w:val="0"/>
                <w:sz w:val="18"/>
              </w:rPr>
              <w:t>9,300</w:t>
            </w:r>
          </w:p>
        </w:tc>
        <w:tc>
          <w:tcPr>
            <w:tcW w:type="dxa" w:w="1987"/>
            <w:vAlign w:val="center"/>
          </w:tcPr>
          <w:p>
            <w:r/>
            <w:r>
              <w:rPr>
                <w:b w:val="0"/>
                <w:sz w:val="18"/>
              </w:rPr>
              <w:t>5,700</w:t>
            </w:r>
          </w:p>
        </w:tc>
        <w:tc>
          <w:tcPr>
            <w:tcW w:type="dxa" w:w="1987"/>
            <w:vAlign w:val="center"/>
          </w:tcPr>
          <w:p>
            <w:r/>
            <w:r>
              <w:rPr>
                <w:b w:val="0"/>
                <w:sz w:val="18"/>
              </w:rPr>
              <w:t>38.0%</w:t>
            </w:r>
          </w:p>
        </w:tc>
        <w:tc>
          <w:tcPr>
            <w:tcW w:type="dxa" w:w="1987"/>
            <w:vAlign w:val="center"/>
          </w:tcPr>
          <w:p>
            <w:r/>
            <w:r>
              <w:rPr>
                <w:b w:val="0"/>
                <w:sz w:val="18"/>
              </w:rPr>
              <w:t>68,400</w:t>
            </w:r>
          </w:p>
        </w:tc>
      </w:tr>
    </w:tbl>
    <w:p>
      <w:r>
        <w:t>The scenarios show the arithmetic relationship between expenses and savings. They are not recommendations to reduce any specific category; the appropriate budget depends on an individual's needs and priorities.</w:t>
      </w:r>
    </w:p>
    <w:p>
      <w:pPr>
        <w:pStyle w:val="Heading1"/>
      </w:pPr>
      <w:r>
        <w:t>8. KEY FINDINGS</w:t>
      </w:r>
    </w:p>
    <w:p>
      <w:pPr>
        <w:pStyle w:val="ListBullet"/>
      </w:pPr>
      <w:r>
        <w:t>A structured budget makes it easier to compare planned expenditure with actual spending.</w:t>
      </w:r>
    </w:p>
    <w:p>
      <w:pPr>
        <w:pStyle w:val="ListBullet"/>
      </w:pPr>
      <w:r>
        <w:t>Category-level variance analysis can identify where actual spending differs from the planned budget.</w:t>
      </w:r>
    </w:p>
    <w:p>
      <w:pPr>
        <w:pStyle w:val="ListBullet"/>
      </w:pPr>
      <w:r>
        <w:t>The illustrative model produces monthly savings of ₹4,700 from ₹15,000 income and ₹10,300 actual expenses.</w:t>
      </w:r>
    </w:p>
    <w:p>
      <w:pPr>
        <w:pStyle w:val="ListBullet"/>
      </w:pPr>
      <w:r>
        <w:t>The savings-goal calculator converts a financial target into a measurable monthly contribution and time estimate.</w:t>
      </w:r>
    </w:p>
    <w:p>
      <w:pPr>
        <w:pStyle w:val="ListBullet"/>
      </w:pPr>
      <w:r>
        <w:t>What-if analysis demonstrates how changes in expenditure mathematically affect monthly and annual savings.</w:t>
      </w:r>
    </w:p>
    <w:p>
      <w:pPr>
        <w:pStyle w:val="ListBullet"/>
      </w:pPr>
      <w:r>
        <w:t>A dashboard can make financial information easier to understand than a raw list of transactions.</w:t>
      </w:r>
    </w:p>
    <w:p>
      <w:pPr>
        <w:pStyle w:val="Heading1"/>
      </w:pPr>
      <w:r>
        <w:t>9. LIMITATIONS</w:t>
      </w:r>
    </w:p>
    <w:p>
      <w:pPr>
        <w:pStyle w:val="ListBullet"/>
      </w:pPr>
      <w:r>
        <w:t>The demonstration figures are hypothetical and should be replaced with actual user-specific data for personal use.</w:t>
      </w:r>
    </w:p>
    <w:p>
      <w:pPr>
        <w:pStyle w:val="ListBullet"/>
      </w:pPr>
      <w:r>
        <w:t>The model does not automatically import transactions from bank accounts or UPI applications.</w:t>
      </w:r>
    </w:p>
    <w:p>
      <w:pPr>
        <w:pStyle w:val="ListBullet"/>
      </w:pPr>
      <w:r>
        <w:t>Savings-goal calculations do not include interest, inflation or investment returns.</w:t>
      </w:r>
    </w:p>
    <w:p>
      <w:pPr>
        <w:pStyle w:val="ListBullet"/>
      </w:pPr>
      <w:r>
        <w:t>The model is intended for budgeting and educational purposes, not professional financial advice.</w:t>
      </w:r>
    </w:p>
    <w:p>
      <w:pPr>
        <w:pStyle w:val="ListBullet"/>
      </w:pPr>
      <w:r>
        <w:t>Financial circumstances can change, so budgets should be reviewed periodically.</w:t>
      </w:r>
    </w:p>
    <w:p>
      <w:pPr>
        <w:pStyle w:val="Heading1"/>
      </w:pPr>
      <w:r>
        <w:t>10. CONCLUSION</w:t>
      </w:r>
    </w:p>
    <w:p>
      <w:r>
        <w:t>The Personal Finance &amp; Budgeting Model demonstrates how Excel can be used to transform basic financial data into a practical planning tool. By combining budgeting, expense tracking, variance analysis, savings goals and what-if scenarios, the project provides a structured way to understand the relationship between income, expenditure and savings.</w:t>
      </w:r>
    </w:p>
    <w:p>
      <w:r>
        <w:t>From an academic perspective, the project applies concepts related to financial management and quantitative analysis in a practical setting. From a skills perspective, it demonstrates the use of Excel formulas, structured data entry, financial calculations, dashboards and scenario analysis. The model can be further expanded with monthly trend analysis, automated charts, additional financial goals and more advanced Excel functions.</w:t>
      </w:r>
    </w:p>
    <w:p>
      <w:pPr>
        <w:pStyle w:val="Heading1"/>
      </w:pPr>
      <w:r>
        <w:t>11. SKILLS DEVELOPED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Area</w:t>
            </w:r>
          </w:p>
        </w:tc>
        <w:tc>
          <w:tcPr>
            <w:tcW w:type="dxa" w:w="4968"/>
            <w:vAlign w:val="center"/>
            <w:shd w:fill="1F4E78"/>
          </w:tcPr>
          <w:p>
            <w:r>
              <w:rPr>
                <w:color w:val="FFFFFF"/>
              </w:rPr>
            </w:r>
            <w:r>
              <w:rPr>
                <w:b/>
                <w:color w:val="FFFFFF"/>
                <w:sz w:val="18"/>
              </w:rPr>
              <w:t>Skills Demonstrated</w:t>
            </w:r>
          </w:p>
        </w:tc>
      </w:tr>
      <w:tr>
        <w:tc>
          <w:tcPr>
            <w:tcW w:type="dxa" w:w="4968"/>
            <w:vAlign w:val="center"/>
          </w:tcPr>
          <w:p>
            <w:r/>
            <w:r>
              <w:rPr>
                <w:b w:val="0"/>
                <w:sz w:val="18"/>
              </w:rPr>
              <w:t>Financial Analysis</w:t>
            </w:r>
          </w:p>
        </w:tc>
        <w:tc>
          <w:tcPr>
            <w:tcW w:type="dxa" w:w="4968"/>
            <w:vAlign w:val="center"/>
          </w:tcPr>
          <w:p>
            <w:r/>
            <w:r>
              <w:rPr>
                <w:b w:val="0"/>
                <w:sz w:val="18"/>
              </w:rPr>
              <w:t>Budgeting, savings calculation, variance analysis, scenario analysis</w:t>
            </w:r>
          </w:p>
        </w:tc>
      </w:tr>
      <w:tr>
        <w:tc>
          <w:tcPr>
            <w:tcW w:type="dxa" w:w="4968"/>
            <w:vAlign w:val="center"/>
          </w:tcPr>
          <w:p>
            <w:r/>
            <w:r>
              <w:rPr>
                <w:b w:val="0"/>
                <w:sz w:val="18"/>
              </w:rPr>
              <w:t>Excel</w:t>
            </w:r>
          </w:p>
        </w:tc>
        <w:tc>
          <w:tcPr>
            <w:tcW w:type="dxa" w:w="4968"/>
            <w:vAlign w:val="center"/>
          </w:tcPr>
          <w:p>
            <w:r/>
            <w:r>
              <w:rPr>
                <w:b w:val="0"/>
                <w:sz w:val="18"/>
              </w:rPr>
              <w:t>Formulas, tables, data validation, conditional formatting, charts</w:t>
            </w:r>
          </w:p>
        </w:tc>
      </w:tr>
      <w:tr>
        <w:tc>
          <w:tcPr>
            <w:tcW w:type="dxa" w:w="4968"/>
            <w:vAlign w:val="center"/>
          </w:tcPr>
          <w:p>
            <w:r/>
            <w:r>
              <w:rPr>
                <w:b w:val="0"/>
                <w:sz w:val="18"/>
              </w:rPr>
              <w:t>Data Analysis</w:t>
            </w:r>
          </w:p>
        </w:tc>
        <w:tc>
          <w:tcPr>
            <w:tcW w:type="dxa" w:w="4968"/>
            <w:vAlign w:val="center"/>
          </w:tcPr>
          <w:p>
            <w:r/>
            <w:r>
              <w:rPr>
                <w:b w:val="0"/>
                <w:sz w:val="18"/>
              </w:rPr>
              <w:t>Categorization, comparison, trend/variance interpretation</w:t>
            </w:r>
          </w:p>
        </w:tc>
      </w:tr>
      <w:tr>
        <w:tc>
          <w:tcPr>
            <w:tcW w:type="dxa" w:w="4968"/>
            <w:vAlign w:val="center"/>
          </w:tcPr>
          <w:p>
            <w:r/>
            <w:r>
              <w:rPr>
                <w:b w:val="0"/>
                <w:sz w:val="18"/>
              </w:rPr>
              <w:t>Problem Solving</w:t>
            </w:r>
          </w:p>
        </w:tc>
        <w:tc>
          <w:tcPr>
            <w:tcW w:type="dxa" w:w="4968"/>
            <w:vAlign w:val="center"/>
          </w:tcPr>
          <w:p>
            <w:r/>
            <w:r>
              <w:rPr>
                <w:b w:val="0"/>
                <w:sz w:val="18"/>
              </w:rPr>
              <w:t>Designing a practical model around a student financial-management problem</w:t>
            </w:r>
          </w:p>
        </w:tc>
      </w:tr>
      <w:tr>
        <w:tc>
          <w:tcPr>
            <w:tcW w:type="dxa" w:w="4968"/>
            <w:vAlign w:val="center"/>
          </w:tcPr>
          <w:p>
            <w:r/>
            <w:r>
              <w:rPr>
                <w:b w:val="0"/>
                <w:sz w:val="18"/>
              </w:rPr>
              <w:t>Presentation</w:t>
            </w:r>
          </w:p>
        </w:tc>
        <w:tc>
          <w:tcPr>
            <w:tcW w:type="dxa" w:w="4968"/>
            <w:vAlign w:val="center"/>
          </w:tcPr>
          <w:p>
            <w:r/>
            <w:r>
              <w:rPr>
                <w:b w:val="0"/>
                <w:sz w:val="18"/>
              </w:rPr>
              <w:t>Dashboard design and concise interpretation of financial information</w:t>
            </w:r>
          </w:p>
        </w:tc>
      </w:tr>
    </w:tbl>
    <w:p>
      <w:pPr>
        <w:pStyle w:val="Heading1"/>
      </w:pPr>
      <w:r>
        <w:t>12. REFERENCES / DATA SOURCES</w:t>
      </w:r>
    </w:p>
    <w:p>
      <w:r>
        <w:t>1. Microsoft Excel / Microsoft Support — documentation and learning resources for spreadsheet functions, charts and data validation.</w:t>
        <w:br/>
        <w:t>2. Reserve Bank of India — general financial literacy and digital-payment resources, where relevant to future extensions of the project.</w:t>
        <w:br/>
        <w:t>3. Project workbook: “Personal Finance &amp; Budgeting Model.xlsx” — original Excel model developed for this project.</w:t>
        <w:br/>
        <w:t>4. All numerical values in the demonstration analysis are illustrative assumptions created for the project.</w:t>
      </w:r>
    </w:p>
    <w:p>
      <w:r>
        <w:br/>
      </w:r>
    </w:p>
    <w:p>
      <w:pPr>
        <w:jc w:val="center"/>
      </w:pPr>
      <w:r>
        <w:rPr>
          <w:b/>
          <w:color w:val="1F4E79"/>
        </w:rPr>
        <w:t>— END OF PROJECT REPORT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PERSONAL FINANCE &amp; BUDGETING MODEL | B.COM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