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0D2A52"/>
          <w:sz w:val="36"/>
          <w:szCs w:val="36"/>
        </w:rPr>
        <w:t xml:space="preserve">KAVACH: System Architecture</w:t>
      </w:r>
    </w:p>
    <w:p>
      <w:pPr>
        <w:pBdr>
          <w:bottom w:val="single" w:color="0D2A52" w:sz="14" w:space="4"/>
        </w:pBdr>
        <w:tabs>
          <w:tab w:val="right" w:pos="10206"/>
        </w:tabs>
        <w:spacing w:after="120"/>
      </w:pPr>
      <w:r>
        <w:rPr>
          <w:rFonts w:ascii="Calibri" w:cs="Calibri" w:eastAsia="Calibri" w:hAnsi="Calibri"/>
          <w:color w:val="4A5A70"/>
          <w:sz w:val="18"/>
          <w:szCs w:val="18"/>
        </w:rPr>
        <w:t xml:space="preserve">A predictive NetJEPA and blockchain shield for India's critical networks · Team NetRunners</w:t>
      </w:r>
      <w:r>
        <w:rPr>
          <w:rFonts w:ascii="Calibri" w:cs="Calibri" w:eastAsia="Calibri" w:hAnsi="Calibri"/>
          <w:b/>
          <w:bCs/>
          <w:color w:val="0D2A52"/>
          <w:sz w:val="16"/>
          <w:szCs w:val="16"/>
        </w:rPr>
        <w:t xml:space="preserve">	SIH 2026 · SIH26153 · NTRO</w:t>
      </w:r>
    </w:p>
    <w:p>
      <w:pPr>
        <w:keepNext/>
        <w:spacing w:after="70" w:before="160"/>
      </w:pPr>
      <w:r>
        <w:rPr>
          <w:rFonts w:ascii="Calibri" w:cs="Calibri" w:eastAsia="Calibri" w:hAnsi="Calibri"/>
          <w:b/>
          <w:bCs/>
          <w:color w:val="FFFFFF"/>
          <w:sz w:val="20"/>
          <w:szCs w:val="20"/>
          <w:shd w:fill="C8541A" w:val="clear"/>
        </w:rPr>
        <w:t xml:space="preserve"> 1 </w:t>
      </w:r>
      <w:r>
        <w:rPr>
          <w:rFonts w:ascii="Calibri" w:cs="Calibri" w:eastAsia="Calibri" w:hAnsi="Calibri"/>
          <w:b/>
          <w:bCs/>
          <w:color w:val="0D2A52"/>
          <w:sz w:val="24"/>
          <w:szCs w:val="24"/>
        </w:rPr>
        <w:t xml:space="preserve">  Purpose, Scope and Quality Goals</w:t>
      </w:r>
    </w:p>
    <w:p>
      <w:pPr>
        <w:spacing w:after="60" w:line="252"/>
      </w:pPr>
      <w:r>
        <w:rPr>
          <w:rFonts w:ascii="Calibri" w:cs="Calibri" w:eastAsia="Calibri" w:hAnsi="Calibri"/>
          <w:sz w:val="19"/>
          <w:szCs w:val="19"/>
        </w:rPr>
        <w:t xml:space="preserve">KAVACH is an offline, world-model-based intrusion forecasting system. It ingests flow-level and packet-level traffic, learns how network state evolves over time, </w:t>
      </w:r>
      <w:r>
        <w:rPr>
          <w:rFonts w:ascii="Calibri" w:cs="Calibri" w:eastAsia="Calibri" w:hAnsi="Calibri"/>
          <w:b/>
          <w:bCs/>
          <w:color w:val="0D2A52"/>
          <w:sz w:val="19"/>
          <w:szCs w:val="19"/>
        </w:rPr>
        <w:t xml:space="preserve">P(S</w:t>
      </w:r>
      <w:r>
        <w:rPr>
          <w:rFonts w:ascii="Calibri" w:cs="Calibri" w:eastAsia="Calibri" w:hAnsi="Calibri"/>
          <w:b/>
          <w:bCs/>
          <w:color w:val="0D2A52"/>
          <w:sz w:val="19"/>
          <w:szCs w:val="19"/>
          <w:vertAlign w:val="subscript"/>
        </w:rPr>
        <w:t xml:space="preserve">t+1</w:t>
      </w:r>
      <w:r>
        <w:rPr>
          <w:rFonts w:ascii="Calibri" w:cs="Calibri" w:eastAsia="Calibri" w:hAnsi="Calibri"/>
          <w:b/>
          <w:bCs/>
          <w:color w:val="0D2A52"/>
          <w:sz w:val="19"/>
          <w:szCs w:val="19"/>
        </w:rPr>
        <w:t xml:space="preserve"> | S</w:t>
      </w:r>
      <w:r>
        <w:rPr>
          <w:rFonts w:ascii="Calibri" w:cs="Calibri" w:eastAsia="Calibri" w:hAnsi="Calibri"/>
          <w:b/>
          <w:bCs/>
          <w:color w:val="0D2A52"/>
          <w:sz w:val="19"/>
          <w:szCs w:val="19"/>
          <w:vertAlign w:val="subscript"/>
        </w:rPr>
        <w:t xml:space="preserve">t</w:t>
      </w:r>
      <w:r>
        <w:rPr>
          <w:rFonts w:ascii="Calibri" w:cs="Calibri" w:eastAsia="Calibri" w:hAnsi="Calibri"/>
          <w:b/>
          <w:bCs/>
          <w:color w:val="0D2A52"/>
          <w:sz w:val="19"/>
          <w:szCs w:val="19"/>
        </w:rPr>
        <w:t xml:space="preserve">)</w:t>
      </w:r>
      <w:r>
        <w:rPr>
          <w:rFonts w:ascii="Calibri" w:cs="Calibri" w:eastAsia="Calibri" w:hAnsi="Calibri"/>
          <w:sz w:val="19"/>
          <w:szCs w:val="19"/>
        </w:rPr>
        <w:t xml:space="preserve">, forecasts attacker progression K steps ahead, maps behaviour to MITRE ATT&amp;CK stages, explains every prediction, and records every decision on a tamper-evident ledger.</w:t>
      </w:r>
    </w:p>
    <w:p>
      <w:pPr>
        <w:spacing w:after="60" w:line="252"/>
      </w:pPr>
      <w:r>
        <w:rPr>
          <w:rFonts w:ascii="Calibri" w:cs="Calibri" w:eastAsia="Calibri" w:hAnsi="Calibri"/>
          <w:b/>
          <w:bCs/>
          <w:color w:val="0D2A52"/>
          <w:sz w:val="19"/>
          <w:szCs w:val="19"/>
        </w:rPr>
        <w:t xml:space="preserve">Users:</w:t>
      </w:r>
      <w:r>
        <w:rPr>
          <w:rFonts w:ascii="Calibri" w:cs="Calibri" w:eastAsia="Calibri" w:hAnsi="Calibri"/>
          <w:sz w:val="19"/>
          <w:szCs w:val="19"/>
        </w:rPr>
        <w:t xml:space="preserve"> SOC analysts, CISOs and CII operators (NCIIPC sectors). </w:t>
      </w:r>
      <w:r>
        <w:rPr>
          <w:rFonts w:ascii="Calibri" w:cs="Calibri" w:eastAsia="Calibri" w:hAnsi="Calibri"/>
          <w:b/>
          <w:bCs/>
          <w:color w:val="0D2A52"/>
          <w:sz w:val="19"/>
          <w:szCs w:val="19"/>
        </w:rPr>
        <w:t xml:space="preserve">Input:</w:t>
      </w:r>
      <w:r>
        <w:rPr>
          <w:rFonts w:ascii="Calibri" w:cs="Calibri" w:eastAsia="Calibri" w:hAnsi="Calibri"/>
          <w:sz w:val="19"/>
          <w:szCs w:val="19"/>
        </w:rPr>
        <w:t xml:space="preserve"> PCAP / flow CSV. </w:t>
      </w:r>
      <w:r>
        <w:rPr>
          <w:rFonts w:ascii="Calibri" w:cs="Calibri" w:eastAsia="Calibri" w:hAnsi="Calibri"/>
          <w:b/>
          <w:bCs/>
          <w:color w:val="0D2A52"/>
          <w:sz w:val="19"/>
          <w:szCs w:val="19"/>
        </w:rPr>
        <w:t xml:space="preserve">Output:</w:t>
      </w:r>
      <w:r>
        <w:rPr>
          <w:rFonts w:ascii="Calibri" w:cs="Calibri" w:eastAsia="Calibri" w:hAnsi="Calibri"/>
          <w:sz w:val="19"/>
          <w:szCs w:val="19"/>
        </w:rPr>
        <w:t xml:space="preserve"> risk timeline, stage, forecast, explanation, response plan.</w:t>
      </w:r>
    </w:p>
    <w:p>
      <w:pPr>
        <w:spacing w:after="30" w:line="252"/>
      </w:pPr>
      <w:r>
        <w:rPr>
          <w:rFonts w:ascii="Calibri" w:cs="Calibri" w:eastAsia="Calibri" w:hAnsi="Calibri"/>
          <w:b/>
          <w:bCs/>
          <w:color w:val="0D2A52"/>
          <w:sz w:val="19"/>
          <w:szCs w:val="19"/>
        </w:rPr>
        <w:t xml:space="preserve">Quality goals (priority order)</w:t>
      </w:r>
    </w:p>
    <w:p>
      <w:pPr>
        <w:pStyle w:val="ListParagraph"/>
        <w:numPr>
          <w:ilvl w:val="0"/>
          <w:numId w:val="2"/>
        </w:numPr>
        <w:spacing w:after="30" w:line="252"/>
      </w:pPr>
      <w:r>
        <w:rPr>
          <w:rFonts w:ascii="Calibri" w:cs="Calibri" w:eastAsia="Calibri" w:hAnsi="Calibri"/>
          <w:b/>
          <w:bCs/>
          <w:color w:val="0D2A52"/>
          <w:sz w:val="19"/>
          <w:szCs w:val="19"/>
        </w:rPr>
        <w:t xml:space="preserve">Predictive:</w:t>
      </w:r>
      <w:r>
        <w:rPr>
          <w:rFonts w:ascii="Calibri" w:cs="Calibri" w:eastAsia="Calibri" w:hAnsi="Calibri"/>
          <w:sz w:val="19"/>
          <w:szCs w:val="19"/>
        </w:rPr>
        <w:t xml:space="preserve"> forecast attacks before escalation, not just classify them.</w:t>
      </w:r>
    </w:p>
    <w:p>
      <w:pPr>
        <w:pStyle w:val="ListParagraph"/>
        <w:numPr>
          <w:ilvl w:val="0"/>
          <w:numId w:val="2"/>
        </w:numPr>
        <w:spacing w:after="30" w:line="252"/>
      </w:pPr>
      <w:r>
        <w:rPr>
          <w:rFonts w:ascii="Calibri" w:cs="Calibri" w:eastAsia="Calibri" w:hAnsi="Calibri"/>
          <w:b/>
          <w:bCs/>
          <w:color w:val="0D2A52"/>
          <w:sz w:val="19"/>
          <w:szCs w:val="19"/>
        </w:rPr>
        <w:t xml:space="preserve">Explainable:</w:t>
      </w:r>
      <w:r>
        <w:rPr>
          <w:rFonts w:ascii="Calibri" w:cs="Calibri" w:eastAsia="Calibri" w:hAnsi="Calibri"/>
          <w:sz w:val="19"/>
          <w:szCs w:val="19"/>
        </w:rPr>
        <w:t xml:space="preserve"> no black-box output; every alert carries evidence.</w:t>
      </w:r>
    </w:p>
    <w:p>
      <w:pPr>
        <w:pStyle w:val="ListParagraph"/>
        <w:numPr>
          <w:ilvl w:val="0"/>
          <w:numId w:val="2"/>
        </w:numPr>
        <w:spacing w:after="30" w:line="252"/>
      </w:pPr>
      <w:r>
        <w:rPr>
          <w:rFonts w:ascii="Calibri" w:cs="Calibri" w:eastAsia="Calibri" w:hAnsi="Calibri"/>
          <w:b/>
          <w:bCs/>
          <w:color w:val="0D2A52"/>
          <w:sz w:val="19"/>
          <w:szCs w:val="19"/>
        </w:rPr>
        <w:t xml:space="preserve">Sovereign &amp; offline:</w:t>
      </w:r>
      <w:r>
        <w:rPr>
          <w:rFonts w:ascii="Calibri" w:cs="Calibri" w:eastAsia="Calibri" w:hAnsi="Calibri"/>
          <w:sz w:val="19"/>
          <w:szCs w:val="19"/>
        </w:rPr>
        <w:t xml:space="preserve"> air-gapped, CPU-only, zero cloud calls.</w:t>
      </w:r>
    </w:p>
    <w:p>
      <w:pPr>
        <w:pStyle w:val="ListParagraph"/>
        <w:numPr>
          <w:ilvl w:val="0"/>
          <w:numId w:val="2"/>
        </w:numPr>
        <w:spacing w:after="30" w:line="252"/>
      </w:pPr>
      <w:r>
        <w:rPr>
          <w:rFonts w:ascii="Calibri" w:cs="Calibri" w:eastAsia="Calibri" w:hAnsi="Calibri"/>
          <w:b/>
          <w:bCs/>
          <w:color w:val="0D2A52"/>
          <w:sz w:val="19"/>
          <w:szCs w:val="19"/>
        </w:rPr>
        <w:t xml:space="preserve">Trustworthy:</w:t>
      </w:r>
      <w:r>
        <w:rPr>
          <w:rFonts w:ascii="Calibri" w:cs="Calibri" w:eastAsia="Calibri" w:hAnsi="Calibri"/>
          <w:sz w:val="19"/>
          <w:szCs w:val="19"/>
        </w:rPr>
        <w:t xml:space="preserve"> tamper-evident decisions, models and training data.</w:t>
      </w:r>
    </w:p>
    <w:p>
      <w:pPr>
        <w:pStyle w:val="ListParagraph"/>
        <w:numPr>
          <w:ilvl w:val="0"/>
          <w:numId w:val="2"/>
        </w:numPr>
        <w:spacing w:after="30" w:line="252"/>
      </w:pPr>
      <w:r>
        <w:rPr>
          <w:rFonts w:ascii="Calibri" w:cs="Calibri" w:eastAsia="Calibri" w:hAnsi="Calibri"/>
          <w:b/>
          <w:bCs/>
          <w:color w:val="0D2A52"/>
          <w:sz w:val="19"/>
          <w:szCs w:val="19"/>
        </w:rPr>
        <w:t xml:space="preserve">Proportionate security:</w:t>
      </w:r>
      <w:r>
        <w:rPr>
          <w:rFonts w:ascii="Calibri" w:cs="Calibri" w:eastAsia="Calibri" w:hAnsi="Calibri"/>
          <w:sz w:val="19"/>
          <w:szCs w:val="19"/>
        </w:rPr>
        <w:t xml:space="preserve"> controls scale with network classification.</w:t>
      </w:r>
    </w:p>
    <w:p>
      <w:pPr>
        <w:keepNext/>
        <w:spacing w:after="70" w:before="160"/>
      </w:pPr>
      <w:r>
        <w:rPr>
          <w:rFonts w:ascii="Calibri" w:cs="Calibri" w:eastAsia="Calibri" w:hAnsi="Calibri"/>
          <w:b/>
          <w:bCs/>
          <w:color w:val="FFFFFF"/>
          <w:sz w:val="20"/>
          <w:szCs w:val="20"/>
          <w:shd w:fill="C8541A" w:val="clear"/>
        </w:rPr>
        <w:t xml:space="preserve"> 2 </w:t>
      </w:r>
      <w:r>
        <w:rPr>
          <w:rFonts w:ascii="Calibri" w:cs="Calibri" w:eastAsia="Calibri" w:hAnsi="Calibri"/>
          <w:b/>
          <w:bCs/>
          <w:color w:val="0D2A52"/>
          <w:sz w:val="24"/>
          <w:szCs w:val="24"/>
        </w:rPr>
        <w:t xml:space="preserve">  High-Level Architecture: Processing Pipeline and Tiered User Flow</w:t>
      </w:r>
    </w:p>
    <w:p>
      <w:pPr>
        <w:keepNext/>
        <w:spacing w:after="20" w:before="40"/>
        <w:jc w:val="center"/>
      </w:pPr>
      <w:r>
        <w:drawing>
          <wp:inline distT="0" distB="0" distL="0" distR="0">
            <wp:extent cx="6477000" cy="3409950"/>
            <wp:effectExtent t="0" r="0" b="0" l="0"/>
            <wp:docPr id="1" name="clean/KAVACH_Architecture_Diagram_clean.png" descr="clean/KAVACH_Architecture_Diagram_clean.png" title="clean/KAVACH_Architecture_Diagram_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3409950"/>
                    </a:xfrm>
                    <a:prstGeom prst="rect">
                      <a:avLst/>
                    </a:prstGeom>
                  </pic:spPr>
                </pic:pic>
              </a:graphicData>
            </a:graphic>
          </wp:inline>
        </w:drawing>
      </w:r>
    </w:p>
    <w:p>
      <w:pPr>
        <w:spacing w:after="80"/>
        <w:jc w:val="center"/>
      </w:pPr>
      <w:r>
        <w:rPr>
          <w:rFonts w:ascii="Calibri" w:cs="Calibri" w:eastAsia="Calibri" w:hAnsi="Calibri"/>
          <w:i/>
          <w:iCs/>
          <w:color w:val="5B6A80"/>
          <w:sz w:val="16"/>
          <w:szCs w:val="16"/>
        </w:rPr>
        <w:t xml:space="preserve">Figure 1. The processing pipeline scores every 5-second window; the dashboard user flow routes each alert by clearance level, and every action is recorded on the ledger.</w:t>
      </w:r>
    </w:p>
    <w:p>
      <w:pPr>
        <w:keepNext/>
        <w:spacing w:after="70" w:before="160"/>
      </w:pPr>
      <w:r>
        <w:rPr>
          <w:rFonts w:ascii="Calibri" w:cs="Calibri" w:eastAsia="Calibri" w:hAnsi="Calibri"/>
          <w:b/>
          <w:bCs/>
          <w:color w:val="FFFFFF"/>
          <w:sz w:val="20"/>
          <w:szCs w:val="20"/>
          <w:shd w:fill="C8541A" w:val="clear"/>
        </w:rPr>
        <w:t xml:space="preserve"> 3 </w:t>
      </w:r>
      <w:r>
        <w:rPr>
          <w:rFonts w:ascii="Calibri" w:cs="Calibri" w:eastAsia="Calibri" w:hAnsi="Calibri"/>
          <w:b/>
          <w:bCs/>
          <w:color w:val="0D2A52"/>
          <w:sz w:val="24"/>
          <w:szCs w:val="24"/>
        </w:rPr>
        <w:t xml:space="preserve">  Runtime View</w:t>
      </w:r>
    </w:p>
    <w:p>
      <w:pPr>
        <w:pStyle w:val="ListParagraph"/>
        <w:numPr>
          <w:ilvl w:val="0"/>
          <w:numId w:val="2"/>
        </w:numPr>
        <w:spacing w:after="30" w:line="252"/>
      </w:pPr>
      <w:r>
        <w:rPr>
          <w:rFonts w:ascii="Calibri" w:cs="Calibri" w:eastAsia="Calibri" w:hAnsi="Calibri"/>
          <w:b/>
          <w:bCs/>
          <w:color w:val="0D2A52"/>
          <w:sz w:val="19"/>
          <w:szCs w:val="19"/>
        </w:rPr>
        <w:t xml:space="preserve">Parse (ingestion):</w:t>
      </w:r>
      <w:r>
        <w:rPr>
          <w:rFonts w:ascii="Calibri" w:cs="Calibri" w:eastAsia="Calibri" w:hAnsi="Calibri"/>
          <w:sz w:val="19"/>
          <w:szCs w:val="19"/>
        </w:rPr>
        <w:t xml:space="preserve"> packets are decoded (IPs, ports, flags, TTL, window, fragments, payload, retransmissions) into 5-s windows; flow statistics use IPFIX-style timeouts so both levels describe the same slice.</w:t>
      </w:r>
    </w:p>
    <w:p>
      <w:pPr>
        <w:pStyle w:val="ListParagraph"/>
        <w:numPr>
          <w:ilvl w:val="0"/>
          <w:numId w:val="2"/>
        </w:numPr>
        <w:spacing w:after="30" w:line="252"/>
      </w:pPr>
      <w:r>
        <w:rPr>
          <w:rFonts w:ascii="Calibri" w:cs="Calibri" w:eastAsia="Calibri" w:hAnsi="Calibri"/>
          <w:b/>
          <w:bCs/>
          <w:color w:val="0D2A52"/>
          <w:sz w:val="19"/>
          <w:szCs w:val="19"/>
        </w:rPr>
        <w:t xml:space="preserve">Represent:</w:t>
      </w:r>
      <w:r>
        <w:rPr>
          <w:rFonts w:ascii="Calibri" w:cs="Calibri" w:eastAsia="Calibri" w:hAnsi="Calibri"/>
          <w:sz w:val="19"/>
          <w:szCs w:val="19"/>
        </w:rPr>
        <w:t xml:space="preserve"> each window becomes a heterogeneous graph with a 29-value state vector; the previous two windows are held as context.</w:t>
      </w:r>
    </w:p>
    <w:p>
      <w:pPr>
        <w:pStyle w:val="ListParagraph"/>
        <w:numPr>
          <w:ilvl w:val="0"/>
          <w:numId w:val="2"/>
        </w:numPr>
        <w:spacing w:after="30" w:line="252"/>
      </w:pPr>
      <w:r>
        <w:rPr>
          <w:rFonts w:ascii="Calibri" w:cs="Calibri" w:eastAsia="Calibri" w:hAnsi="Calibri"/>
          <w:b/>
          <w:bCs/>
          <w:color w:val="0D2A52"/>
          <w:sz w:val="19"/>
          <w:szCs w:val="19"/>
        </w:rPr>
        <w:t xml:space="preserve">Encode &amp; predict:</w:t>
      </w:r>
      <w:r>
        <w:rPr>
          <w:rFonts w:ascii="Calibri" w:cs="Calibri" w:eastAsia="Calibri" w:hAnsi="Calibri"/>
          <w:sz w:val="19"/>
          <w:szCs w:val="19"/>
        </w:rPr>
        <w:t xml:space="preserve"> NetJEPA produces z</w:t>
      </w:r>
      <w:r>
        <w:rPr>
          <w:rFonts w:ascii="Calibri" w:cs="Calibri" w:eastAsia="Calibri" w:hAnsi="Calibri"/>
          <w:sz w:val="19"/>
          <w:szCs w:val="19"/>
          <w:vertAlign w:val="subscript"/>
        </w:rPr>
        <w:t xml:space="preserve">t</w:t>
      </w:r>
      <w:r>
        <w:rPr>
          <w:rFonts w:ascii="Calibri" w:cs="Calibri" w:eastAsia="Calibri" w:hAnsi="Calibri"/>
          <w:sz w:val="19"/>
          <w:szCs w:val="19"/>
        </w:rPr>
        <w:t xml:space="preserve"> and a Gaussian over z</w:t>
      </w:r>
      <w:r>
        <w:rPr>
          <w:rFonts w:ascii="Calibri" w:cs="Calibri" w:eastAsia="Calibri" w:hAnsi="Calibri"/>
          <w:sz w:val="19"/>
          <w:szCs w:val="19"/>
          <w:vertAlign w:val="subscript"/>
        </w:rPr>
        <w:t xml:space="preserve">t+1</w:t>
      </w:r>
      <w:r>
        <w:rPr>
          <w:rFonts w:ascii="Calibri" w:cs="Calibri" w:eastAsia="Calibri" w:hAnsi="Calibri"/>
          <w:sz w:val="19"/>
          <w:szCs w:val="19"/>
        </w:rPr>
        <w:t xml:space="preserve">; 64 Monte-Carlo samples are rolled 3 steps ahead.</w:t>
      </w:r>
    </w:p>
    <w:p>
      <w:pPr>
        <w:pStyle w:val="ListParagraph"/>
        <w:numPr>
          <w:ilvl w:val="0"/>
          <w:numId w:val="2"/>
        </w:numPr>
        <w:spacing w:after="30" w:line="252"/>
      </w:pPr>
      <w:r>
        <w:rPr>
          <w:rFonts w:ascii="Calibri" w:cs="Calibri" w:eastAsia="Calibri" w:hAnsi="Calibri"/>
          <w:b/>
          <w:bCs/>
          <w:color w:val="0D2A52"/>
          <w:sz w:val="19"/>
          <w:szCs w:val="19"/>
        </w:rPr>
        <w:t xml:space="preserve">Score:</w:t>
      </w:r>
      <w:r>
        <w:rPr>
          <w:rFonts w:ascii="Calibri" w:cs="Calibri" w:eastAsia="Calibri" w:hAnsi="Calibri"/>
          <w:sz w:val="19"/>
          <w:szCs w:val="19"/>
        </w:rPr>
        <w:t xml:space="preserve"> outputs calibrated risk, ATT&amp;CK stage and forecast band for now and each future step.</w:t>
      </w:r>
    </w:p>
    <w:p>
      <w:pPr>
        <w:pStyle w:val="ListParagraph"/>
        <w:numPr>
          <w:ilvl w:val="0"/>
          <w:numId w:val="2"/>
        </w:numPr>
        <w:spacing w:after="30" w:line="252"/>
      </w:pPr>
      <w:r>
        <w:rPr>
          <w:rFonts w:ascii="Calibri" w:cs="Calibri" w:eastAsia="Calibri" w:hAnsi="Calibri"/>
          <w:b/>
          <w:bCs/>
          <w:color w:val="0D2A52"/>
          <w:sz w:val="19"/>
          <w:szCs w:val="19"/>
        </w:rPr>
        <w:t xml:space="preserve">Explain &amp; respond:</w:t>
      </w:r>
      <w:r>
        <w:rPr>
          <w:rFonts w:ascii="Calibri" w:cs="Calibri" w:eastAsia="Calibri" w:hAnsi="Calibri"/>
          <w:sz w:val="19"/>
          <w:szCs w:val="19"/>
        </w:rPr>
        <w:t xml:space="preserve"> explains the actual decision path and generates a prioritised response plan.</w:t>
      </w:r>
    </w:p>
    <w:p>
      <w:pPr>
        <w:pStyle w:val="ListParagraph"/>
        <w:numPr>
          <w:ilvl w:val="0"/>
          <w:numId w:val="2"/>
        </w:numPr>
        <w:spacing w:after="30" w:line="252"/>
      </w:pPr>
      <w:r>
        <w:rPr>
          <w:rFonts w:ascii="Calibri" w:cs="Calibri" w:eastAsia="Calibri" w:hAnsi="Calibri"/>
          <w:b/>
          <w:bCs/>
          <w:color w:val="0D2A52"/>
          <w:sz w:val="19"/>
          <w:szCs w:val="19"/>
        </w:rPr>
        <w:t xml:space="preserve">Route by clearance:</w:t>
      </w:r>
      <w:r>
        <w:rPr>
          <w:rFonts w:ascii="Calibri" w:cs="Calibri" w:eastAsia="Calibri" w:hAnsi="Calibri"/>
          <w:sz w:val="19"/>
          <w:szCs w:val="19"/>
        </w:rPr>
        <w:t xml:space="preserve"> sends each alert to its zone's dashboard, where the tier sets the next action.</w:t>
      </w:r>
    </w:p>
    <w:p>
      <w:pPr>
        <w:pStyle w:val="ListParagraph"/>
        <w:numPr>
          <w:ilvl w:val="0"/>
          <w:numId w:val="2"/>
        </w:numPr>
        <w:spacing w:after="30" w:line="252"/>
      </w:pPr>
      <w:r>
        <w:rPr>
          <w:rFonts w:ascii="Calibri" w:cs="Calibri" w:eastAsia="Calibri" w:hAnsi="Calibri"/>
          <w:b/>
          <w:bCs/>
          <w:color w:val="0D2A52"/>
          <w:sz w:val="19"/>
          <w:szCs w:val="19"/>
        </w:rPr>
        <w:t xml:space="preserve">Record &amp; stream:</w:t>
      </w:r>
      <w:r>
        <w:rPr>
          <w:rFonts w:ascii="Calibri" w:cs="Calibri" w:eastAsia="Calibri" w:hAnsi="Calibri"/>
          <w:sz w:val="19"/>
          <w:szCs w:val="19"/>
        </w:rPr>
        <w:t xml:space="preserve"> the result is chained to the ledger by risk tier, stored, and streamed live to the dashboard over WebSocket. The analyst's verdict is chained as well.</w:t>
      </w:r>
    </w:p>
    <w:p>
      <w:r>
        <w:br w:type="page"/>
      </w:r>
    </w:p>
    <w:p>
      <w:pPr>
        <w:keepNext/>
        <w:spacing w:after="70" w:before="160"/>
      </w:pPr>
      <w:r>
        <w:rPr>
          <w:rFonts w:ascii="Calibri" w:cs="Calibri" w:eastAsia="Calibri" w:hAnsi="Calibri"/>
          <w:b/>
          <w:bCs/>
          <w:color w:val="FFFFFF"/>
          <w:sz w:val="20"/>
          <w:szCs w:val="20"/>
          <w:shd w:fill="C8541A" w:val="clear"/>
        </w:rPr>
        <w:t xml:space="preserve"> 4 </w:t>
      </w:r>
      <w:r>
        <w:rPr>
          <w:rFonts w:ascii="Calibri" w:cs="Calibri" w:eastAsia="Calibri" w:hAnsi="Calibri"/>
          <w:b/>
          <w:bCs/>
          <w:color w:val="0D2A52"/>
          <w:sz w:val="24"/>
          <w:szCs w:val="24"/>
        </w:rPr>
        <w:t xml:space="preserve">  NetJEPA World Model: Training and Inference</w:t>
      </w:r>
    </w:p>
    <w:p>
      <w:pPr>
        <w:keepNext/>
        <w:spacing w:after="20" w:before="40"/>
        <w:jc w:val="center"/>
      </w:pPr>
      <w:r>
        <w:drawing>
          <wp:inline distT="0" distB="0" distL="0" distR="0">
            <wp:extent cx="5715000" cy="188595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85950"/>
                    </a:xfrm>
                    <a:prstGeom prst="rect">
                      <a:avLst/>
                    </a:prstGeom>
                  </pic:spPr>
                </pic:pic>
              </a:graphicData>
            </a:graphic>
          </wp:inline>
        </w:drawing>
      </w:r>
    </w:p>
    <w:p>
      <w:pPr>
        <w:spacing w:after="80"/>
        <w:jc w:val="center"/>
      </w:pPr>
      <w:r>
        <w:rPr>
          <w:rFonts w:ascii="Calibri" w:cs="Calibri" w:eastAsia="Calibri" w:hAnsi="Calibri"/>
          <w:i/>
          <w:iCs/>
          <w:color w:val="5B6A80"/>
          <w:sz w:val="16"/>
          <w:szCs w:val="16"/>
        </w:rPr>
        <w:t xml:space="preserve">Figure 2. NetJEPA learns P(S</w:t>
      </w:r>
      <w:r>
        <w:rPr>
          <w:rFonts w:ascii="Calibri" w:cs="Calibri" w:eastAsia="Calibri" w:hAnsi="Calibri"/>
          <w:i/>
          <w:iCs/>
          <w:color w:val="5B6A80"/>
          <w:sz w:val="16"/>
          <w:szCs w:val="16"/>
          <w:vertAlign w:val="subscript"/>
        </w:rPr>
        <w:t xml:space="preserve">t+1</w:t>
      </w:r>
      <w:r>
        <w:rPr>
          <w:rFonts w:ascii="Calibri" w:cs="Calibri" w:eastAsia="Calibri" w:hAnsi="Calibri"/>
          <w:i/>
          <w:iCs/>
          <w:color w:val="5B6A80"/>
          <w:sz w:val="16"/>
          <w:szCs w:val="16"/>
        </w:rPr>
        <w:t xml:space="preserve"> | S</w:t>
      </w:r>
      <w:r>
        <w:rPr>
          <w:rFonts w:ascii="Calibri" w:cs="Calibri" w:eastAsia="Calibri" w:hAnsi="Calibri"/>
          <w:i/>
          <w:iCs/>
          <w:color w:val="5B6A80"/>
          <w:sz w:val="16"/>
          <w:szCs w:val="16"/>
          <w:vertAlign w:val="subscript"/>
        </w:rPr>
        <w:t xml:space="preserve">t</w:t>
      </w:r>
      <w:r>
        <w:rPr>
          <w:rFonts w:ascii="Calibri" w:cs="Calibri" w:eastAsia="Calibri" w:hAnsi="Calibri"/>
          <w:i/>
          <w:iCs/>
          <w:color w:val="5B6A80"/>
          <w:sz w:val="16"/>
          <w:szCs w:val="16"/>
        </w:rPr>
        <w:t xml:space="preserve">) in latent space and forecasts by rolling its own predictions forward.</w:t>
      </w:r>
    </w:p>
    <w:p>
      <w:pPr>
        <w:keepNext/>
        <w:spacing w:after="70" w:before="160"/>
      </w:pPr>
      <w:r>
        <w:rPr>
          <w:rFonts w:ascii="Calibri" w:cs="Calibri" w:eastAsia="Calibri" w:hAnsi="Calibri"/>
          <w:b/>
          <w:bCs/>
          <w:color w:val="FFFFFF"/>
          <w:sz w:val="20"/>
          <w:szCs w:val="20"/>
          <w:shd w:fill="C8541A" w:val="clear"/>
        </w:rPr>
        <w:t xml:space="preserve"> 5 </w:t>
      </w:r>
      <w:r>
        <w:rPr>
          <w:rFonts w:ascii="Calibri" w:cs="Calibri" w:eastAsia="Calibri" w:hAnsi="Calibri"/>
          <w:b/>
          <w:bCs/>
          <w:color w:val="0D2A52"/>
          <w:sz w:val="24"/>
          <w:szCs w:val="24"/>
        </w:rPr>
        <w:t xml:space="preserve">  Key Architecture Decisions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206"/>
      </w:tblGrid>
      <w:tr>
        <w:trPr>
          <w:cantSplit/>
          <w:tblHeader/>
        </w:trPr>
        <w:tc>
          <w:tcPr>
            <w:tcW w:type="dxa" w:w="2000"/>
            <w:tcBorders>
              <w:top w:val="single" w:color="DDE3EC" w:sz="4"/>
              <w:left w:val="none" w:color="FFFFFF" w:sz="0"/>
              <w:bottom w:val="single" w:color="DDE3EC" w:sz="4"/>
              <w:right w:val="none" w:color="FFFFFF" w:sz="0"/>
            </w:tcBorders>
            <w:shd w:fill="0D2A52"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Decision</w:t>
            </w:r>
          </w:p>
        </w:tc>
        <w:tc>
          <w:tcPr>
            <w:tcW w:type="dxa" w:w="4000"/>
            <w:tcBorders>
              <w:top w:val="single" w:color="DDE3EC" w:sz="4"/>
              <w:left w:val="none" w:color="FFFFFF" w:sz="0"/>
              <w:bottom w:val="single" w:color="DDE3EC" w:sz="4"/>
              <w:right w:val="none" w:color="FFFFFF" w:sz="0"/>
            </w:tcBorders>
            <w:shd w:fill="0D2A52"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Choice</w:t>
            </w:r>
          </w:p>
        </w:tc>
        <w:tc>
          <w:tcPr>
            <w:tcW w:type="dxa" w:w="4206"/>
            <w:tcBorders>
              <w:top w:val="single" w:color="DDE3EC" w:sz="4"/>
              <w:left w:val="none" w:color="FFFFFF" w:sz="0"/>
              <w:bottom w:val="single" w:color="DDE3EC" w:sz="4"/>
              <w:right w:val="none" w:color="FFFFFF" w:sz="0"/>
            </w:tcBorders>
            <w:shd w:fill="0D2A52"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Rationale</w:t>
            </w:r>
          </w:p>
        </w:tc>
      </w:tr>
      <w:tr>
        <w:trPr>
          <w:cantSplit/>
          <w:tblHeader w:val="false"/>
        </w:trPr>
        <w:tc>
          <w:tcPr>
            <w:tcW w:type="dxa" w:w="2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State</w:t>
            </w:r>
          </w:p>
        </w:tc>
        <w:tc>
          <w:tcPr>
            <w:tcW w:type="dxa" w:w="4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Graph per 5-s window</w:t>
            </w:r>
          </w:p>
        </w:tc>
        <w:tc>
          <w:tcPr>
            <w:tcW w:type="dxa" w:w="42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Keeps host-to-host structure</w:t>
            </w:r>
          </w:p>
        </w:tc>
      </w:tr>
      <w:tr>
        <w:trPr>
          <w:cantSplit/>
          <w:tblHeader w:val="false"/>
        </w:trPr>
        <w:tc>
          <w:tcPr>
            <w:tcW w:type="dxa" w:w="2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Dynamics</w:t>
            </w:r>
          </w:p>
        </w:tc>
        <w:tc>
          <w:tcPr>
            <w:tcW w:type="dxa" w:w="4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JEPA latent prediction (HGT + GRU)</w:t>
            </w:r>
          </w:p>
        </w:tc>
        <w:tc>
          <w:tcPr>
            <w:tcW w:type="dxa" w:w="42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Learns P(S</w:t>
            </w:r>
            <w:r>
              <w:rPr>
                <w:rFonts w:ascii="Calibri" w:cs="Calibri" w:eastAsia="Calibri" w:hAnsi="Calibri"/>
                <w:sz w:val="17"/>
                <w:szCs w:val="17"/>
                <w:vertAlign w:val="subscript"/>
              </w:rPr>
              <w:t xml:space="preserve">t+1</w:t>
            </w:r>
            <w:r>
              <w:rPr>
                <w:rFonts w:ascii="Calibri" w:cs="Calibri" w:eastAsia="Calibri" w:hAnsi="Calibri"/>
                <w:sz w:val="17"/>
                <w:szCs w:val="17"/>
              </w:rPr>
              <w:t xml:space="preserve">|S</w:t>
            </w:r>
            <w:r>
              <w:rPr>
                <w:rFonts w:ascii="Calibri" w:cs="Calibri" w:eastAsia="Calibri" w:hAnsi="Calibri"/>
                <w:sz w:val="17"/>
                <w:szCs w:val="17"/>
                <w:vertAlign w:val="subscript"/>
              </w:rPr>
              <w:t xml:space="preserve">t</w:t>
            </w:r>
            <w:r>
              <w:rPr>
                <w:rFonts w:ascii="Calibri" w:cs="Calibri" w:eastAsia="Calibri" w:hAnsi="Calibri"/>
                <w:sz w:val="17"/>
                <w:szCs w:val="17"/>
              </w:rPr>
              <w:t xml:space="preserve">) on CPU</w:t>
            </w:r>
          </w:p>
        </w:tc>
      </w:tr>
      <w:tr>
        <w:trPr>
          <w:cantSplit/>
          <w:tblHeader w:val="false"/>
        </w:trPr>
        <w:tc>
          <w:tcPr>
            <w:tcW w:type="dxa" w:w="2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Uncertainty</w:t>
            </w:r>
          </w:p>
        </w:tc>
        <w:tc>
          <w:tcPr>
            <w:tcW w:type="dxa" w:w="4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Gaussian predictor + Monte-Carlo</w:t>
            </w:r>
          </w:p>
        </w:tc>
        <w:tc>
          <w:tcPr>
            <w:tcW w:type="dxa" w:w="42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Reliable confidence bands</w:t>
            </w:r>
          </w:p>
        </w:tc>
      </w:tr>
      <w:tr>
        <w:trPr>
          <w:cantSplit/>
          <w:tblHeader w:val="false"/>
        </w:trPr>
        <w:tc>
          <w:tcPr>
            <w:tcW w:type="dxa" w:w="2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Training</w:t>
            </w:r>
          </w:p>
        </w:tc>
        <w:tc>
          <w:tcPr>
            <w:tcW w:type="dxa" w:w="4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VICReg + NLL + supervised transitions</w:t>
            </w:r>
          </w:p>
        </w:tc>
        <w:tc>
          <w:tcPr>
            <w:tcW w:type="dxa" w:w="42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Forecasts as accurate as detection</w:t>
            </w:r>
          </w:p>
        </w:tc>
      </w:tr>
      <w:tr>
        <w:trPr>
          <w:cantSplit/>
          <w:tblHeader w:val="false"/>
        </w:trPr>
        <w:tc>
          <w:tcPr>
            <w:tcW w:type="dxa" w:w="2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Access</w:t>
            </w:r>
          </w:p>
        </w:tc>
        <w:tc>
          <w:tcPr>
            <w:tcW w:type="dxa" w:w="4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One node per classification tier</w:t>
            </w:r>
          </w:p>
        </w:tc>
        <w:tc>
          <w:tcPr>
            <w:tcW w:type="dxa" w:w="42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Security scales with sensitivity</w:t>
            </w:r>
          </w:p>
        </w:tc>
      </w:tr>
      <w:tr>
        <w:trPr>
          <w:cantSplit/>
          <w:tblHeader w:val="false"/>
        </w:trPr>
        <w:tc>
          <w:tcPr>
            <w:tcW w:type="dxa" w:w="2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Trust</w:t>
            </w:r>
          </w:p>
        </w:tc>
        <w:tc>
          <w:tcPr>
            <w:tcW w:type="dxa" w:w="4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Hash-chain ledger + Merkle batching</w:t>
            </w:r>
          </w:p>
        </w:tc>
        <w:tc>
          <w:tcPr>
            <w:tcW w:type="dxa" w:w="42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Air-gap native, multi-site ready</w:t>
            </w:r>
          </w:p>
        </w:tc>
      </w:tr>
      <w:tr>
        <w:trPr>
          <w:cantSplit/>
          <w:tblHeader w:val="false"/>
        </w:trPr>
        <w:tc>
          <w:tcPr>
            <w:tcW w:type="dxa" w:w="2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Deployment</w:t>
            </w:r>
          </w:p>
        </w:tc>
        <w:tc>
          <w:tcPr>
            <w:tcW w:type="dxa" w:w="40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Passive TAP, CPU-only, on-prem</w:t>
            </w:r>
          </w:p>
        </w:tc>
        <w:tc>
          <w:tcPr>
            <w:tcW w:type="dxa" w:w="42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No traffic-path risk, no GPU or cloud</w:t>
            </w:r>
          </w:p>
        </w:tc>
      </w:tr>
    </w:tbl>
    <w:p>
      <w:pPr>
        <w:keepNext/>
        <w:spacing w:after="70" w:before="160"/>
      </w:pPr>
      <w:r>
        <w:rPr>
          <w:rFonts w:ascii="Calibri" w:cs="Calibri" w:eastAsia="Calibri" w:hAnsi="Calibri"/>
          <w:b/>
          <w:bCs/>
          <w:color w:val="FFFFFF"/>
          <w:sz w:val="20"/>
          <w:szCs w:val="20"/>
          <w:shd w:fill="C8541A" w:val="clear"/>
        </w:rPr>
        <w:t xml:space="preserve"> 6 </w:t>
      </w:r>
      <w:r>
        <w:rPr>
          <w:rFonts w:ascii="Calibri" w:cs="Calibri" w:eastAsia="Calibri" w:hAnsi="Calibri"/>
          <w:b/>
          <w:bCs/>
          <w:color w:val="0D2A52"/>
          <w:sz w:val="24"/>
          <w:szCs w:val="24"/>
        </w:rPr>
        <w:t xml:space="preserve">  Cross-Cutting Concerns</w:t>
      </w:r>
    </w:p>
    <w:p>
      <w:pPr>
        <w:pStyle w:val="ListParagraph"/>
        <w:numPr>
          <w:ilvl w:val="0"/>
          <w:numId w:val="2"/>
        </w:numPr>
        <w:spacing w:after="30" w:line="252"/>
      </w:pPr>
      <w:r>
        <w:rPr>
          <w:rFonts w:ascii="Calibri" w:cs="Calibri" w:eastAsia="Calibri" w:hAnsi="Calibri"/>
          <w:b/>
          <w:bCs/>
          <w:color w:val="0D2A52"/>
          <w:sz w:val="19"/>
          <w:szCs w:val="19"/>
        </w:rPr>
        <w:t xml:space="preserve">Security:</w:t>
      </w:r>
      <w:r>
        <w:rPr>
          <w:rFonts w:ascii="Calibri" w:cs="Calibri" w:eastAsia="Calibri" w:hAnsi="Calibri"/>
          <w:sz w:val="19"/>
          <w:szCs w:val="19"/>
        </w:rPr>
        <w:t xml:space="preserve"> no outbound calls; header and statistics only (no payload); raw traffic never leaves the node.</w:t>
      </w:r>
    </w:p>
    <w:p>
      <w:pPr>
        <w:pStyle w:val="ListParagraph"/>
        <w:numPr>
          <w:ilvl w:val="0"/>
          <w:numId w:val="2"/>
        </w:numPr>
        <w:spacing w:after="30" w:line="252"/>
      </w:pPr>
      <w:r>
        <w:rPr>
          <w:rFonts w:ascii="Calibri" w:cs="Calibri" w:eastAsia="Calibri" w:hAnsi="Calibri"/>
          <w:b/>
          <w:bCs/>
          <w:color w:val="0D2A52"/>
          <w:sz w:val="19"/>
          <w:szCs w:val="19"/>
        </w:rPr>
        <w:t xml:space="preserve">Integrity:</w:t>
      </w:r>
      <w:r>
        <w:rPr>
          <w:rFonts w:ascii="Calibri" w:cs="Calibri" w:eastAsia="Calibri" w:hAnsi="Calibri"/>
          <w:sz w:val="19"/>
          <w:szCs w:val="19"/>
        </w:rPr>
        <w:t xml:space="preserve"> every prediction, model load (weights hashed), training manifest and analyst action is hash-chained; any edit or deletion is detected on verification.</w:t>
      </w:r>
    </w:p>
    <w:p>
      <w:pPr>
        <w:pStyle w:val="ListParagraph"/>
        <w:numPr>
          <w:ilvl w:val="0"/>
          <w:numId w:val="2"/>
        </w:numPr>
        <w:spacing w:after="30" w:line="252"/>
      </w:pPr>
      <w:r>
        <w:rPr>
          <w:rFonts w:ascii="Calibri" w:cs="Calibri" w:eastAsia="Calibri" w:hAnsi="Calibri"/>
          <w:b/>
          <w:bCs/>
          <w:color w:val="0D2A52"/>
          <w:sz w:val="19"/>
          <w:szCs w:val="19"/>
        </w:rPr>
        <w:t xml:space="preserve">Model safety:</w:t>
      </w:r>
      <w:r>
        <w:rPr>
          <w:rFonts w:ascii="Calibri" w:cs="Calibri" w:eastAsia="Calibri" w:hAnsi="Calibri"/>
          <w:sz w:val="19"/>
          <w:szCs w:val="19"/>
        </w:rPr>
        <w:t xml:space="preserve"> incompatible checkpoints are refused; training data is verified against its chained manifest; a model is auto-rolled back if its FPR on reviewed alerts exceeds 2× its predecessor's.</w:t>
      </w:r>
    </w:p>
    <w:p>
      <w:pPr>
        <w:pStyle w:val="ListParagraph"/>
        <w:numPr>
          <w:ilvl w:val="0"/>
          <w:numId w:val="2"/>
        </w:numPr>
        <w:spacing w:after="30" w:line="252"/>
      </w:pPr>
      <w:r>
        <w:rPr>
          <w:rFonts w:ascii="Calibri" w:cs="Calibri" w:eastAsia="Calibri" w:hAnsi="Calibri"/>
          <w:b/>
          <w:bCs/>
          <w:color w:val="0D2A52"/>
          <w:sz w:val="19"/>
          <w:szCs w:val="19"/>
        </w:rPr>
        <w:t xml:space="preserve">Feedback poisoning:</w:t>
      </w:r>
      <w:r>
        <w:rPr>
          <w:rFonts w:ascii="Calibri" w:cs="Calibri" w:eastAsia="Calibri" w:hAnsi="Calibri"/>
          <w:sz w:val="19"/>
          <w:szCs w:val="19"/>
        </w:rPr>
        <w:t xml:space="preserve"> analyst verdicts are audited for suspicious volume, pattern and timing before retraining.</w:t>
      </w:r>
    </w:p>
    <w:p>
      <w:pPr>
        <w:pStyle w:val="ListParagraph"/>
        <w:numPr>
          <w:ilvl w:val="0"/>
          <w:numId w:val="2"/>
        </w:numPr>
        <w:spacing w:after="30" w:line="252"/>
      </w:pPr>
      <w:r>
        <w:rPr>
          <w:rFonts w:ascii="Calibri" w:cs="Calibri" w:eastAsia="Calibri" w:hAnsi="Calibri"/>
          <w:b/>
          <w:bCs/>
          <w:color w:val="0D2A52"/>
          <w:sz w:val="19"/>
          <w:szCs w:val="19"/>
        </w:rPr>
        <w:t xml:space="preserve">Compliance:</w:t>
      </w:r>
      <w:r>
        <w:rPr>
          <w:rFonts w:ascii="Calibri" w:cs="Calibri" w:eastAsia="Calibri" w:hAnsi="Calibri"/>
          <w:sz w:val="19"/>
          <w:szCs w:val="19"/>
        </w:rPr>
        <w:t xml:space="preserve"> NCIIPC CII mandate (IT Act s.70A), CERT-In 6-hour reporting (explainable, timestamped records), DPDP Act 2023 data minimisation.</w:t>
      </w:r>
    </w:p>
    <w:p>
      <w:pPr>
        <w:pStyle w:val="ListParagraph"/>
        <w:numPr>
          <w:ilvl w:val="0"/>
          <w:numId w:val="2"/>
        </w:numPr>
        <w:spacing w:after="30" w:line="252"/>
      </w:pPr>
      <w:r>
        <w:rPr>
          <w:rFonts w:ascii="Calibri" w:cs="Calibri" w:eastAsia="Calibri" w:hAnsi="Calibri"/>
          <w:b/>
          <w:bCs/>
          <w:color w:val="0D2A52"/>
          <w:sz w:val="19"/>
          <w:szCs w:val="19"/>
        </w:rPr>
        <w:t xml:space="preserve">Reproducibility:</w:t>
      </w:r>
      <w:r>
        <w:rPr>
          <w:rFonts w:ascii="Calibri" w:cs="Calibri" w:eastAsia="Calibri" w:hAnsi="Calibri"/>
          <w:sz w:val="19"/>
          <w:szCs w:val="19"/>
        </w:rPr>
        <w:t xml:space="preserve"> fixed seeds, config saved per checkpoint, 104 automated tests, one-command benchmark suite.</w:t>
      </w:r>
    </w:p>
    <w:p>
      <w:pPr>
        <w:keepNext/>
        <w:spacing w:after="70" w:before="160"/>
      </w:pPr>
      <w:r>
        <w:rPr>
          <w:rFonts w:ascii="Calibri" w:cs="Calibri" w:eastAsia="Calibri" w:hAnsi="Calibri"/>
          <w:b/>
          <w:bCs/>
          <w:color w:val="FFFFFF"/>
          <w:sz w:val="20"/>
          <w:szCs w:val="20"/>
          <w:shd w:fill="C8541A" w:val="clear"/>
        </w:rPr>
        <w:t xml:space="preserve"> 7 </w:t>
      </w:r>
      <w:r>
        <w:rPr>
          <w:rFonts w:ascii="Calibri" w:cs="Calibri" w:eastAsia="Calibri" w:hAnsi="Calibri"/>
          <w:b/>
          <w:bCs/>
          <w:color w:val="0D2A52"/>
          <w:sz w:val="24"/>
          <w:szCs w:val="24"/>
        </w:rPr>
        <w:t xml:space="preserve">  Technology Stack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4506"/>
      </w:tblGrid>
      <w:tr>
        <w:trPr>
          <w:cantSplit/>
          <w:tblHeader/>
        </w:trPr>
        <w:tc>
          <w:tcPr>
            <w:tcW w:type="dxa" w:w="1900"/>
            <w:tcBorders>
              <w:top w:val="single" w:color="DDE3EC" w:sz="4"/>
              <w:left w:val="none" w:color="FFFFFF" w:sz="0"/>
              <w:bottom w:val="single" w:color="DDE3EC" w:sz="4"/>
              <w:right w:val="none" w:color="FFFFFF" w:sz="0"/>
            </w:tcBorders>
            <w:shd w:fill="0D2A52"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Layer</w:t>
            </w:r>
          </w:p>
        </w:tc>
        <w:tc>
          <w:tcPr>
            <w:tcW w:type="dxa" w:w="3800"/>
            <w:tcBorders>
              <w:top w:val="single" w:color="DDE3EC" w:sz="4"/>
              <w:left w:val="none" w:color="FFFFFF" w:sz="0"/>
              <w:bottom w:val="single" w:color="DDE3EC" w:sz="4"/>
              <w:right w:val="none" w:color="FFFFFF" w:sz="0"/>
            </w:tcBorders>
            <w:shd w:fill="0D2A52"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Technology</w:t>
            </w:r>
          </w:p>
        </w:tc>
        <w:tc>
          <w:tcPr>
            <w:tcW w:type="dxa" w:w="4506"/>
            <w:tcBorders>
              <w:top w:val="single" w:color="DDE3EC" w:sz="4"/>
              <w:left w:val="none" w:color="FFFFFF" w:sz="0"/>
              <w:bottom w:val="single" w:color="DDE3EC" w:sz="4"/>
              <w:right w:val="none" w:color="FFFFFF" w:sz="0"/>
            </w:tcBorders>
            <w:shd w:fill="0D2A52"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Why</w:t>
            </w:r>
          </w:p>
        </w:tc>
      </w:tr>
      <w:tr>
        <w:trPr>
          <w:cantSplit/>
          <w:tblHeader w:val="false"/>
        </w:trPr>
        <w:tc>
          <w:tcPr>
            <w:tcW w:type="dxa" w:w="19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AI model</w:t>
            </w:r>
          </w:p>
        </w:tc>
        <w:tc>
          <w:tcPr>
            <w:tcW w:type="dxa" w:w="38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NetJEPA (PyTorch)</w:t>
            </w:r>
          </w:p>
        </w:tc>
        <w:tc>
          <w:tcPr>
            <w:tcW w:type="dxa" w:w="45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Forecasts attacks, not just classifies them; runs on CPU</w:t>
            </w:r>
          </w:p>
        </w:tc>
      </w:tr>
      <w:tr>
        <w:trPr>
          <w:cantSplit/>
          <w:tblHeader w:val="false"/>
        </w:trPr>
        <w:tc>
          <w:tcPr>
            <w:tcW w:type="dxa" w:w="19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Graph learning</w:t>
            </w:r>
          </w:p>
        </w:tc>
        <w:tc>
          <w:tcPr>
            <w:tcW w:type="dxa" w:w="38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PyTorch Geometric (HGT)</w:t>
            </w:r>
          </w:p>
        </w:tc>
        <w:tc>
          <w:tcPr>
            <w:tcW w:type="dxa" w:w="45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Models how hosts connect</w:t>
            </w:r>
          </w:p>
        </w:tc>
      </w:tr>
      <w:tr>
        <w:trPr>
          <w:cantSplit/>
          <w:tblHeader w:val="false"/>
        </w:trPr>
        <w:tc>
          <w:tcPr>
            <w:tcW w:type="dxa" w:w="19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Ingestion</w:t>
            </w:r>
          </w:p>
        </w:tc>
        <w:tc>
          <w:tcPr>
            <w:tcW w:type="dxa" w:w="38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Custom PCAP parser</w:t>
            </w:r>
          </w:p>
        </w:tc>
        <w:tc>
          <w:tcPr>
            <w:tcW w:type="dxa" w:w="45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~10× faster than Scapy</w:t>
            </w:r>
          </w:p>
        </w:tc>
      </w:tr>
      <w:tr>
        <w:trPr>
          <w:cantSplit/>
          <w:tblHeader w:val="false"/>
        </w:trPr>
        <w:tc>
          <w:tcPr>
            <w:tcW w:type="dxa" w:w="19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Explainability</w:t>
            </w:r>
          </w:p>
        </w:tc>
        <w:tc>
          <w:tcPr>
            <w:tcW w:type="dxa" w:w="38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IG, SAE, tuned lens, probes</w:t>
            </w:r>
          </w:p>
        </w:tc>
        <w:tc>
          <w:tcPr>
            <w:tcW w:type="dxa" w:w="45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Explains the model's actual reasoning</w:t>
            </w:r>
          </w:p>
        </w:tc>
      </w:tr>
      <w:tr>
        <w:trPr>
          <w:cantSplit/>
          <w:tblHeader w:val="false"/>
        </w:trPr>
        <w:tc>
          <w:tcPr>
            <w:tcW w:type="dxa" w:w="19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Ledger</w:t>
            </w:r>
          </w:p>
        </w:tc>
        <w:tc>
          <w:tcPr>
            <w:tcW w:type="dxa" w:w="38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Hash chain + Merkle, smart contracts</w:t>
            </w:r>
          </w:p>
        </w:tc>
        <w:tc>
          <w:tcPr>
            <w:tcW w:type="dxa" w:w="45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Tamper-evident, fully offline</w:t>
            </w:r>
          </w:p>
        </w:tc>
      </w:tr>
      <w:tr>
        <w:trPr>
          <w:cantSplit/>
          <w:tblHeader w:val="false"/>
        </w:trPr>
        <w:tc>
          <w:tcPr>
            <w:tcW w:type="dxa" w:w="19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Backend / UI</w:t>
            </w:r>
          </w:p>
        </w:tc>
        <w:tc>
          <w:tcPr>
            <w:tcW w:type="dxa" w:w="38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FastAPI, React + TypeScript, CLI</w:t>
            </w:r>
          </w:p>
        </w:tc>
        <w:tc>
          <w:tcPr>
            <w:tcW w:type="dxa" w:w="45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Live dashboard, no external calls</w:t>
            </w:r>
          </w:p>
        </w:tc>
      </w:tr>
      <w:tr>
        <w:trPr>
          <w:cantSplit/>
          <w:tblHeader w:val="false"/>
        </w:trPr>
        <w:tc>
          <w:tcPr>
            <w:tcW w:type="dxa" w:w="19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Storage</w:t>
            </w:r>
          </w:p>
        </w:tc>
        <w:tc>
          <w:tcPr>
            <w:tcW w:type="dxa" w:w="3800"/>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SQLite (WAL)</w:t>
            </w:r>
          </w:p>
        </w:tc>
        <w:tc>
          <w:tcPr>
            <w:tcW w:type="dxa" w:w="4506"/>
            <w:tcBorders>
              <w:top w:val="single" w:color="DDE3EC" w:sz="4"/>
              <w:left w:val="none" w:color="FFFFFF" w:sz="0"/>
              <w:bottom w:val="single" w:color="DDE3EC" w:sz="4"/>
              <w:right w:val="none" w:color="FFFFFF" w:sz="0"/>
            </w:tcBorders>
            <w:tcMar>
              <w:top w:type="dxa" w:w="40"/>
              <w:left w:type="dxa" w:w="80"/>
              <w:bottom w:type="dxa" w:w="40"/>
              <w:right w:type="dxa" w:w="80"/>
            </w:tcMar>
          </w:tcPr>
          <w:p>
            <w:pPr>
              <w:spacing w:after="0"/>
            </w:pPr>
            <w:r>
              <w:rPr>
                <w:rFonts w:ascii="Calibri" w:cs="Calibri" w:eastAsia="Calibri" w:hAnsi="Calibri"/>
                <w:sz w:val="17"/>
                <w:szCs w:val="17"/>
              </w:rPr>
              <w:t xml:space="preserve">Serverless, suited to air-gapped nodes</w:t>
            </w:r>
          </w:p>
        </w:tc>
      </w:tr>
    </w:tbl>
    <w:p>
      <w:pPr>
        <w:keepNext/>
        <w:spacing w:after="70" w:before="160"/>
      </w:pPr>
      <w:r>
        <w:rPr>
          <w:rFonts w:ascii="Calibri" w:cs="Calibri" w:eastAsia="Calibri" w:hAnsi="Calibri"/>
          <w:b/>
          <w:bCs/>
          <w:color w:val="FFFFFF"/>
          <w:sz w:val="20"/>
          <w:szCs w:val="20"/>
          <w:shd w:fill="C8541A" w:val="clear"/>
        </w:rPr>
        <w:t xml:space="preserve"> 8 </w:t>
      </w:r>
      <w:r>
        <w:rPr>
          <w:rFonts w:ascii="Calibri" w:cs="Calibri" w:eastAsia="Calibri" w:hAnsi="Calibri"/>
          <w:b/>
          <w:bCs/>
          <w:color w:val="0D2A52"/>
          <w:sz w:val="24"/>
          <w:szCs w:val="24"/>
        </w:rPr>
        <w:t xml:space="preserve">  Validation Summary and Known Limitations</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FFFFFF" w:sz="12"/>
              <w:left w:val="single" w:color="FFFFFF" w:sz="12"/>
              <w:bottom w:val="single" w:color="FFFFFF" w:sz="12"/>
              <w:right w:val="single" w:color="FFFFFF" w:sz="12"/>
            </w:tcBorders>
            <w:shd w:fill="0D2A52" w:val="clear"/>
            <w:tcMar>
              <w:top w:type="dxa" w:w="60"/>
              <w:left w:type="dxa" w:w="60"/>
              <w:bottom w:type="dxa" w:w="60"/>
              <w:right w:type="dxa" w:w="60"/>
            </w:tcMar>
          </w:tcPr>
          <w:p>
            <w:pPr>
              <w:spacing w:after="0"/>
              <w:jc w:val="center"/>
            </w:pPr>
            <w:r>
              <w:rPr>
                <w:rFonts w:ascii="Calibri" w:cs="Calibri" w:eastAsia="Calibri" w:hAnsi="Calibri"/>
                <w:b/>
                <w:bCs/>
                <w:color w:val="FFD58A"/>
                <w:sz w:val="24"/>
                <w:szCs w:val="24"/>
              </w:rPr>
              <w:t xml:space="preserve">0.86 vs 0.49</w:t>
            </w:r>
          </w:p>
          <w:p>
            <w:pPr>
              <w:spacing w:after="0"/>
              <w:jc w:val="center"/>
            </w:pPr>
            <w:r>
              <w:rPr>
                <w:rFonts w:ascii="Calibri" w:cs="Calibri" w:eastAsia="Calibri" w:hAnsi="Calibri"/>
                <w:color w:val="FFFFFF"/>
                <w:sz w:val="16"/>
                <w:szCs w:val="16"/>
              </w:rPr>
              <w:t xml:space="preserve">F1 vs logistic-regression baseline</w:t>
            </w:r>
          </w:p>
        </w:tc>
        <w:tc>
          <w:tcPr>
            <w:tcW w:type="dxa" w:w="2551"/>
            <w:tcBorders>
              <w:top w:val="single" w:color="FFFFFF" w:sz="12"/>
              <w:left w:val="single" w:color="FFFFFF" w:sz="12"/>
              <w:bottom w:val="single" w:color="FFFFFF" w:sz="12"/>
              <w:right w:val="single" w:color="FFFFFF" w:sz="12"/>
            </w:tcBorders>
            <w:shd w:fill="0D2A52" w:val="clear"/>
            <w:tcMar>
              <w:top w:type="dxa" w:w="60"/>
              <w:left w:type="dxa" w:w="60"/>
              <w:bottom w:type="dxa" w:w="60"/>
              <w:right w:type="dxa" w:w="60"/>
            </w:tcMar>
          </w:tcPr>
          <w:p>
            <w:pPr>
              <w:spacing w:after="0"/>
              <w:jc w:val="center"/>
            </w:pPr>
            <w:r>
              <w:rPr>
                <w:rFonts w:ascii="Calibri" w:cs="Calibri" w:eastAsia="Calibri" w:hAnsi="Calibri"/>
                <w:b/>
                <w:bCs/>
                <w:color w:val="FFD58A"/>
                <w:sz w:val="24"/>
                <w:szCs w:val="24"/>
              </w:rPr>
              <w:t xml:space="preserve">6.3% vs 29%</w:t>
            </w:r>
          </w:p>
          <w:p>
            <w:pPr>
              <w:spacing w:after="0"/>
              <w:jc w:val="center"/>
            </w:pPr>
            <w:r>
              <w:rPr>
                <w:rFonts w:ascii="Calibri" w:cs="Calibri" w:eastAsia="Calibri" w:hAnsi="Calibri"/>
                <w:color w:val="FFFFFF"/>
                <w:sz w:val="16"/>
                <w:szCs w:val="16"/>
              </w:rPr>
              <w:t xml:space="preserve">false-positive rate</w:t>
            </w:r>
          </w:p>
        </w:tc>
        <w:tc>
          <w:tcPr>
            <w:tcW w:type="dxa" w:w="2551"/>
            <w:tcBorders>
              <w:top w:val="single" w:color="FFFFFF" w:sz="12"/>
              <w:left w:val="single" w:color="FFFFFF" w:sz="12"/>
              <w:bottom w:val="single" w:color="FFFFFF" w:sz="12"/>
              <w:right w:val="single" w:color="FFFFFF" w:sz="12"/>
            </w:tcBorders>
            <w:shd w:fill="0D2A52" w:val="clear"/>
            <w:tcMar>
              <w:top w:type="dxa" w:w="60"/>
              <w:left w:type="dxa" w:w="60"/>
              <w:bottom w:type="dxa" w:w="60"/>
              <w:right w:type="dxa" w:w="60"/>
            </w:tcMar>
          </w:tcPr>
          <w:p>
            <w:pPr>
              <w:spacing w:after="0"/>
              <w:jc w:val="center"/>
            </w:pPr>
            <w:r>
              <w:rPr>
                <w:rFonts w:ascii="Calibri" w:cs="Calibri" w:eastAsia="Calibri" w:hAnsi="Calibri"/>
                <w:b/>
                <w:bCs/>
                <w:color w:val="FFD58A"/>
                <w:sz w:val="24"/>
                <w:szCs w:val="24"/>
              </w:rPr>
              <w:t xml:space="preserve">0.96–0.97</w:t>
            </w:r>
          </w:p>
          <w:p>
            <w:pPr>
              <w:spacing w:after="0"/>
              <w:jc w:val="center"/>
            </w:pPr>
            <w:r>
              <w:rPr>
                <w:rFonts w:ascii="Calibri" w:cs="Calibri" w:eastAsia="Calibri" w:hAnsi="Calibri"/>
                <w:color w:val="FFFFFF"/>
                <w:sz w:val="16"/>
                <w:szCs w:val="16"/>
              </w:rPr>
              <w:t xml:space="preserve">forecast AUC, 1–3 windows ahead</w:t>
            </w:r>
          </w:p>
        </w:tc>
        <w:tc>
          <w:tcPr>
            <w:tcW w:type="dxa" w:w="2551"/>
            <w:tcBorders>
              <w:top w:val="single" w:color="FFFFFF" w:sz="12"/>
              <w:left w:val="single" w:color="FFFFFF" w:sz="12"/>
              <w:bottom w:val="single" w:color="FFFFFF" w:sz="12"/>
              <w:right w:val="single" w:color="FFFFFF" w:sz="12"/>
            </w:tcBorders>
            <w:shd w:fill="0D2A52" w:val="clear"/>
            <w:tcMar>
              <w:top w:type="dxa" w:w="60"/>
              <w:left w:type="dxa" w:w="60"/>
              <w:bottom w:type="dxa" w:w="60"/>
              <w:right w:type="dxa" w:w="60"/>
            </w:tcMar>
          </w:tcPr>
          <w:p>
            <w:pPr>
              <w:spacing w:after="0"/>
              <w:jc w:val="center"/>
            </w:pPr>
            <w:r>
              <w:rPr>
                <w:rFonts w:ascii="Calibri" w:cs="Calibri" w:eastAsia="Calibri" w:hAnsi="Calibri"/>
                <w:b/>
                <w:bCs/>
                <w:color w:val="FFD58A"/>
                <w:sz w:val="24"/>
                <w:szCs w:val="24"/>
              </w:rPr>
              <w:t xml:space="preserve">0.87 vs 0.62</w:t>
            </w:r>
          </w:p>
          <w:p>
            <w:pPr>
              <w:spacing w:after="0"/>
              <w:jc w:val="center"/>
            </w:pPr>
            <w:r>
              <w:rPr>
                <w:rFonts w:ascii="Calibri" w:cs="Calibri" w:eastAsia="Calibri" w:hAnsi="Calibri"/>
                <w:color w:val="FFFFFF"/>
                <w:sz w:val="16"/>
                <w:szCs w:val="16"/>
              </w:rPr>
              <w:t xml:space="preserve">F1, flow+packet vs flow only</w:t>
            </w:r>
          </w:p>
        </w:tc>
      </w:tr>
    </w:tbl>
    <w:p>
      <w:pPr>
        <w:spacing w:after="60" w:line="252"/>
      </w:pPr>
      <w:r>
        <w:rPr>
          <w:rFonts w:ascii="Calibri" w:cs="Calibri" w:eastAsia="Calibri" w:hAnsi="Calibri"/>
          <w:sz w:val="19"/>
          <w:szCs w:val="19"/>
        </w:rPr>
        <w:t xml:space="preserve">Held-out, time-split validation on 8,043 windows of CIC-IDS-2017 (flows + raw PCAP). </w:t>
      </w:r>
      <w:r>
        <w:rPr>
          <w:rFonts w:ascii="Calibri" w:cs="Calibri" w:eastAsia="Calibri" w:hAnsi="Calibri"/>
          <w:b/>
          <w:bCs/>
          <w:color w:val="0D2A52"/>
          <w:sz w:val="19"/>
          <w:szCs w:val="19"/>
        </w:rPr>
        <w:t xml:space="preserve">Limitations:</w:t>
      </w:r>
      <w:r>
        <w:rPr>
          <w:rFonts w:ascii="Calibri" w:cs="Calibri" w:eastAsia="Calibri" w:hAnsi="Calibri"/>
          <w:sz w:val="19"/>
          <w:szCs w:val="19"/>
        </w:rPr>
        <w:t xml:space="preserve"> leave-one-family-out tests show strong transfer to related families (unseen DDoS AUC 0.98) but weaker detection of dissimilar ones (PortScan AUC 0.58). Small feature perturbations can flip some detections. Lateral movement and exfiltration are rare in public data. </w:t>
      </w:r>
      <w:r>
        <w:rPr>
          <w:rFonts w:ascii="Calibri" w:cs="Calibri" w:eastAsia="Calibri" w:hAnsi="Calibri"/>
          <w:b/>
          <w:bCs/>
          <w:color w:val="0D2A52"/>
          <w:sz w:val="19"/>
          <w:szCs w:val="19"/>
        </w:rPr>
        <w:t xml:space="preserve">Mitigations:</w:t>
      </w:r>
      <w:r>
        <w:rPr>
          <w:rFonts w:ascii="Calibri" w:cs="Calibri" w:eastAsia="Calibri" w:hAnsi="Calibri"/>
          <w:sz w:val="19"/>
          <w:szCs w:val="19"/>
        </w:rPr>
        <w:t xml:space="preserve"> rule and per-host baseline ensemble, adversarial training, and cross-dataset training on CSE-CIC-IDS-2018, CTU-13 and site traffic.</w:t>
      </w:r>
    </w:p>
    <w:sectPr>
      <w:footerReference w:type="default" r:id="rId7"/>
      <w:pgSz w:w="11906" w:h="16838" w:orient="portrait"/>
      <w:pgMar w:top="680" w:right="850" w:bottom="64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Calibri" w:hAnsi="Calibri"/>
        <w:color w:val="7A8699"/>
        <w:sz w:val="15"/>
        <w:szCs w:val="15"/>
      </w:rPr>
      <w:t xml:space="preserve">KAVACH · Architecture Document</w:t>
    </w:r>
    <w:r>
      <w:rPr>
        <w:rFonts w:ascii="Calibri" w:cs="Calibri" w:eastAsia="Calibri" w:hAnsi="Calibri"/>
        <w:color w:val="7A8699"/>
        <w:sz w:val="15"/>
        <w:szCs w:val="15"/>
      </w:rPr>
      <w:t xml:space="preserve">	Team NetRunners · SIH 2026 · Made in India, for India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bc9ad84b97e7d6e93a2fe22871c8bbbf84ebbd.png"/><Relationship Id="rId9" Type="http://schemas.openxmlformats.org/officeDocument/2006/relationships/image" Target="media/f3be08e1c03d35cefa9ee35f105526a5d3fbd6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KAVACH System Architecture</dc:title>
  <dc:creator>Team NetRunners</dc:creator>
  <cp:lastModifiedBy>Un-named</cp:lastModifiedBy>
  <cp:revision>1</cp:revision>
  <dcterms:created xsi:type="dcterms:W3CDTF">2026-09-27T11:12:35.023Z</dcterms:created>
  <dcterms:modified xsi:type="dcterms:W3CDTF">2026-09-27T11:12:35.024Z</dcterms:modified>
</cp:coreProperties>
</file>

<file path=docProps/custom.xml><?xml version="1.0" encoding="utf-8"?>
<Properties xmlns="http://schemas.openxmlformats.org/officeDocument/2006/custom-properties" xmlns:vt="http://schemas.openxmlformats.org/officeDocument/2006/docPropsVTypes"/>
</file>