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trHeight w:val="14600" w:hRule="exact"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left w:type="dxa" w:w="600"/>
              <w:right w:type="dxa" w:w="600"/>
            </w:tcMar>
            <w:vAlign w:val="center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905000" cy="2133600"/>
                  <wp:effectExtent t="0" r="0" b="0" l="0"/>
                  <wp:docPr id="1" name="logo.png" descr="logo.png" title="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80"/>
                <w:sz w:val="80"/>
                <w:szCs w:val="80"/>
              </w:rPr>
              <w:t xml:space="preserve">KAVACH</w:t>
            </w:r>
          </w:p>
          <w:p>
            <w:pPr>
              <w:spacing w:after="360"/>
              <w:jc w:val="center"/>
            </w:pPr>
            <w:r>
              <w:rPr>
                <w:rFonts w:ascii="Calibri" w:cs="Calibri" w:eastAsia="Calibri" w:hAnsi="Calibri"/>
                <w:color w:val="FFD58A"/>
                <w:sz w:val="40"/>
                <w:szCs w:val="40"/>
              </w:rPr>
              <w:t xml:space="preserve">User Interface Showcase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0EE"/>
                <w:sz w:val="24"/>
                <w:szCs w:val="24"/>
              </w:rPr>
              <w:t xml:space="preserve">A Predictive NetJEPA and Blockchain Shield Guarding India's Critical Networks</w:t>
            </w:r>
          </w:p>
          <w:p>
            <w:pPr>
              <w:pBdr>
                <w:bottom w:val="single" w:color="C9962B" w:sz="8" w:space="12"/>
              </w:pBdr>
              <w:spacing w:after="600"/>
              <w:jc w:val="center"/>
            </w:pPr>
            <w:r>
              <w:rPr>
                <w:rFonts w:ascii="Calibri" w:cs="Calibri" w:eastAsia="Calibri" w:hAnsi="Calibri"/>
                <w:sz w:val="10"/>
                <w:szCs w:val="10"/>
              </w:rPr>
              <w:t xml:space="preserve"> 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Smart India Hackathon 2026  ·  Problem Statement SIH26153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FFFFFF"/>
                <w:sz w:val="22"/>
                <w:szCs w:val="22"/>
              </w:rPr>
              <w:t xml:space="preserve">National Technical Research Organisation (NTRO)</w:t>
            </w:r>
          </w:p>
          <w:p>
            <w:pPr>
              <w:spacing w:after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8A"/>
                <w:sz w:val="22"/>
                <w:szCs w:val="22"/>
              </w:rPr>
              <w:t xml:space="preserve">Team NetRunners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0EE"/>
                <w:sz w:val="20"/>
                <w:szCs w:val="20"/>
              </w:rPr>
              <w:t xml:space="preserve">Made in India, for India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850" w:right="850" w:bottom="850" w:left="850" w:header="708" w:footer="708" w:gutter="0"/>
          <w:pgNumType/>
          <w:docGrid w:linePitch="360"/>
        </w:sectPr>
      </w:pPr>
    </w:p>
    <w:p>
      <w:pPr>
        <w:pStyle w:val="Heading1"/>
        <w:keepNext/>
        <w:spacing w:after="120" w:before="120"/>
      </w:pPr>
      <w:r>
        <w:rPr>
          <w:rFonts w:ascii="Calibri" w:cs="Calibri" w:eastAsia="Calibri" w:hAnsi="Calibri"/>
          <w:b/>
          <w:bCs/>
          <w:color w:val="0D2A52"/>
          <w:sz w:val="34"/>
          <w:szCs w:val="34"/>
        </w:rPr>
        <w:t xml:space="preserve">About This Document</w:t>
      </w:r>
    </w:p>
    <w:p>
      <w:pPr>
        <w:spacing w:after="8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This document walks through the KAVACH analyst console, screen by screen, in the order an analyst would use it: from loading traffic, to seeing a forecast, understanding why it was raised, acting on it, and proving afterwards that nothing was altered. Every screen shown runs </w:t>
      </w:r>
      <w:r>
        <w:rPr>
          <w:rFonts w:ascii="Calibri" w:cs="Calibri" w:eastAsia="Calibri" w:hAnsi="Calibri"/>
          <w:b/>
          <w:bCs/>
          <w:color w:val="0D2A52"/>
          <w:sz w:val="20"/>
          <w:szCs w:val="20"/>
        </w:rPr>
        <w:t xml:space="preserve">fully offline</w:t>
      </w:r>
      <w:r>
        <w:rPr>
          <w:rFonts w:ascii="Calibri" w:cs="Calibri" w:eastAsia="Calibri" w:hAnsi="Calibri"/>
          <w:sz w:val="20"/>
          <w:szCs w:val="20"/>
        </w:rPr>
        <w:t xml:space="preserve"> on a single CPU machine, with </w:t>
      </w:r>
      <w:r>
        <w:rPr>
          <w:rFonts w:ascii="Calibri" w:cs="Calibri" w:eastAsia="Calibri" w:hAnsi="Calibri"/>
          <w:b/>
          <w:bCs/>
          <w:color w:val="0D2A52"/>
          <w:sz w:val="20"/>
          <w:szCs w:val="20"/>
        </w:rPr>
        <w:t xml:space="preserve">zero external requests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0D2A52"/>
          <w:sz w:val="24"/>
          <w:szCs w:val="24"/>
        </w:rPr>
        <w:t xml:space="preserve">At a glance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1"/>
        <w:gridCol w:w="2551"/>
        <w:gridCol w:w="2552"/>
        <w:gridCol w:w="2552"/>
      </w:tblGrid>
      <w:tr>
        <w:tc>
          <w:tcPr>
            <w:tcW w:type="dxa" w:w="2551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D2A5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8A"/>
                <w:sz w:val="34"/>
                <w:szCs w:val="34"/>
              </w:rPr>
              <w:t xml:space="preserve">0.86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F1 vs 0.49 baseline</w:t>
            </w:r>
          </w:p>
        </w:tc>
        <w:tc>
          <w:tcPr>
            <w:tcW w:type="dxa" w:w="2551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D2A5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8A"/>
                <w:sz w:val="34"/>
                <w:szCs w:val="34"/>
              </w:rPr>
              <w:t xml:space="preserve">78%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fewer false alarms</w:t>
            </w:r>
          </w:p>
        </w:tc>
        <w:tc>
          <w:tcPr>
            <w:tcW w:type="dxa" w:w="2551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D2A5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8A"/>
                <w:sz w:val="34"/>
                <w:szCs w:val="34"/>
              </w:rPr>
              <w:t xml:space="preserve">0.96–0.97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forecast AUC, 1–3 steps ahead</w:t>
            </w:r>
          </w:p>
        </w:tc>
        <w:tc>
          <w:tcPr>
            <w:tcW w:type="dxa" w:w="2551"/>
            <w:tcBorders>
              <w:top w:val="single" w:color="FFFFFF" w:sz="16"/>
              <w:left w:val="single" w:color="FFFFFF" w:sz="16"/>
              <w:bottom w:val="single" w:color="FFFFFF" w:sz="16"/>
              <w:right w:val="single" w:color="FFFFFF" w:sz="16"/>
            </w:tcBorders>
            <w:shd w:fill="0D2A52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D58A"/>
                <w:sz w:val="34"/>
                <w:szCs w:val="34"/>
              </w:rPr>
              <w:t xml:space="preserve">100%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offline · 5 MB model · CPU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0D2A52"/>
          <w:sz w:val="24"/>
          <w:szCs w:val="24"/>
        </w:rPr>
        <w:t xml:space="preserve">How the console fits the system</w:t>
      </w:r>
    </w:p>
    <w:p>
      <w:pPr>
        <w:spacing w:after="40"/>
        <w:jc w:val="center"/>
      </w:pPr>
      <w:r>
        <w:drawing>
          <wp:inline distT="0" distB="0" distL="0" distR="0">
            <wp:extent cx="6286500" cy="3305175"/>
            <wp:effectExtent t="0" r="0" b="0" l="0"/>
            <wp:docPr id="1" name="arch.png" descr="arch.png" title="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0.1  KAVACH processing pipeline and dashboard user flow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D2A52"/>
          <w:sz w:val="24"/>
          <w:szCs w:val="24"/>
        </w:rPr>
        <w:t xml:space="preserve">Design principles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606"/>
      </w:tblGrid>
      <w:tr>
        <w:trPr>
          <w:cantSplit/>
          <w:tblHeader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How the interface delivers it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 first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Every view leads with where the network is heading, not only what already happened.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 everything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Any alert opens its evidence in one click: features, concepts and model reasoning.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Human in control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Analysts confirm, dismiss or override; the AI never acts silently on sensitive zones.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Provable record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prediction and decision carries a ledger link that can be verified on screen.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Air-gap native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No CDN, fonts or telemetry loaded from the internet; works on an isolated network.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Accessible</w:t>
            </w:r>
          </w:p>
        </w:tc>
        <w:tc>
          <w:tcPr>
            <w:tcW w:type="dxa" w:w="76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Keyboard navigation, screen-reader tables for every chart, high contrast and reduced motion.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cs="Calibri" w:eastAsia="Calibri" w:hAnsi="Calibri"/>
          <w:b/>
          <w:bCs/>
          <w:color w:val="0D2A52"/>
          <w:sz w:val="34"/>
          <w:szCs w:val="34"/>
        </w:rPr>
        <w:t xml:space="preserve">Screen Map</w:t>
      </w:r>
    </w:p>
    <w:p>
      <w:pPr>
        <w:spacing w:after="12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console is organised into six areas. Section numbers below match the chapters of this document.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400"/>
        <w:gridCol w:w="4406"/>
      </w:tblGrid>
      <w:tr>
        <w:trPr>
          <w:cantSplit/>
          <w:tblHeader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 / route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Landing &amp; Access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  ·  login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Entry point, secure sign-in and clearance-based access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Traffic Ingestion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/ingest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 PCAP or flow records and watch them become network states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Dashboard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/dashboard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Live risk, forecasts, ATT&amp;CK coverage and the event feed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Investigation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/flows  ·  window detail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windows, inspect hosts, stage and progression risk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panels  ·  /internals/attention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Six-layer explanation of every prediction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World-Model Internals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/internals/pipeline · network · forecast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 NetJEPA encode, graph and roll the network forward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Response &amp; Feedback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alert panels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Prioritised playbook and analyst verdicts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Forensics &amp; Trust Ledger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/forensics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verification, smart contracts, provenance, sync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/benchmark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Measured performance against the required baseline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J</w:t>
            </w:r>
          </w:p>
        </w:tc>
        <w:tc>
          <w:tcPr>
            <w:tcW w:type="dxa" w:w="25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Accessibility &amp; CLI</w:t>
            </w:r>
          </w:p>
        </w:tc>
        <w:tc>
          <w:tcPr>
            <w:tcW w:type="dxa" w:w="24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panel  ·  terminal</w:t>
            </w:r>
          </w:p>
        </w:tc>
        <w:tc>
          <w:tcPr>
            <w:tcW w:type="dxa" w:w="44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Inclusive UI and a fully offline command-line tool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D2A52"/>
          <w:sz w:val="24"/>
          <w:szCs w:val="24"/>
        </w:rPr>
        <w:t xml:space="preserve">Demo journey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6806"/>
      </w:tblGrid>
      <w:tr>
        <w:trPr>
          <w:cantSplit/>
          <w:tblHeader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Analyst action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KAVACH shows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Signs in to the zone console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 strength matched to the zone's classification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Loads a traffic capture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Parsing, 5-second windows and graph construction in real time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Watches the dashboard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Risk rising before the attack escalates, with a forecast band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Opens the alert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ATT&amp;CK stage, affected hosts and the attack narrative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Asks "why?"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features, learned concepts and layer-by-layer reasoning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Acts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Ready-to-run response plan; confirm or dismiss with one click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Proves it</w:t>
            </w:r>
          </w:p>
        </w:tc>
        <w:tc>
          <w:tcPr>
            <w:tcW w:type="dxa" w:w="68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Ledger verification shows the record is intact and untouched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A · Landing &amp; Access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First impression, secure sign-in and security that scales with network sensitivity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A.1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Landing Page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entry point introduces KAVACH's promise in one screen: forecasting, explainability and sovereign, offline operation, with a live strip of recent forecast alerts.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Landing Page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A.1  Landing Page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Headline value proposition and NetJEPA forecasting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Recent KAVACH forecast alerts ticker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Capability highlights: attribution, provenance, human-in-the-loop, air-gap ready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Sets the context for evaluators in seconds and signals that this is built for classified, air-gapped environments.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A.2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Secure Analyst Login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Login dialog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Analysts sign in to their zone's own KAVACH node. Every login attempt is written to the ledger.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Secure Analyst Login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A.2  Secure Analyst Login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Credential check with retry and lockout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Session tied to the analyst's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event chained to the audit trail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 is the first line of defence; recording every login makes insider misuse visible.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A.3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Classification-Based Access Tiers</w:t>
      </w:r>
      <w:r>
        <w:rPr>
          <w:rFonts w:ascii="Calibri" w:cs="Calibri" w:eastAsia="Calibri" w:hAnsi="Calibri"/>
          <w:b/>
          <w:bCs/>
          <w:caps/>
          <w:color w:val="C9962B"/>
          <w:sz w:val="16"/>
          <w:szCs w:val="16"/>
        </w:rPr>
        <w:t xml:space="preserve">   Deployment design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Tiered dashboards (mock-up)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Security controls scale with network sensitivity: login strength and response authority increase from Routine to Mission-Critical zones.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Classification-Based Access Tiers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A.3  Classification-Based Access Tiers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Low: password + role, approved responses auto-execute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Moderate: + MFA, analyst confirms each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High: hardware key, two-person approval or escalation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Threat indicators flow upward only, never down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Mirrors how Indian CII actually classifies networks, so classified data never leaks to a less sensitive zone.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B · Traffic Ingestion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From raw packets to network states the model can reason about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B.1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Capture Upload &amp; Dataset Loader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/ingest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Analysts load a PCAP/PCAPNG capture or flow records. KAVACH auto-detects CIC-IDS-2017, CSE-CIC-IDS-2018 and CTU-13 formats.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Capture Upload &amp; Dataset Loader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B.1  Capture Upload &amp; Dataset Loader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Drag-and-drop capture upload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One-click sample capture for demonstration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Auto-detected format and record counts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Works with the data organisations already collect; no new sensors or network changes needed.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B.2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Live Ingestion Progress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/ingest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custom parser streams the capture into 5-second windows, extracting 16 flow-level and 11 packet-level features per window.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Live Ingestion Progress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B.2  Live Ingestion Progress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Packets parsed and windows created in real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~10× faster than Scapy on large captures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 links to the dashboard and 3D pipeline view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flow-plus-packet requirement of the problem statement being met live, not in a slide.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C · Operations Dashboard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The analyst's command view: where the network is now, and where it is heading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C.1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Risk Gauge &amp; Current Forecast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 single calibrated risk score for the current window, alongside the forecast for the next three windows.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Risk Gauge &amp; Current Forecast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C.1  Risk Gauge &amp; Current Forecast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Calibrated infiltration 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forecast and predicted ATT&amp;CK stage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Colour-coded risk level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Answers the analyst's first question instantly: how worried should I be right now, and in the next few minutes?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C.2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Predictive Risk Timeline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Risk plotted window by window, with the forecast extending into the future as a p10–p90 confidence band.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Predictive Risk Timeline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C.2  Predictive Risk Timeline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Observed risk vs forecast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Uncertainty band around each prediction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Early rise before the attack escalates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is the core of KAVACH: warning before the breakout, with an honest measure of confidence.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C.3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Security Event Feed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 live stream of detections and forecasts, grouped into incidents rather than hundreds of isolated alerts.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Security Event Feed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C.3  Security Event Feed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Time-ordered alerts with stage and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Grouped incidents instead of alert floods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click to open full detail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78% fewer false alarms than the baseline means analysts spend time on real threats.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C.4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MITRE ATT&amp;CK Technique Coverage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Detected and forecast behaviour mapped onto the ATT&amp;CK matrix, from Reconnaissance to Exfiltration.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MITRE ATT&amp;CK Technique Coverage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C.4  MITRE ATT&amp;CK Technique Coverage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Highlighted tactics and techniques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vs forecast stages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Common language shared with CERTs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Speaks the framework SOCs, CERT-In and NCIIPC already use, so findings are immediately actionable.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C.5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Attack Chain Timeline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Related windows are stitched into one attack story, stepping through the kill chain.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Attack Chain Timeline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C.5  Attack Chain Timeline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Kill-chain stepper showing progression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Affected hosts and top features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Plain-language attack narrative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Turns scattered alerts into one incident an officer can brief upwards.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D · Investigation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Drill from the network view down to a single window and host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D.1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Flow &amp; Window Explorer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/flows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Every scored window in a searchable table, filterable by protocol, risk level and ATT&amp;CK stage.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Flow &amp; Window Explorer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D.1  Flow &amp; Window Explorer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Source/destination hosts, protocol,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Current and forecast risk side by side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Filters for critical windows and stages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Lets analysts triage fast and focus on the handful of windows that matter.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D.2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Window Detail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/flows → window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full picture for one window: hosts involved, stage and confidence, calibrated score and progression risk.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Window Detail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D.2  Window Detail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Stage with confidence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vs calibrated probability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P(progression to a later kill-chain stage)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into model internals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Everything needed to decide on a single alert, on a single screen.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E · Explainability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Six layers of evidence behind every prediction: no black boxes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E.1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Feature Attribution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Alert → Explain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Integrated Gradients show which traffic features pushed the risk up, measured against normal traffic.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Feature Attribution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E.1  Feature Attribution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 contributing features ranked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Expandable full attribution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Directly tied to the prediction shown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analyst sees exactly which ports, flags or flow statistics triggered the alert.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E.2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Learned Attack Concepts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Deep explanation panel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 sparse autoencoder reveals the patterns the model recognised: 1,231 active concepts, 88 specific to attacks.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Learned Attack Concepts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E.2  Learned Attack Concepts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Named, human-readable concepts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Concept activation for this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to similar past behaviour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Explains the model in the analyst's vocabulary, not in raw numbers.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E.3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Layer-by-Layer Reasoning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Deep explanation panel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Tuned lens and linear probes show how confidence builds through the model, from AUC 0.77 at the input to 0.96 at the output.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Layer-by-Layer Reasoning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E.3  Layer-by-Layer Reasoning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Stage of computation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 each layer "knows" (probes)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the decision is actually made (causal tracing)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Evidence that the model reasons the way it claims to, which evaluators rarely get to see.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E.4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Concept Bottleneck &amp; Analyst Override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Deep explanation panel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verdict is routed through ten human-readable concepts; an analyst can override any concept and see the verdict change instantly.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Concept Bottleneck &amp; Analyst Override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E.4  Concept Bottleneck &amp; Analyst Override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Ten concept sliders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re-scoring on override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Override recorded on the ledger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Puts the human genuinely in control of the AI's reasoning, not just its output.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E.5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Graph Attention Heatmap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/internals/attention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Which hosts and connections the graph encoder focused on when forming its view of the network.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Graph Attention Heatmap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E.5  Graph Attention Heatmap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Host-to-host attention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Hotspots around suspicious hosts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Accessible table alternative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the structural, who-talks-to-whom reasoning that flat classifiers cannot provide.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F · World-Model Internals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Watch NetJEPA encode the network and imagine its future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F.1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3D Processing Pipeline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/internals/pipeline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An animated, narrated view of each window travelling through ingestion, graph encoding, prediction and scoring.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3D Processing Pipeline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F.1  3D Processing Pipeline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Stage-by-stage narration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event stream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back to the source window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Makes a complex model understandable to non-specialist evaluators in under a minute.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F.2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Network State Graph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/internals/network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network as the model sees it: hosts as nodes, flows as edges, each coloured by its contribution to risk.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Network State Graph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F.2  Network State Graph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2D graph, 3D spatial scene and table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Per-host risk contribution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Suspicious hosts stand out immediately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Directly demonstrates the graph-based network state representation the problem statement asks for.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F.3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Forecast Rollout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/internals/forecast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NetJEPA rolls the network forward step by step; each future state is scored for infiltration probability.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Forecast Rollout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F.3  Forecast Rollout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Visual tree of predicted future states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Infiltration probability per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Chart and accessible-table views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P(Sₜ₊₁ | Sₜ) in action: the model predicting the network's next states, not just labelling the present.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G · Response &amp; Human Feedback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From insight to action, with the analyst in the loop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G.1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Prioritised Response Plan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Alert → Response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Each alert comes with immediate, short-term and ongoing actions, each mapped to a MITRE mitigation with a ready-to-run command.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Prioritised Response Plan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G.1  Prioritised Response Plan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Actions grouped by urgency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Copy-ready firewall and investigation commands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MITRE mitigation references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Cuts decision time from hours to minutes; KAVACH decides, the on-prem firewall enforces.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G.2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Analyst Verdict &amp; Feedback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Alert panel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Analysts confirm or mark each alert as a false positive. Verdicts are chained and audited before retraining.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Analyst Verdict &amp; Feedback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G.2  Analyst Verdict &amp; Feedback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 / False Positive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Verdict recorded on the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Feedback audited for poisoning before use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model improves safely from real analyst judgement without becoming a new attack surface.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H · Forensics &amp; Trust Ledger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Blockchain-backed proof that nothing was altered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Tamper-Evident Evidence Ledger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/dashboard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Every prediction, model load and analyst action is hash-chained; the ledger status is visible on the dashboard.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Tamper-Evident Evidence Ledger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H.1  Tamper-Evident Evidence Ledger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Chain length and integrity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Risk-tiered Merkle batching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Latest chained events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Evidence that cannot be quietly edited, which strengthens CERT-In reporting and forensic investigations.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Decision Audit Chain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Audit Decision Chain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complete, ordered history behind one decision: prediction, explanation, analyst action and outcome.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Decision Audit Chain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H.2  Decision Audit Chain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Step-by-step decision provenance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 links between records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version that produced the alert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Answers "who decided what, when, and based on which model?" for any incident.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Evidence Verification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/forensics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Re-derives a stored prediction and checks it against its chained hash and Merkle batch.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Evidence Verification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H.3  Evidence Verification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Select any window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Recomputed vs stored hash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Clear pass / tamper result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auditor can prove integrity in seconds instead of collecting logs by hand.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H.4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Smart Contracts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/forensics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Pre-agreed rules run over AI predictions and multi-node consensus; every execution is chained.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Smart Contracts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H.4  Smart Contracts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Auto-escalation of unacknowledged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3-node consensus before an IP block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Automatic rollback of a worse model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Removes single points of failure and single points of abuse from critical decisions.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H.5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Model Provenance &amp; Training-Data Integrity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/forensics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Shows which model weights produced every prediction, and whether their training data has changed.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Model Provenance &amp; Training-Data Integrity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H.5  Model Provenance &amp; Training-Data Integrity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identity chained on the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Training-manifest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Incompatible checkpoints refused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Protects against a poisoned or swapped model, a threat most security tools ignore.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H.6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AI Audit of Analyst Feedback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/forensics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Before any verdict is trusted for retraining, KAVACH checks the chained feedback for insider patterns, poisoning and after-the-fact edits.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AI Audit of Analyst Feedback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H.6  AI Audit of Analyst Feedback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Suspicious volume, pattern and timing flags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Edited-record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 / hold decision for retraining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Guards the learning loop itself against insiders.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H.7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Air-Gapped Node Sync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/forensics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Export this node's chain to secure media and import a peer's bundle, hash-verified before it is trusted.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Air-Gapped Node Sync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H.7  Air-Gapped Node Sync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Signed export bundle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Hash-verified import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network link required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Lets air-gapped sites and sectoral CERTs share intelligence without ever connecting.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I · Validation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Measured results, honestly reported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I.1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Benchmark: Headline Metrics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/benchmark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NetJEPA against the logistic-regression baseline required by the problem statement, on 8,043 held-out windows.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Benchmark: Headline Metrics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I.1  Benchmark: Headline Metrics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F1 0.86 vs 0.49 · AUC 0.96 vs 0.73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False-positive rate 6.3% vs 29%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Forecast AUC 0.96–0.97 for 1–3 steps ahead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Proves the approach works on real traffic the model never saw during training.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I.2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Validation Pyramid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/benchmark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Validation organised in five levels: outputs, world-model dynamics, both traffic levels and unseen attacks, representation, and mechanism.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Validation Pyramid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I.2  Validation Pyramid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Flow + packet: F1 0.87 vs 0.62 / 0.61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Leave-one-attack-out generalisation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Probes, causal tracing, SAE and tuned lens panels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Goes beyond accuracy to show the model has learned the right things for the right reasons.</w:t>
            </w:r>
          </w:p>
        </w:tc>
      </w:tr>
    </w:tbl>
    <w:p>
      <w:r>
        <w:br w:type="page"/>
      </w:r>
    </w:p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I.3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Trust &amp; Robustness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/benchmark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Calibration, uncertainty coverage and adversarial robustness, including the model's known limits.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Trust &amp; Robustness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I.3  Trust &amp; Robustness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Calibration error 0.049 → 0.033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90% intervals cover 95% of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Adversarial robustness and embedding health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Shows judges exactly where KAVACH can be relied on, and where it is still improving.</w:t>
            </w:r>
          </w:p>
        </w:tc>
      </w:tr>
    </w:tbl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A5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pStyle w:val="Heading1"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J · Accessibility &amp; Offline Operation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D6E0EE"/>
                <w:sz w:val="19"/>
                <w:szCs w:val="19"/>
              </w:rPr>
              <w:t xml:space="preserve">Built for every analyst, on every network</w:t>
            </w:r>
          </w:p>
        </w:tc>
      </w:tr>
    </w:tbl>
    <w:p>
      <w:pPr>
        <w:pStyle w:val="Heading2"/>
        <w:keepNext/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J.1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Accessibility Panel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Accessibility panel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Display and interaction settings for inclusive, long-shift operation.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Accessibility Panel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J.1  Accessibility Panel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 contrast, text scaling, reduced motion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keyboard navigation and screen-reader support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Table alternative for every chart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Government systems must be usable by everyone; KAVACH is accessible by design.</w:t>
            </w:r>
          </w:p>
        </w:tc>
      </w:tr>
    </w:tbl>
    <w:p>
      <w:pPr>
        <w:pStyle w:val="Heading2"/>
        <w:keepNext/>
        <w:spacing w:after="60" w:before="3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541A" w:val="clear"/>
        </w:rPr>
        <w:t xml:space="preserve"> J.2 </w:t>
      </w:r>
      <w:r>
        <w:rPr>
          <w:rFonts w:ascii="Calibri" w:cs="Calibri" w:eastAsia="Calibri" w:hAnsi="Calibri"/>
          <w:b/>
          <w:bCs/>
          <w:color w:val="0D2A52"/>
          <w:sz w:val="26"/>
          <w:szCs w:val="26"/>
        </w:rPr>
        <w:t xml:space="preserve">  Offline Command-Line Tool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color w:val="5B6A80"/>
          <w:sz w:val="17"/>
          <w:szCs w:val="17"/>
        </w:rPr>
        <w:t xml:space="preserve">Screen: </w:t>
      </w:r>
      <w:r>
        <w:rPr>
          <w:rFonts w:ascii="Consolas" w:cs="Consolas" w:eastAsia="Consolas" w:hAnsi="Consolas"/>
          <w:color w:val="5B6A80"/>
          <w:sz w:val="17"/>
          <w:szCs w:val="17"/>
        </w:rPr>
        <w:t xml:space="preserve">Terminal</w:t>
      </w:r>
    </w:p>
    <w:p>
      <w:pPr>
        <w:keepNext/>
        <w:spacing w:after="70" w:before="0" w:line="264"/>
      </w:pPr>
      <w:r>
        <w:rPr>
          <w:rFonts w:ascii="Calibri" w:cs="Calibri" w:eastAsia="Calibri" w:hAnsi="Calibri"/>
          <w:sz w:val="20"/>
          <w:szCs w:val="20"/>
        </w:rPr>
        <w:t xml:space="preserve">The same pipeline from a terminal: ingest, train, score, benchmark and verify the ledger with no UI or network.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  <w:trHeight w:val="3500" w:hRule="atLeast"/>
        </w:trPr>
        <w:tc>
          <w:tcPr>
            <w:tcW w:type="dxa" w:w="10206"/>
            <w:tcBorders>
              <w:top w:val="dashed" w:color="9AA6B6" w:sz="8"/>
              <w:left w:val="dashed" w:color="9AA6B6" w:sz="8"/>
              <w:bottom w:val="dashed" w:color="9AA6B6" w:sz="8"/>
              <w:right w:val="dashed" w:color="9AA6B6" w:sz="8"/>
            </w:tcBorders>
            <w:shd w:fill="F7F9FC" w:val="clear"/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AA6B6"/>
                <w:sz w:val="22"/>
                <w:szCs w:val="22"/>
              </w:rPr>
              <w:t xml:space="preserve">[ Insert screenshot ]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AA6B6"/>
                <w:sz w:val="17"/>
                <w:szCs w:val="17"/>
              </w:rPr>
              <w:t xml:space="preserve">Offline Command-Line Tool</w:t>
            </w:r>
          </w:p>
        </w:tc>
      </w:tr>
    </w:tbl>
    <w:p>
      <w:pPr>
        <w:spacing w:after="90" w:before="50"/>
        <w:jc w:val="center"/>
      </w:pPr>
      <w:r>
        <w:rPr>
          <w:rFonts w:ascii="Calibri" w:cs="Calibri" w:eastAsia="Calibri" w:hAnsi="Calibri"/>
          <w:i/>
          <w:iCs/>
          <w:color w:val="5B6A80"/>
          <w:sz w:val="16"/>
          <w:szCs w:val="16"/>
        </w:rPr>
        <w:t xml:space="preserve">Figure J.2  Offline Command-Line Tool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00"/>
        <w:gridCol w:w="4106"/>
      </w:tblGrid>
      <w:tr>
        <w:trPr>
          <w:cantSplit/>
        </w:trPr>
        <w:tc>
          <w:tcPr>
            <w:tcW w:type="dxa" w:w="6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8541A"/>
                <w:spacing w:val="20"/>
                <w:sz w:val="16"/>
                <w:szCs w:val="16"/>
              </w:rPr>
              <w:t xml:space="preserve">WHAT TO NOTICE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Single-command scoring of a capture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Benchmark and ledger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52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Scriptable for automated SOC workflows</w:t>
            </w:r>
          </w:p>
        </w:tc>
        <w:tc>
          <w:tcPr>
            <w:tcW w:type="dxa" w:w="4106"/>
            <w:tcBorders>
              <w:top w:val="none" w:color="FFFFFF" w:sz="0"/>
              <w:left w:val="single" w:color="C9962B" w:sz="24"/>
              <w:bottom w:val="none" w:color="FFFFFF" w:sz="0"/>
              <w:right w:val="none" w:color="FFFFFF" w:sz="0"/>
            </w:tcBorders>
            <w:shd w:fill="FDF5E3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color w:val="C9962B"/>
                <w:spacing w:val="20"/>
                <w:sz w:val="16"/>
                <w:szCs w:val="16"/>
              </w:rPr>
              <w:t xml:space="preserve">WHY IT MATTERS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 the most locked-down nodes, where a browser dashboard may not be permitted.</w:t>
            </w:r>
          </w:p>
        </w:tc>
      </w:tr>
    </w:tbl>
    <w:p>
      <w:r>
        <w:br w:type="page"/>
      </w:r>
    </w:p>
    <w:p>
      <w:pPr>
        <w:pStyle w:val="Heading1"/>
        <w:keepNext/>
        <w:spacing w:after="120" w:before="120"/>
      </w:pPr>
      <w:r>
        <w:rPr>
          <w:rFonts w:ascii="Calibri" w:cs="Calibri" w:eastAsia="Calibri" w:hAnsi="Calibri"/>
          <w:b/>
          <w:bCs/>
          <w:color w:val="0D2A52"/>
          <w:sz w:val="34"/>
          <w:szCs w:val="34"/>
        </w:rPr>
        <w:t xml:space="preserve">Problem Statement Coverage</w:t>
      </w:r>
    </w:p>
    <w:p>
      <w:pPr>
        <w:spacing w:after="120" w:before="0" w:line="264"/>
      </w:pPr>
      <w:r>
        <w:rPr>
          <w:rFonts w:ascii="Calibri" w:cs="Calibri" w:eastAsia="Calibri" w:hAnsi="Calibri"/>
          <w:sz w:val="20"/>
          <w:szCs w:val="20"/>
        </w:rPr>
        <w:t xml:space="preserve">Each requirement of SIH26153 is demonstrated on a specific screen in this document.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000"/>
        <w:gridCol w:w="3906"/>
      </w:tblGrid>
      <w:tr>
        <w:trPr>
          <w:cantSplit/>
          <w:tblHeader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Shown in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0D2A5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 on screen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Flow-level and packet-level features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B.1, B.2, I.2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16 flow + 11 packet features; joint F1 0.87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Graph-based network state representation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F.2, E.5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Hosts as nodes, flows as edges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Learn state transitions P(Sₜ₊₁ | Sₜ)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F.3, C.2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 rollout with uncertainty band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 attacker progression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C.1, C.2, D.2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Forecast AUC 0.96–0.97; P(progression)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to recognised attack stages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C.4, C.5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MITRE ATT&amp;CK matrix and kill chain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Interpretable output, no black box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E.1–E.5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Six-layer explanations with override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Decision support for defenders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G.1, G.2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Prioritised response plan and verdicts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Outperform logistic-regression baseline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I.1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F1 0.86 vs 0.49; 78% fewer false alarms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Applicable to enterprise and CII</w:t>
            </w:r>
          </w:p>
        </w:tc>
        <w:tc>
          <w:tcPr>
            <w:tcW w:type="dxa" w:w="2000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A.3, H.1–H.7</w:t>
            </w:r>
          </w:p>
        </w:tc>
        <w:tc>
          <w:tcPr>
            <w:tcW w:type="dxa" w:w="3906"/>
            <w:tcBorders>
              <w:top w:val="single" w:color="DDE3EC" w:sz="4"/>
              <w:left w:val="none" w:color="FFFFFF" w:sz="0"/>
              <w:bottom w:val="single" w:color="DDE3EC" w:sz="4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Classification tiers and blockchain trust</w:t>
            </w:r>
          </w:p>
        </w:tc>
      </w:tr>
    </w:tbl>
    <w:p>
      <w:pPr>
        <w:spacing w:after="0" w:before="400"/>
        <w:jc w:val="center"/>
      </w:pPr>
      <w:r>
        <w:rPr>
          <w:rFonts w:ascii="Calibri" w:cs="Calibri" w:eastAsia="Calibri" w:hAnsi="Calibri"/>
          <w:b/>
          <w:bCs/>
          <w:color w:val="0D2A52"/>
          <w:sz w:val="24"/>
          <w:szCs w:val="24"/>
        </w:rPr>
        <w:t xml:space="preserve">KAVACH  ·  Made in India, for India</w:t>
      </w:r>
    </w:p>
    <w:sectPr>
      <w:headerReference w:type="default" r:id="rId7"/>
      <w:footerReference w:type="default" r:id="rId8"/>
      <w:pgSz w:w="11906" w:h="16838" w:orient="portrait"/>
      <w:pgMar w:top="900" w:right="850" w:bottom="9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Calibri" w:cs="Calibri" w:eastAsia="Calibri" w:hAnsi="Calibri"/>
        <w:color w:val="5B6A80"/>
        <w:sz w:val="16"/>
        <w:szCs w:val="16"/>
      </w:rPr>
      <w:t xml:space="preserve">Team NetRunners  ·  Made in India, for India</w:t>
    </w:r>
    <w:r>
      <w:rPr>
        <w:rFonts w:ascii="Calibri" w:cs="Calibri" w:eastAsia="Calibri" w:hAnsi="Calibri"/>
        <w:color w:val="5B6A80"/>
        <w:sz w:val="16"/>
        <w:szCs w:val="16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C" w:sz="6" w:space="4"/>
      </w:pBdr>
      <w:tabs>
        <w:tab w:val="right" w:pos="10206"/>
      </w:tabs>
    </w:pPr>
    <w:r>
      <w:rPr>
        <w:rFonts w:ascii="Calibri" w:cs="Calibri" w:eastAsia="Calibri" w:hAnsi="Calibri"/>
        <w:b/>
        <w:bCs/>
        <w:color w:val="0D2A52"/>
        <w:spacing w:val="30"/>
        <w:sz w:val="16"/>
        <w:szCs w:val="16"/>
      </w:rPr>
      <w:t xml:space="preserve">KAVACH</w:t>
    </w:r>
    <w:r>
      <w:rPr>
        <w:rFonts w:ascii="Calibri" w:cs="Calibri" w:eastAsia="Calibri" w:hAnsi="Calibri"/>
        <w:color w:val="5B6A80"/>
        <w:sz w:val="16"/>
        <w:szCs w:val="16"/>
      </w:rPr>
      <w:t xml:space="preserve">  ·  User Interface Showcase</w:t>
    </w:r>
    <w:r>
      <w:rPr>
        <w:rFonts w:ascii="Calibri" w:cs="Calibri" w:eastAsia="Calibri" w:hAnsi="Calibri"/>
        <w:color w:val="5B6A80"/>
        <w:sz w:val="16"/>
        <w:szCs w:val="16"/>
      </w:rPr>
      <w:t xml:space="preserve">	SIH 2026 · SIH26153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80" w:hanging="200"/>
      </w:pPr>
      <w:rPr>
        <w:color w:val="C854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D2A52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D2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7f4c48ec639ebfa0f1367ca292bd16d0ff7b53.png"/><Relationship Id="rId10" Type="http://schemas.openxmlformats.org/officeDocument/2006/relationships/image" Target="media/41bc9ad84b97e7d6e93a2fe22871c8bbbf84ebb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KAVACH User Interface Showcase</dc:title>
  <dc:creator>Team NetRunners</dc:creator>
  <cp:lastModifiedBy>Un-named</cp:lastModifiedBy>
  <cp:revision>1</cp:revision>
  <dcterms:created xsi:type="dcterms:W3CDTF">2026-09-27T12:13:43.261Z</dcterms:created>
  <dcterms:modified xsi:type="dcterms:W3CDTF">2026-09-27T12:13:43.261Z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