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E8807" w14:textId="4A01B8BD" w:rsidR="00D944B0" w:rsidRPr="00605D89" w:rsidRDefault="00D944B0" w:rsidP="00605D89">
      <w:pPr>
        <w:pStyle w:val="Heading1"/>
        <w:jc w:val="center"/>
        <w:rPr>
          <w:b/>
          <w:color w:val="000000" w:themeColor="text1"/>
          <w:u w:val="single"/>
        </w:rPr>
      </w:pPr>
      <w:r w:rsidRPr="00605D89">
        <w:rPr>
          <w:b/>
          <w:color w:val="000000" w:themeColor="text1"/>
          <w:u w:val="single"/>
        </w:rPr>
        <w:t>Linear Discriminant Analysis:</w:t>
      </w:r>
    </w:p>
    <w:p w14:paraId="157F9D86" w14:textId="77777777" w:rsidR="00495F8B" w:rsidRDefault="00495F8B" w:rsidP="00C2187F">
      <w:pPr>
        <w:ind w:firstLine="720"/>
        <w:rPr>
          <w:b/>
          <w:u w:val="single"/>
        </w:rPr>
      </w:pPr>
    </w:p>
    <w:p w14:paraId="3F1901CD" w14:textId="6799E1FD" w:rsidR="00D944B0" w:rsidRDefault="00605D89" w:rsidP="00C2187F">
      <w:pPr>
        <w:ind w:firstLine="720"/>
      </w:pPr>
      <w:r w:rsidRPr="00495F8B">
        <w:rPr>
          <w:b/>
          <w:u w:val="single"/>
        </w:rPr>
        <w:t>Question of Interest:</w:t>
      </w:r>
      <w:r w:rsidR="00495F8B">
        <w:t xml:space="preserve"> B</w:t>
      </w:r>
      <w:r w:rsidR="00495F8B" w:rsidRPr="00495F8B">
        <w:t>uild a classification model (using LDA) to predict the type of Foundation of houses in the Test Set</w:t>
      </w:r>
    </w:p>
    <w:p w14:paraId="55D4CCE4" w14:textId="77777777" w:rsidR="00605D89" w:rsidRDefault="00605D89" w:rsidP="00C2187F">
      <w:pPr>
        <w:ind w:firstLine="720"/>
      </w:pPr>
    </w:p>
    <w:p w14:paraId="3264B150" w14:textId="11DD39A4" w:rsidR="00D944B0" w:rsidRDefault="00605D89" w:rsidP="00495F8B">
      <w:pPr>
        <w:pStyle w:val="ListParagraph"/>
        <w:numPr>
          <w:ilvl w:val="0"/>
          <w:numId w:val="8"/>
        </w:numPr>
      </w:pPr>
      <w:r w:rsidRPr="00495F8B">
        <w:rPr>
          <w:b/>
          <w:u w:val="single"/>
        </w:rPr>
        <w:t>Introduction</w:t>
      </w:r>
      <w:r>
        <w:t xml:space="preserve">: </w:t>
      </w:r>
      <w:r w:rsidR="00D944B0">
        <w:t>In order to predict/classify Foundation</w:t>
      </w:r>
      <w:r w:rsidR="0018104E">
        <w:t xml:space="preserve"> </w:t>
      </w:r>
      <w:r w:rsidR="00D944B0">
        <w:t>Type</w:t>
      </w:r>
      <w:r w:rsidR="00397EB0">
        <w:t xml:space="preserve">, </w:t>
      </w:r>
      <w:proofErr w:type="gramStart"/>
      <w:r w:rsidR="00397EB0">
        <w:t>We</w:t>
      </w:r>
      <w:proofErr w:type="gramEnd"/>
      <w:r w:rsidR="00397EB0">
        <w:t xml:space="preserve"> would build a LDA model using the training data set.</w:t>
      </w:r>
      <w:r w:rsidR="006014B9">
        <w:t xml:space="preserve"> Since LDA does not support inclusion of categorical variables in the model, </w:t>
      </w:r>
      <w:proofErr w:type="gramStart"/>
      <w:r w:rsidR="006014B9">
        <w:t>We</w:t>
      </w:r>
      <w:proofErr w:type="gramEnd"/>
      <w:r w:rsidR="006014B9">
        <w:t xml:space="preserve"> will analyze </w:t>
      </w:r>
      <w:r w:rsidR="00AD74EB">
        <w:t>continuous</w:t>
      </w:r>
      <w:r w:rsidR="006014B9">
        <w:t xml:space="preserve"> variables as independent variables for this model. </w:t>
      </w:r>
    </w:p>
    <w:p w14:paraId="282E32D3" w14:textId="20159771" w:rsidR="00397EB0" w:rsidRDefault="00397EB0" w:rsidP="00DE0A66"/>
    <w:p w14:paraId="775F7F52" w14:textId="2929C8EC" w:rsidR="00E83F99" w:rsidRPr="007F6113" w:rsidRDefault="00A53AAD" w:rsidP="007F6113">
      <w:pPr>
        <w:pStyle w:val="ListParagraph"/>
        <w:numPr>
          <w:ilvl w:val="0"/>
          <w:numId w:val="8"/>
        </w:numPr>
        <w:rPr>
          <w:b/>
          <w:u w:val="single"/>
        </w:rPr>
      </w:pPr>
      <w:r w:rsidRPr="007F6113">
        <w:rPr>
          <w:b/>
          <w:u w:val="single"/>
        </w:rPr>
        <w:t>A</w:t>
      </w:r>
      <w:r w:rsidR="009C2B07" w:rsidRPr="007F6113">
        <w:rPr>
          <w:b/>
          <w:u w:val="single"/>
        </w:rPr>
        <w:t>ssumptions:</w:t>
      </w:r>
    </w:p>
    <w:p w14:paraId="34249A57" w14:textId="445F640E" w:rsidR="00CA2E9C" w:rsidRDefault="00CA2E9C" w:rsidP="00A53AAD">
      <w:pPr>
        <w:pStyle w:val="ListParagraph"/>
        <w:numPr>
          <w:ilvl w:val="0"/>
          <w:numId w:val="7"/>
        </w:numPr>
      </w:pPr>
      <w:r>
        <w:t xml:space="preserve">Normality criteria for LDA has been taken care in our earlier proc </w:t>
      </w:r>
      <w:proofErr w:type="spellStart"/>
      <w:r w:rsidRPr="0018104E">
        <w:rPr>
          <w:b/>
        </w:rPr>
        <w:t>glmselect</w:t>
      </w:r>
      <w:proofErr w:type="spellEnd"/>
      <w:r>
        <w:t xml:space="preserve"> model. We have transformed the required variables which we continue to use.</w:t>
      </w:r>
    </w:p>
    <w:p w14:paraId="1A8E4B93" w14:textId="5FF5FBC0" w:rsidR="00CA2E9C" w:rsidRDefault="00CA2E9C" w:rsidP="000B3049">
      <w:pPr>
        <w:ind w:firstLine="720"/>
      </w:pPr>
    </w:p>
    <w:p w14:paraId="50956531" w14:textId="4E37B827" w:rsidR="00CA2E9C" w:rsidRDefault="00CA2E9C" w:rsidP="00A53AAD">
      <w:pPr>
        <w:pStyle w:val="ListParagraph"/>
        <w:numPr>
          <w:ilvl w:val="0"/>
          <w:numId w:val="7"/>
        </w:numPr>
      </w:pPr>
      <w:r>
        <w:t>Homogenous variance-covariance:</w:t>
      </w:r>
    </w:p>
    <w:p w14:paraId="4AA091E0" w14:textId="083F8075" w:rsidR="007F6113" w:rsidRDefault="007F6113" w:rsidP="007F6113"/>
    <w:p w14:paraId="7AC7DB2C" w14:textId="57C607A8" w:rsidR="00CA2E9C" w:rsidRDefault="00CA2E9C" w:rsidP="000B3049">
      <w:pPr>
        <w:ind w:firstLine="7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B458EC5" wp14:editId="5BDBA95E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1988234" cy="612953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234" cy="612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Since the Chi-Square test fails </w:t>
      </w:r>
      <w:r w:rsidR="00A6397D">
        <w:t>for homogenous</w:t>
      </w:r>
      <w:r w:rsidR="00A53AAD">
        <w:t xml:space="preserve"> variance, we will address this by using pool covariance.</w:t>
      </w:r>
    </w:p>
    <w:p w14:paraId="6F06AD9C" w14:textId="77777777" w:rsidR="00A53AAD" w:rsidRDefault="00A53AAD" w:rsidP="00A53AAD"/>
    <w:p w14:paraId="5D6AEBD5" w14:textId="77777777" w:rsidR="0072448B" w:rsidRDefault="0072448B" w:rsidP="0072448B">
      <w:pPr>
        <w:pStyle w:val="ListParagraph"/>
        <w:rPr>
          <w:b/>
          <w:u w:val="single"/>
        </w:rPr>
      </w:pPr>
    </w:p>
    <w:p w14:paraId="3FE2692B" w14:textId="77777777" w:rsidR="0072448B" w:rsidRDefault="0072448B" w:rsidP="0072448B">
      <w:pPr>
        <w:pStyle w:val="ListParagraph"/>
        <w:rPr>
          <w:b/>
          <w:u w:val="single"/>
        </w:rPr>
      </w:pPr>
    </w:p>
    <w:p w14:paraId="2E9DD5B3" w14:textId="69E6373F" w:rsidR="00A53AAD" w:rsidRPr="006E3E0A" w:rsidRDefault="00A53AAD" w:rsidP="007F6113">
      <w:pPr>
        <w:pStyle w:val="ListParagraph"/>
        <w:numPr>
          <w:ilvl w:val="0"/>
          <w:numId w:val="8"/>
        </w:numPr>
        <w:rPr>
          <w:b/>
          <w:u w:val="single"/>
        </w:rPr>
      </w:pPr>
      <w:r w:rsidRPr="006E3E0A">
        <w:rPr>
          <w:b/>
          <w:u w:val="single"/>
        </w:rPr>
        <w:t>Analysis:</w:t>
      </w:r>
    </w:p>
    <w:p w14:paraId="4725D6BB" w14:textId="494F64C9" w:rsidR="000B3049" w:rsidRDefault="00CA2E9C" w:rsidP="006E3E0A">
      <w:pPr>
        <w:ind w:firstLine="720"/>
      </w:pPr>
      <w:r>
        <w:t>In our model, we</w:t>
      </w:r>
      <w:r w:rsidR="00AD74EB">
        <w:t xml:space="preserve"> </w:t>
      </w:r>
      <w:r w:rsidR="00A53AAD">
        <w:t xml:space="preserve">start off by looking at difference in mean value for each independent variable against foundation factor. </w:t>
      </w:r>
      <w:r w:rsidR="00AD74EB">
        <w:t>Table</w:t>
      </w:r>
      <w:r w:rsidR="000B3049">
        <w:t xml:space="preserve"> of mean</w:t>
      </w:r>
      <w:r w:rsidR="00AD74EB">
        <w:t xml:space="preserve"> and frequency</w:t>
      </w:r>
      <w:r w:rsidR="00A53AAD">
        <w:t xml:space="preserve"> across foundation type.</w:t>
      </w:r>
    </w:p>
    <w:p w14:paraId="08241B25" w14:textId="27D9007D" w:rsidR="006A49BD" w:rsidRDefault="006A49BD" w:rsidP="00DE0A66">
      <w:r>
        <w:tab/>
      </w:r>
    </w:p>
    <w:tbl>
      <w:tblPr>
        <w:tblW w:w="9893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547"/>
        <w:gridCol w:w="1391"/>
        <w:gridCol w:w="1391"/>
        <w:gridCol w:w="1391"/>
        <w:gridCol w:w="1391"/>
        <w:gridCol w:w="1391"/>
        <w:gridCol w:w="1391"/>
      </w:tblGrid>
      <w:tr w:rsidR="00AD74EB" w:rsidRPr="0039392F" w14:paraId="38F28C85" w14:textId="77777777" w:rsidTr="00AD74EB">
        <w:trPr>
          <w:trHeight w:val="230"/>
        </w:trPr>
        <w:tc>
          <w:tcPr>
            <w:tcW w:w="15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528017FA" w14:textId="77777777" w:rsidR="0039392F" w:rsidRPr="0039392F" w:rsidRDefault="0039392F" w:rsidP="0039392F">
            <w:pPr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</w:pPr>
            <w:r w:rsidRPr="0039392F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  <w:t>Variable</w:t>
            </w:r>
          </w:p>
        </w:tc>
        <w:tc>
          <w:tcPr>
            <w:tcW w:w="139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203764"/>
            <w:noWrap/>
            <w:vAlign w:val="bottom"/>
            <w:hideMark/>
          </w:tcPr>
          <w:p w14:paraId="1724C630" w14:textId="77777777" w:rsidR="0039392F" w:rsidRPr="0039392F" w:rsidRDefault="0039392F" w:rsidP="0039392F">
            <w:pPr>
              <w:rPr>
                <w:rFonts w:eastAsia="Times New Roman" w:cstheme="minorHAnsi"/>
                <w:b/>
                <w:bCs/>
                <w:color w:val="FFFF00"/>
                <w:sz w:val="20"/>
                <w:szCs w:val="20"/>
              </w:rPr>
            </w:pPr>
            <w:proofErr w:type="spellStart"/>
            <w:r w:rsidRPr="0039392F">
              <w:rPr>
                <w:rFonts w:eastAsia="Times New Roman" w:cstheme="minorHAnsi"/>
                <w:b/>
                <w:bCs/>
                <w:color w:val="FFFF00"/>
                <w:sz w:val="20"/>
                <w:szCs w:val="20"/>
              </w:rPr>
              <w:t>BrkTil</w:t>
            </w:r>
            <w:proofErr w:type="spellEnd"/>
          </w:p>
        </w:tc>
        <w:tc>
          <w:tcPr>
            <w:tcW w:w="139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203764"/>
            <w:noWrap/>
            <w:vAlign w:val="bottom"/>
            <w:hideMark/>
          </w:tcPr>
          <w:p w14:paraId="78D3D648" w14:textId="77777777" w:rsidR="0039392F" w:rsidRPr="0039392F" w:rsidRDefault="0039392F" w:rsidP="0039392F">
            <w:pPr>
              <w:rPr>
                <w:rFonts w:eastAsia="Times New Roman" w:cstheme="minorHAnsi"/>
                <w:b/>
                <w:bCs/>
                <w:color w:val="FFFF00"/>
                <w:sz w:val="20"/>
                <w:szCs w:val="20"/>
              </w:rPr>
            </w:pPr>
            <w:proofErr w:type="spellStart"/>
            <w:r w:rsidRPr="0039392F">
              <w:rPr>
                <w:rFonts w:eastAsia="Times New Roman" w:cstheme="minorHAnsi"/>
                <w:b/>
                <w:bCs/>
                <w:color w:val="FFFF00"/>
                <w:sz w:val="20"/>
                <w:szCs w:val="20"/>
              </w:rPr>
              <w:t>CBlock</w:t>
            </w:r>
            <w:proofErr w:type="spellEnd"/>
          </w:p>
        </w:tc>
        <w:tc>
          <w:tcPr>
            <w:tcW w:w="139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203764"/>
            <w:noWrap/>
            <w:vAlign w:val="bottom"/>
            <w:hideMark/>
          </w:tcPr>
          <w:p w14:paraId="71D086DB" w14:textId="77777777" w:rsidR="0039392F" w:rsidRPr="0039392F" w:rsidRDefault="0039392F" w:rsidP="0039392F">
            <w:pPr>
              <w:jc w:val="center"/>
              <w:rPr>
                <w:rFonts w:eastAsia="Times New Roman" w:cstheme="minorHAnsi"/>
                <w:b/>
                <w:bCs/>
                <w:color w:val="FFFF00"/>
                <w:sz w:val="20"/>
                <w:szCs w:val="20"/>
              </w:rPr>
            </w:pPr>
            <w:proofErr w:type="spellStart"/>
            <w:r w:rsidRPr="0039392F">
              <w:rPr>
                <w:rFonts w:eastAsia="Times New Roman" w:cstheme="minorHAnsi"/>
                <w:b/>
                <w:bCs/>
                <w:color w:val="FFFF00"/>
                <w:sz w:val="20"/>
                <w:szCs w:val="20"/>
              </w:rPr>
              <w:t>PConc</w:t>
            </w:r>
            <w:proofErr w:type="spellEnd"/>
          </w:p>
        </w:tc>
        <w:tc>
          <w:tcPr>
            <w:tcW w:w="139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203764"/>
            <w:noWrap/>
            <w:vAlign w:val="bottom"/>
            <w:hideMark/>
          </w:tcPr>
          <w:p w14:paraId="67D285C1" w14:textId="77777777" w:rsidR="0039392F" w:rsidRPr="0039392F" w:rsidRDefault="0039392F" w:rsidP="0039392F">
            <w:pPr>
              <w:jc w:val="center"/>
              <w:rPr>
                <w:rFonts w:eastAsia="Times New Roman" w:cstheme="minorHAnsi"/>
                <w:b/>
                <w:bCs/>
                <w:color w:val="FFFF00"/>
                <w:sz w:val="20"/>
                <w:szCs w:val="20"/>
              </w:rPr>
            </w:pPr>
            <w:r w:rsidRPr="0039392F">
              <w:rPr>
                <w:rFonts w:eastAsia="Times New Roman" w:cstheme="minorHAnsi"/>
                <w:b/>
                <w:bCs/>
                <w:color w:val="FFFF00"/>
                <w:sz w:val="20"/>
                <w:szCs w:val="20"/>
              </w:rPr>
              <w:t>Slab</w:t>
            </w:r>
          </w:p>
        </w:tc>
        <w:tc>
          <w:tcPr>
            <w:tcW w:w="139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203764"/>
            <w:noWrap/>
            <w:vAlign w:val="bottom"/>
            <w:hideMark/>
          </w:tcPr>
          <w:p w14:paraId="1262233E" w14:textId="77777777" w:rsidR="0039392F" w:rsidRPr="0039392F" w:rsidRDefault="0039392F" w:rsidP="0039392F">
            <w:pPr>
              <w:jc w:val="center"/>
              <w:rPr>
                <w:rFonts w:eastAsia="Times New Roman" w:cstheme="minorHAnsi"/>
                <w:b/>
                <w:bCs/>
                <w:color w:val="FFFF00"/>
                <w:sz w:val="20"/>
                <w:szCs w:val="20"/>
              </w:rPr>
            </w:pPr>
            <w:r w:rsidRPr="0039392F">
              <w:rPr>
                <w:rFonts w:eastAsia="Times New Roman" w:cstheme="minorHAnsi"/>
                <w:b/>
                <w:bCs/>
                <w:color w:val="FFFF00"/>
                <w:sz w:val="20"/>
                <w:szCs w:val="20"/>
              </w:rPr>
              <w:t>Stone</w:t>
            </w:r>
          </w:p>
        </w:tc>
        <w:tc>
          <w:tcPr>
            <w:tcW w:w="139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59EECB1A" w14:textId="77777777" w:rsidR="0039392F" w:rsidRPr="0039392F" w:rsidRDefault="0039392F" w:rsidP="0039392F">
            <w:pPr>
              <w:rPr>
                <w:rFonts w:eastAsia="Times New Roman" w:cstheme="minorHAnsi"/>
                <w:b/>
                <w:bCs/>
                <w:color w:val="FFFF00"/>
                <w:sz w:val="20"/>
                <w:szCs w:val="20"/>
              </w:rPr>
            </w:pPr>
            <w:r w:rsidRPr="0039392F">
              <w:rPr>
                <w:rFonts w:eastAsia="Times New Roman" w:cstheme="minorHAnsi"/>
                <w:b/>
                <w:bCs/>
                <w:color w:val="FFFF00"/>
                <w:sz w:val="20"/>
                <w:szCs w:val="20"/>
              </w:rPr>
              <w:t>Wood</w:t>
            </w:r>
          </w:p>
        </w:tc>
      </w:tr>
      <w:tr w:rsidR="00AD74EB" w:rsidRPr="0039392F" w14:paraId="2C6D55EC" w14:textId="77777777" w:rsidTr="00AD74EB">
        <w:trPr>
          <w:trHeight w:val="240"/>
        </w:trPr>
        <w:tc>
          <w:tcPr>
            <w:tcW w:w="15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4C05AF9E" w14:textId="77777777" w:rsidR="0039392F" w:rsidRPr="0039392F" w:rsidRDefault="0039392F" w:rsidP="0039392F">
            <w:pPr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</w:pPr>
            <w:r w:rsidRPr="0039392F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  <w:t>Frequency</w:t>
            </w: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203764"/>
            <w:noWrap/>
            <w:vAlign w:val="bottom"/>
            <w:hideMark/>
          </w:tcPr>
          <w:p w14:paraId="112F306B" w14:textId="77777777" w:rsidR="0039392F" w:rsidRPr="0039392F" w:rsidRDefault="0039392F" w:rsidP="0039392F">
            <w:pPr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</w:pPr>
            <w:r w:rsidRPr="0039392F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  <w:t>146</w:t>
            </w: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203764"/>
            <w:noWrap/>
            <w:vAlign w:val="bottom"/>
            <w:hideMark/>
          </w:tcPr>
          <w:p w14:paraId="5A61418D" w14:textId="77777777" w:rsidR="0039392F" w:rsidRPr="0039392F" w:rsidRDefault="0039392F" w:rsidP="0039392F">
            <w:pPr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</w:pPr>
            <w:r w:rsidRPr="0039392F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  <w:t>634</w:t>
            </w: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203764"/>
            <w:noWrap/>
            <w:vAlign w:val="bottom"/>
            <w:hideMark/>
          </w:tcPr>
          <w:p w14:paraId="601C9F67" w14:textId="77777777" w:rsidR="0039392F" w:rsidRPr="0039392F" w:rsidRDefault="0039392F" w:rsidP="0039392F">
            <w:pPr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</w:pPr>
            <w:r w:rsidRPr="0039392F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  <w:t>647</w:t>
            </w: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203764"/>
            <w:noWrap/>
            <w:vAlign w:val="bottom"/>
            <w:hideMark/>
          </w:tcPr>
          <w:p w14:paraId="451C22CF" w14:textId="77777777" w:rsidR="0039392F" w:rsidRPr="0039392F" w:rsidRDefault="0039392F" w:rsidP="0039392F">
            <w:pPr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</w:pPr>
            <w:r w:rsidRPr="0039392F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  <w:t>24</w:t>
            </w: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203764"/>
            <w:noWrap/>
            <w:vAlign w:val="bottom"/>
            <w:hideMark/>
          </w:tcPr>
          <w:p w14:paraId="63704AB8" w14:textId="77777777" w:rsidR="0039392F" w:rsidRPr="0039392F" w:rsidRDefault="0039392F" w:rsidP="0039392F">
            <w:pPr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</w:pPr>
            <w:r w:rsidRPr="0039392F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  <w:t>6</w:t>
            </w: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65EF67C8" w14:textId="77777777" w:rsidR="0039392F" w:rsidRPr="0039392F" w:rsidRDefault="0039392F" w:rsidP="0039392F">
            <w:pPr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</w:pPr>
            <w:r w:rsidRPr="0039392F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  <w:t>3</w:t>
            </w:r>
          </w:p>
        </w:tc>
      </w:tr>
      <w:tr w:rsidR="00AD74EB" w:rsidRPr="0039392F" w14:paraId="1B7B7E4C" w14:textId="77777777" w:rsidTr="00AD74EB">
        <w:trPr>
          <w:trHeight w:val="230"/>
        </w:trPr>
        <w:tc>
          <w:tcPr>
            <w:tcW w:w="15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798618A5" w14:textId="77777777" w:rsidR="0039392F" w:rsidRPr="0039392F" w:rsidRDefault="0039392F" w:rsidP="0039392F">
            <w:pPr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286C70F2" w14:textId="77777777" w:rsidR="0039392F" w:rsidRPr="0039392F" w:rsidRDefault="0039392F" w:rsidP="0039392F">
            <w:pPr>
              <w:jc w:val="center"/>
              <w:rPr>
                <w:rFonts w:eastAsia="Times New Roman" w:cstheme="minorHAnsi"/>
                <w:b/>
                <w:bCs/>
                <w:color w:val="FFFF00"/>
                <w:sz w:val="20"/>
                <w:szCs w:val="20"/>
              </w:rPr>
            </w:pPr>
            <w:r w:rsidRPr="0039392F">
              <w:rPr>
                <w:rFonts w:eastAsia="Times New Roman" w:cstheme="minorHAnsi"/>
                <w:b/>
                <w:bCs/>
                <w:color w:val="FFFF00"/>
                <w:sz w:val="20"/>
                <w:szCs w:val="20"/>
              </w:rPr>
              <w:t>Mean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6335C941" w14:textId="77777777" w:rsidR="0039392F" w:rsidRPr="0039392F" w:rsidRDefault="0039392F" w:rsidP="0039392F">
            <w:pPr>
              <w:jc w:val="center"/>
              <w:rPr>
                <w:rFonts w:eastAsia="Times New Roman" w:cstheme="minorHAnsi"/>
                <w:b/>
                <w:bCs/>
                <w:color w:val="FFFF00"/>
                <w:sz w:val="20"/>
                <w:szCs w:val="20"/>
              </w:rPr>
            </w:pPr>
            <w:r w:rsidRPr="0039392F">
              <w:rPr>
                <w:rFonts w:eastAsia="Times New Roman" w:cstheme="minorHAnsi"/>
                <w:b/>
                <w:bCs/>
                <w:color w:val="FFFF00"/>
                <w:sz w:val="20"/>
                <w:szCs w:val="20"/>
              </w:rPr>
              <w:t>Mean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2176BE8C" w14:textId="77777777" w:rsidR="0039392F" w:rsidRPr="0039392F" w:rsidRDefault="0039392F" w:rsidP="0039392F">
            <w:pPr>
              <w:jc w:val="center"/>
              <w:rPr>
                <w:rFonts w:eastAsia="Times New Roman" w:cstheme="minorHAnsi"/>
                <w:b/>
                <w:bCs/>
                <w:color w:val="FFFF00"/>
                <w:sz w:val="20"/>
                <w:szCs w:val="20"/>
              </w:rPr>
            </w:pPr>
            <w:r w:rsidRPr="0039392F">
              <w:rPr>
                <w:rFonts w:eastAsia="Times New Roman" w:cstheme="minorHAnsi"/>
                <w:b/>
                <w:bCs/>
                <w:color w:val="FFFF00"/>
                <w:sz w:val="20"/>
                <w:szCs w:val="20"/>
              </w:rPr>
              <w:t>Mean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6378C4F8" w14:textId="77777777" w:rsidR="0039392F" w:rsidRPr="0039392F" w:rsidRDefault="0039392F" w:rsidP="0039392F">
            <w:pPr>
              <w:jc w:val="center"/>
              <w:rPr>
                <w:rFonts w:eastAsia="Times New Roman" w:cstheme="minorHAnsi"/>
                <w:b/>
                <w:bCs/>
                <w:color w:val="FFFF00"/>
                <w:sz w:val="20"/>
                <w:szCs w:val="20"/>
              </w:rPr>
            </w:pPr>
            <w:r w:rsidRPr="0039392F">
              <w:rPr>
                <w:rFonts w:eastAsia="Times New Roman" w:cstheme="minorHAnsi"/>
                <w:b/>
                <w:bCs/>
                <w:color w:val="FFFF00"/>
                <w:sz w:val="20"/>
                <w:szCs w:val="20"/>
              </w:rPr>
              <w:t>Mean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2B293C35" w14:textId="77777777" w:rsidR="0039392F" w:rsidRPr="0039392F" w:rsidRDefault="0039392F" w:rsidP="0039392F">
            <w:pPr>
              <w:jc w:val="center"/>
              <w:rPr>
                <w:rFonts w:eastAsia="Times New Roman" w:cstheme="minorHAnsi"/>
                <w:b/>
                <w:bCs/>
                <w:color w:val="FFFF00"/>
                <w:sz w:val="20"/>
                <w:szCs w:val="20"/>
              </w:rPr>
            </w:pPr>
            <w:r w:rsidRPr="0039392F">
              <w:rPr>
                <w:rFonts w:eastAsia="Times New Roman" w:cstheme="minorHAnsi"/>
                <w:b/>
                <w:bCs/>
                <w:color w:val="FFFF00"/>
                <w:sz w:val="20"/>
                <w:szCs w:val="20"/>
              </w:rPr>
              <w:t>Mean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203764"/>
            <w:noWrap/>
            <w:vAlign w:val="bottom"/>
            <w:hideMark/>
          </w:tcPr>
          <w:p w14:paraId="67F7761F" w14:textId="77777777" w:rsidR="0039392F" w:rsidRPr="0039392F" w:rsidRDefault="0039392F" w:rsidP="0039392F">
            <w:pPr>
              <w:jc w:val="center"/>
              <w:rPr>
                <w:rFonts w:eastAsia="Times New Roman" w:cstheme="minorHAnsi"/>
                <w:b/>
                <w:bCs/>
                <w:color w:val="FFFF00"/>
                <w:sz w:val="20"/>
                <w:szCs w:val="20"/>
              </w:rPr>
            </w:pPr>
            <w:r w:rsidRPr="0039392F">
              <w:rPr>
                <w:rFonts w:eastAsia="Times New Roman" w:cstheme="minorHAnsi"/>
                <w:b/>
                <w:bCs/>
                <w:color w:val="FFFF00"/>
                <w:sz w:val="20"/>
                <w:szCs w:val="20"/>
              </w:rPr>
              <w:t>Mean</w:t>
            </w:r>
          </w:p>
        </w:tc>
      </w:tr>
      <w:tr w:rsidR="0039392F" w:rsidRPr="0039392F" w14:paraId="79F9EA36" w14:textId="77777777" w:rsidTr="00AD74EB">
        <w:trPr>
          <w:trHeight w:val="230"/>
        </w:trPr>
        <w:tc>
          <w:tcPr>
            <w:tcW w:w="15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BA8E6D3" w14:textId="77777777" w:rsidR="0039392F" w:rsidRPr="007F6113" w:rsidRDefault="0039392F" w:rsidP="0039392F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log_saleprice</w:t>
            </w:r>
            <w:proofErr w:type="spellEnd"/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9AC15DA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11.7225277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CF26EE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11.8700797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157764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12.2616651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9205A2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11.5329593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EEC436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11.9331562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7EA1379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12.1024793</w:t>
            </w:r>
          </w:p>
        </w:tc>
      </w:tr>
      <w:tr w:rsidR="0039392F" w:rsidRPr="0039392F" w14:paraId="6F7C24DC" w14:textId="77777777" w:rsidTr="00AD74EB">
        <w:trPr>
          <w:trHeight w:val="230"/>
        </w:trPr>
        <w:tc>
          <w:tcPr>
            <w:tcW w:w="15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39B10FB" w14:textId="77777777" w:rsidR="0039392F" w:rsidRPr="007F6113" w:rsidRDefault="0039392F" w:rsidP="0039392F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lotfrontage</w:t>
            </w:r>
            <w:proofErr w:type="spellEnd"/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EE72E4B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61.4394358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E7ED88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70.1638853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903EAB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70.994341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C0EBCE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66.1343133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2314D4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66.6666667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9E2DE6F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102.2149013</w:t>
            </w:r>
          </w:p>
        </w:tc>
      </w:tr>
      <w:tr w:rsidR="0039392F" w:rsidRPr="0039392F" w14:paraId="21C38205" w14:textId="77777777" w:rsidTr="00AD74EB">
        <w:trPr>
          <w:trHeight w:val="230"/>
        </w:trPr>
        <w:tc>
          <w:tcPr>
            <w:tcW w:w="15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89EF247" w14:textId="77777777" w:rsidR="0039392F" w:rsidRPr="007F6113" w:rsidRDefault="0039392F" w:rsidP="0039392F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overallqual</w:t>
            </w:r>
            <w:proofErr w:type="spellEnd"/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4C14610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5.4452055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A9BD77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5.4211356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D6360E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6.9799073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E476ED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4.2916667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B332A4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5.6666667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BAAC7E5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6.6666667</w:t>
            </w:r>
          </w:p>
        </w:tc>
      </w:tr>
      <w:tr w:rsidR="0039392F" w:rsidRPr="0039392F" w14:paraId="41F91934" w14:textId="77777777" w:rsidTr="00AD74EB">
        <w:trPr>
          <w:trHeight w:val="230"/>
        </w:trPr>
        <w:tc>
          <w:tcPr>
            <w:tcW w:w="15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45FCDE2" w14:textId="77777777" w:rsidR="0039392F" w:rsidRPr="007F6113" w:rsidRDefault="0039392F" w:rsidP="0039392F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overallcond</w:t>
            </w:r>
            <w:proofErr w:type="spellEnd"/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A6A4FA9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6.1986301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7EEA32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5.829653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EB7E44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5.202473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57EB85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4.75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F307AF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47AB186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5.6666667</w:t>
            </w:r>
          </w:p>
        </w:tc>
      </w:tr>
      <w:tr w:rsidR="0039392F" w:rsidRPr="0039392F" w14:paraId="6C0B4BA9" w14:textId="77777777" w:rsidTr="00AD74EB">
        <w:trPr>
          <w:trHeight w:val="230"/>
        </w:trPr>
        <w:tc>
          <w:tcPr>
            <w:tcW w:w="15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C48AA39" w14:textId="77777777" w:rsidR="0039392F" w:rsidRPr="007F6113" w:rsidRDefault="0039392F" w:rsidP="0039392F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yearbuilt</w:t>
            </w:r>
            <w:proofErr w:type="spellEnd"/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AB70760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1921.02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A2D055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1961.25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1F1A48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1993.31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4007FC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1959.58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7F217E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1912.67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234BB88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1990.33</w:t>
            </w:r>
          </w:p>
        </w:tc>
      </w:tr>
      <w:tr w:rsidR="0039392F" w:rsidRPr="0039392F" w14:paraId="559C24D3" w14:textId="77777777" w:rsidTr="00AD74EB">
        <w:trPr>
          <w:trHeight w:val="241"/>
        </w:trPr>
        <w:tc>
          <w:tcPr>
            <w:tcW w:w="15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8628AF5" w14:textId="77777777" w:rsidR="0039392F" w:rsidRPr="007F6113" w:rsidRDefault="0039392F" w:rsidP="0039392F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yearremodadd</w:t>
            </w:r>
            <w:proofErr w:type="spellEnd"/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7799685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1971.62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904B07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1975.22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9B15CD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1998.05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A00D2C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1965.17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263790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1978.33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82E5C69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1997</w:t>
            </w:r>
          </w:p>
        </w:tc>
      </w:tr>
      <w:tr w:rsidR="0039392F" w:rsidRPr="0039392F" w14:paraId="62CEE344" w14:textId="77777777" w:rsidTr="00AD74EB">
        <w:trPr>
          <w:trHeight w:val="230"/>
        </w:trPr>
        <w:tc>
          <w:tcPr>
            <w:tcW w:w="15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23D9615" w14:textId="77777777" w:rsidR="0039392F" w:rsidRPr="007F6113" w:rsidRDefault="0039392F" w:rsidP="0039392F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masvnrarea</w:t>
            </w:r>
            <w:proofErr w:type="spellEnd"/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FB37EE4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17D3CF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86.4600188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258417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133.6680639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4942AC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51.4583333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8F6B92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91E8486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39392F" w:rsidRPr="0039392F" w14:paraId="7371BC3F" w14:textId="77777777" w:rsidTr="00AD74EB">
        <w:trPr>
          <w:trHeight w:val="230"/>
        </w:trPr>
        <w:tc>
          <w:tcPr>
            <w:tcW w:w="15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5F198B2" w14:textId="77777777" w:rsidR="0039392F" w:rsidRPr="007F6113" w:rsidRDefault="0039392F" w:rsidP="0039392F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bsmtfinsf1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07BBB36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165.8424658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C9B239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477.1246057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C729F8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484.0032077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A1F346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FE98A6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45.8333333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932F870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791.6666667</w:t>
            </w:r>
          </w:p>
        </w:tc>
      </w:tr>
      <w:tr w:rsidR="0039392F" w:rsidRPr="0039392F" w14:paraId="23B5A3D1" w14:textId="77777777" w:rsidTr="00AD74EB">
        <w:trPr>
          <w:trHeight w:val="230"/>
        </w:trPr>
        <w:tc>
          <w:tcPr>
            <w:tcW w:w="15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D4FBBBD" w14:textId="77777777" w:rsidR="0039392F" w:rsidRPr="007F6113" w:rsidRDefault="0039392F" w:rsidP="0039392F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bsmtunfsf</w:t>
            </w:r>
            <w:proofErr w:type="spellEnd"/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6E22F6F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629.0479452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426CD8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443.4716088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568B29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695.3292117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2584ED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695A8D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849.1666667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AC3C6FC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65.3333333</w:t>
            </w:r>
          </w:p>
        </w:tc>
      </w:tr>
      <w:tr w:rsidR="0039392F" w:rsidRPr="0039392F" w14:paraId="098A97C8" w14:textId="77777777" w:rsidTr="00AD74EB">
        <w:trPr>
          <w:trHeight w:val="230"/>
        </w:trPr>
        <w:tc>
          <w:tcPr>
            <w:tcW w:w="15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A5A3C7B" w14:textId="77777777" w:rsidR="0039392F" w:rsidRPr="007F6113" w:rsidRDefault="0039392F" w:rsidP="0039392F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totalbsmtsf</w:t>
            </w:r>
            <w:proofErr w:type="spellEnd"/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2CEECF6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814.6232877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656EA3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1001.49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5231D1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1200.88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4DE728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A9C744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895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04E5E75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857</w:t>
            </w:r>
          </w:p>
        </w:tc>
      </w:tr>
      <w:tr w:rsidR="0039392F" w:rsidRPr="0039392F" w14:paraId="33E3C4F0" w14:textId="77777777" w:rsidTr="00AD74EB">
        <w:trPr>
          <w:trHeight w:val="230"/>
        </w:trPr>
        <w:tc>
          <w:tcPr>
            <w:tcW w:w="15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4ED8F14" w14:textId="77777777" w:rsidR="0039392F" w:rsidRPr="007F6113" w:rsidRDefault="0039392F" w:rsidP="0039392F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x2ndflrsf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896A751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455.0068493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9D98FA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228.714511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02A4C1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436.8809892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777C92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218.8333333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F2BBA3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800.8333333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8154AD0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818</w:t>
            </w:r>
          </w:p>
        </w:tc>
      </w:tr>
      <w:tr w:rsidR="0039392F" w:rsidRPr="0039392F" w14:paraId="00804934" w14:textId="77777777" w:rsidTr="00AD74EB">
        <w:trPr>
          <w:trHeight w:val="230"/>
        </w:trPr>
        <w:tc>
          <w:tcPr>
            <w:tcW w:w="15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406E794" w14:textId="77777777" w:rsidR="0039392F" w:rsidRPr="007F6113" w:rsidRDefault="0039392F" w:rsidP="0039392F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grlivarea</w:t>
            </w:r>
            <w:proofErr w:type="spellEnd"/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7EF020A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1452.08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2E1B58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1355.5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DBAD0E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1667.63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8A9A66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1339.46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520A42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1894.67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260393A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1876</w:t>
            </w:r>
          </w:p>
        </w:tc>
      </w:tr>
      <w:tr w:rsidR="0039392F" w:rsidRPr="0039392F" w14:paraId="75BDD993" w14:textId="77777777" w:rsidTr="00AD74EB">
        <w:trPr>
          <w:trHeight w:val="230"/>
        </w:trPr>
        <w:tc>
          <w:tcPr>
            <w:tcW w:w="15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4850F47" w14:textId="77777777" w:rsidR="0039392F" w:rsidRPr="007F6113" w:rsidRDefault="0039392F" w:rsidP="0039392F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bedroomabvgr</w:t>
            </w:r>
            <w:proofErr w:type="spellEnd"/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FA80A43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2.9178082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9E67C2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2.8609825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FF58E4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2.8438949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01ED62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2.9166667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FC982C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F66CC72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3</w:t>
            </w:r>
          </w:p>
        </w:tc>
      </w:tr>
      <w:tr w:rsidR="0039392F" w:rsidRPr="0039392F" w14:paraId="7F254CA5" w14:textId="77777777" w:rsidTr="00AD74EB">
        <w:trPr>
          <w:trHeight w:val="230"/>
        </w:trPr>
        <w:tc>
          <w:tcPr>
            <w:tcW w:w="15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F50C408" w14:textId="77777777" w:rsidR="0039392F" w:rsidRPr="007F6113" w:rsidRDefault="0039392F" w:rsidP="0039392F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kitchenabvgr</w:t>
            </w:r>
            <w:proofErr w:type="spellEnd"/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87D227A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1.0619494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A0654E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1.05843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5B4A03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1.0093425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33256A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1.4583333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2F228E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1.3333333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44D93A1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39392F" w:rsidRPr="0039392F" w14:paraId="22E47A3C" w14:textId="77777777" w:rsidTr="00AD74EB">
        <w:trPr>
          <w:trHeight w:val="230"/>
        </w:trPr>
        <w:tc>
          <w:tcPr>
            <w:tcW w:w="15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4FA48E1" w14:textId="77777777" w:rsidR="0039392F" w:rsidRPr="007F6113" w:rsidRDefault="0039392F" w:rsidP="0039392F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totrmsabvgrd</w:t>
            </w:r>
            <w:proofErr w:type="spellEnd"/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0CAD228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6.5547945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ED0A05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6.1340694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A63236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6.8686244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E13DFF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6.5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144D8E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8.1666667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2F02C69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7</w:t>
            </w:r>
          </w:p>
        </w:tc>
      </w:tr>
      <w:tr w:rsidR="0039392F" w:rsidRPr="0039392F" w14:paraId="548AA5FF" w14:textId="77777777" w:rsidTr="00AD74EB">
        <w:trPr>
          <w:trHeight w:val="230"/>
        </w:trPr>
        <w:tc>
          <w:tcPr>
            <w:tcW w:w="15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2320B37" w14:textId="77777777" w:rsidR="0039392F" w:rsidRPr="007F6113" w:rsidRDefault="0039392F" w:rsidP="0039392F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garageyrblt</w:t>
            </w:r>
            <w:proofErr w:type="spellEnd"/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4E51865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1951.18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E5A53F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1967.66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013176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1995.86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D351F6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1969.08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FC18E5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1950.5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753CA75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1990.33</w:t>
            </w:r>
          </w:p>
        </w:tc>
      </w:tr>
      <w:tr w:rsidR="0039392F" w:rsidRPr="0039392F" w14:paraId="7CE15D89" w14:textId="77777777" w:rsidTr="00AD74EB">
        <w:trPr>
          <w:trHeight w:val="230"/>
        </w:trPr>
        <w:tc>
          <w:tcPr>
            <w:tcW w:w="15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60F0A04" w14:textId="77777777" w:rsidR="0039392F" w:rsidRPr="007F6113" w:rsidRDefault="0039392F" w:rsidP="0039392F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garagecars</w:t>
            </w:r>
            <w:proofErr w:type="spellEnd"/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A00283F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1.3082192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14EF33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1.4952681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294A18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2.1468315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0C815D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CBB65D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1.6666667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01FBEA4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</w:tr>
      <w:tr w:rsidR="0039392F" w:rsidRPr="0039392F" w14:paraId="3B03490B" w14:textId="77777777" w:rsidTr="00AD74EB">
        <w:trPr>
          <w:trHeight w:val="230"/>
        </w:trPr>
        <w:tc>
          <w:tcPr>
            <w:tcW w:w="15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CCE474E" w14:textId="77777777" w:rsidR="0039392F" w:rsidRPr="007F6113" w:rsidRDefault="0039392F" w:rsidP="0039392F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garagearea</w:t>
            </w:r>
            <w:proofErr w:type="spellEnd"/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09262F6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344.6575342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EB594C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410.8533123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CDA1F5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566.1483771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CB1CAF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375.0416667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180F88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464.3333333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D18C9D1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555</w:t>
            </w:r>
          </w:p>
        </w:tc>
      </w:tr>
      <w:tr w:rsidR="0039392F" w:rsidRPr="0039392F" w14:paraId="0CF8531D" w14:textId="77777777" w:rsidTr="00AD74EB">
        <w:trPr>
          <w:trHeight w:val="230"/>
        </w:trPr>
        <w:tc>
          <w:tcPr>
            <w:tcW w:w="15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815F70D" w14:textId="77777777" w:rsidR="0039392F" w:rsidRPr="007F6113" w:rsidRDefault="0039392F" w:rsidP="0039392F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openporchsf</w:t>
            </w:r>
            <w:proofErr w:type="spellEnd"/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DB36F36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26.9133409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BE3B03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32.4453435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EADE78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63.0543646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658F83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8.7083333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3F8057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67.8333333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E2B44B9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14</w:t>
            </w:r>
          </w:p>
        </w:tc>
      </w:tr>
      <w:tr w:rsidR="0039392F" w:rsidRPr="0039392F" w14:paraId="0BBA186D" w14:textId="77777777" w:rsidTr="00AD74EB">
        <w:trPr>
          <w:trHeight w:val="230"/>
        </w:trPr>
        <w:tc>
          <w:tcPr>
            <w:tcW w:w="15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D993436" w14:textId="1590BEE7" w:rsidR="0039392F" w:rsidRPr="007F6113" w:rsidRDefault="0072448B" w:rsidP="0039392F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M</w:t>
            </w:r>
            <w:r w:rsidR="0039392F"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iscval</w:t>
            </w:r>
            <w:proofErr w:type="spellEnd"/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974C9B1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27.5342466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6A6F7B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33.5073863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4395E7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9.3972179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DA9F0E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71.868394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14914A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416.6666667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F167603" w14:textId="77777777" w:rsidR="0039392F" w:rsidRPr="007F6113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F6113">
              <w:rPr>
                <w:rFonts w:eastAsia="Times New Roman" w:cstheme="minorHAnsi"/>
                <w:color w:val="000000"/>
                <w:sz w:val="20"/>
                <w:szCs w:val="20"/>
              </w:rPr>
              <w:t>233.3333333</w:t>
            </w:r>
          </w:p>
        </w:tc>
      </w:tr>
      <w:tr w:rsidR="0039392F" w:rsidRPr="0039392F" w14:paraId="304161DB" w14:textId="77777777" w:rsidTr="00AD74EB">
        <w:trPr>
          <w:trHeight w:val="240"/>
        </w:trPr>
        <w:tc>
          <w:tcPr>
            <w:tcW w:w="154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D47BE13" w14:textId="2014F7B5" w:rsidR="0039392F" w:rsidRPr="0039392F" w:rsidRDefault="0039392F" w:rsidP="0039392F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AD74EB">
              <w:rPr>
                <w:rFonts w:eastAsia="Times New Roman" w:cstheme="minorHAnsi"/>
                <w:color w:val="000000"/>
                <w:sz w:val="20"/>
                <w:szCs w:val="20"/>
              </w:rPr>
              <w:t>Y</w:t>
            </w:r>
            <w:r w:rsidRPr="0039392F">
              <w:rPr>
                <w:rFonts w:eastAsia="Times New Roman" w:cstheme="minorHAnsi"/>
                <w:color w:val="000000"/>
                <w:sz w:val="20"/>
                <w:szCs w:val="20"/>
              </w:rPr>
              <w:t>rsold</w:t>
            </w:r>
            <w:proofErr w:type="spellEnd"/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453CCBF" w14:textId="77777777" w:rsidR="0039392F" w:rsidRPr="0039392F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9392F">
              <w:rPr>
                <w:rFonts w:eastAsia="Times New Roman" w:cstheme="minorHAnsi"/>
                <w:color w:val="000000"/>
                <w:sz w:val="20"/>
                <w:szCs w:val="20"/>
              </w:rPr>
              <w:t>2007.73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5DE2A050" w14:textId="77777777" w:rsidR="0039392F" w:rsidRPr="0039392F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9392F">
              <w:rPr>
                <w:rFonts w:eastAsia="Times New Roman" w:cstheme="minorHAnsi"/>
                <w:color w:val="000000"/>
                <w:sz w:val="20"/>
                <w:szCs w:val="20"/>
              </w:rPr>
              <w:t>2007.87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5A2D109A" w14:textId="77777777" w:rsidR="0039392F" w:rsidRPr="0039392F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9392F">
              <w:rPr>
                <w:rFonts w:eastAsia="Times New Roman" w:cstheme="minorHAnsi"/>
                <w:color w:val="000000"/>
                <w:sz w:val="20"/>
                <w:szCs w:val="20"/>
              </w:rPr>
              <w:t>2007.77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0DE2C13C" w14:textId="77777777" w:rsidR="0039392F" w:rsidRPr="0039392F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9392F">
              <w:rPr>
                <w:rFonts w:eastAsia="Times New Roman" w:cstheme="minorHAnsi"/>
                <w:color w:val="000000"/>
                <w:sz w:val="20"/>
                <w:szCs w:val="20"/>
              </w:rPr>
              <w:t>2008.04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4F1BD3BE" w14:textId="77777777" w:rsidR="0039392F" w:rsidRPr="0039392F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9392F">
              <w:rPr>
                <w:rFonts w:eastAsia="Times New Roman" w:cstheme="minorHAnsi"/>
                <w:color w:val="000000"/>
                <w:sz w:val="20"/>
                <w:szCs w:val="20"/>
              </w:rPr>
              <w:t>2008.67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7996FBA8" w14:textId="77777777" w:rsidR="0039392F" w:rsidRPr="0039392F" w:rsidRDefault="0039392F" w:rsidP="0039392F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9392F">
              <w:rPr>
                <w:rFonts w:eastAsia="Times New Roman" w:cstheme="minorHAnsi"/>
                <w:color w:val="000000"/>
                <w:sz w:val="20"/>
                <w:szCs w:val="20"/>
              </w:rPr>
              <w:t>2008.33</w:t>
            </w:r>
          </w:p>
        </w:tc>
      </w:tr>
    </w:tbl>
    <w:p w14:paraId="2ED3810D" w14:textId="5A8DDF0E" w:rsidR="00C254E3" w:rsidRDefault="00C254E3" w:rsidP="00DE0A66"/>
    <w:p w14:paraId="0FB2FA20" w14:textId="60324F87" w:rsidR="00F26D26" w:rsidRDefault="00F26D26" w:rsidP="00DE0A66"/>
    <w:p w14:paraId="0521C6D6" w14:textId="77777777" w:rsidR="00F26D26" w:rsidRDefault="00F26D26" w:rsidP="00DE0A66"/>
    <w:p w14:paraId="23E9BB1C" w14:textId="09FBC102" w:rsidR="00AD74EB" w:rsidRDefault="00A53AAD" w:rsidP="00DE0A66">
      <w:proofErr w:type="spellStart"/>
      <w:r>
        <w:t>Lets</w:t>
      </w:r>
      <w:proofErr w:type="spellEnd"/>
      <w:r>
        <w:t xml:space="preserve">, </w:t>
      </w:r>
      <w:r w:rsidR="00AD74EB">
        <w:t xml:space="preserve">Plot </w:t>
      </w:r>
      <w:r>
        <w:t>the above</w:t>
      </w:r>
      <w:r w:rsidR="00AD74EB">
        <w:t xml:space="preserve"> mean distribution.</w:t>
      </w:r>
    </w:p>
    <w:p w14:paraId="1A282C91" w14:textId="77777777" w:rsidR="00A53AAD" w:rsidRDefault="00A53AAD" w:rsidP="00DE0A66"/>
    <w:p w14:paraId="70EB7E1D" w14:textId="39B981D5" w:rsidR="0039392F" w:rsidRDefault="0039392F" w:rsidP="00DE0A66">
      <w:r>
        <w:rPr>
          <w:noProof/>
        </w:rPr>
        <w:drawing>
          <wp:inline distT="0" distB="0" distL="0" distR="0" wp14:anchorId="1CB6988E" wp14:editId="717C9B9F">
            <wp:extent cx="6301740" cy="2766060"/>
            <wp:effectExtent l="0" t="0" r="3810" b="1524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D85B9AC6-08D2-4364-B62E-EAD2FCFE432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8E7ECA9" w14:textId="37F0F126" w:rsidR="00C254E3" w:rsidRDefault="00C254E3" w:rsidP="00DE0A66"/>
    <w:p w14:paraId="5F6F8ED4" w14:textId="1C86CC80" w:rsidR="0039392F" w:rsidRDefault="0039392F" w:rsidP="00A53AAD">
      <w:pPr>
        <w:ind w:firstLine="720"/>
      </w:pPr>
      <w:r>
        <w:t xml:space="preserve">We can note that number of </w:t>
      </w:r>
      <w:proofErr w:type="spellStart"/>
      <w:r>
        <w:t>Cblock</w:t>
      </w:r>
      <w:proofErr w:type="spellEnd"/>
      <w:r>
        <w:t xml:space="preserve"> and </w:t>
      </w:r>
      <w:proofErr w:type="spellStart"/>
      <w:r>
        <w:t>PConc</w:t>
      </w:r>
      <w:proofErr w:type="spellEnd"/>
      <w:r>
        <w:t xml:space="preserve"> is very high and </w:t>
      </w:r>
      <w:proofErr w:type="gramStart"/>
      <w:r>
        <w:t>consumes  88</w:t>
      </w:r>
      <w:proofErr w:type="gramEnd"/>
      <w:r>
        <w:t>% of the dataset. While slab and wood have negligible amount of data. This might cause misclassifying slab or wood type.</w:t>
      </w:r>
    </w:p>
    <w:p w14:paraId="0E87E4D2" w14:textId="77777777" w:rsidR="0039392F" w:rsidRDefault="0039392F" w:rsidP="0039392F"/>
    <w:p w14:paraId="315FFE92" w14:textId="7D59FE50" w:rsidR="00C254E3" w:rsidRDefault="0039392F" w:rsidP="00A53AAD">
      <w:pPr>
        <w:ind w:firstLine="720"/>
      </w:pPr>
      <w:r>
        <w:t xml:space="preserve">Variables </w:t>
      </w:r>
      <w:proofErr w:type="spellStart"/>
      <w:r>
        <w:t>masvnarea</w:t>
      </w:r>
      <w:proofErr w:type="spellEnd"/>
      <w:r>
        <w:t xml:space="preserve">, bsmtfinsf1, </w:t>
      </w:r>
      <w:proofErr w:type="spellStart"/>
      <w:r>
        <w:t>bsmtunfsf</w:t>
      </w:r>
      <w:proofErr w:type="spellEnd"/>
      <w:r>
        <w:t xml:space="preserve">, </w:t>
      </w:r>
      <w:proofErr w:type="spellStart"/>
      <w:r>
        <w:t>totalbsmtsf</w:t>
      </w:r>
      <w:proofErr w:type="spellEnd"/>
      <w:r>
        <w:t xml:space="preserve"> and x2ndflrsf differ noticeably between each foundation type. </w:t>
      </w:r>
      <w:proofErr w:type="gramStart"/>
      <w:r>
        <w:t>These predictor</w:t>
      </w:r>
      <w:proofErr w:type="gramEnd"/>
      <w:r>
        <w:t xml:space="preserve"> will have higher impact of classifying on foundation type to another.</w:t>
      </w:r>
    </w:p>
    <w:p w14:paraId="007E48F7" w14:textId="07C1CFA0" w:rsidR="0039392F" w:rsidRDefault="0039392F" w:rsidP="0039392F"/>
    <w:p w14:paraId="5D3E4B81" w14:textId="546B17E0" w:rsidR="00B1262D" w:rsidRDefault="00B1262D" w:rsidP="00DE0A66">
      <w:r>
        <w:t xml:space="preserve">Since chi-square </w:t>
      </w:r>
      <w:r w:rsidR="005D4644">
        <w:t>test for within covariance failed, we will use pooled covariance in our model.</w:t>
      </w:r>
    </w:p>
    <w:p w14:paraId="2B7FC29E" w14:textId="77777777" w:rsidR="00F26D26" w:rsidRDefault="00F26D26" w:rsidP="00DE0A66"/>
    <w:p w14:paraId="6D3154CF" w14:textId="77777777" w:rsidR="00890F56" w:rsidRDefault="00890F56" w:rsidP="00DE0A66">
      <w:pPr>
        <w:rPr>
          <w:b/>
          <w:u w:val="single"/>
        </w:rPr>
      </w:pPr>
    </w:p>
    <w:p w14:paraId="4567F597" w14:textId="111B9F4B" w:rsidR="0039392F" w:rsidRPr="00BE7263" w:rsidRDefault="00BE7263" w:rsidP="007F6113">
      <w:pPr>
        <w:pStyle w:val="ListParagraph"/>
        <w:numPr>
          <w:ilvl w:val="0"/>
          <w:numId w:val="8"/>
        </w:numPr>
        <w:rPr>
          <w:b/>
          <w:u w:val="single"/>
        </w:rPr>
      </w:pPr>
      <w:r w:rsidRPr="00BE7263">
        <w:rPr>
          <w:b/>
          <w:u w:val="single"/>
        </w:rPr>
        <w:t>Model</w:t>
      </w:r>
      <w:r w:rsidR="001B71E9">
        <w:rPr>
          <w:b/>
          <w:u w:val="single"/>
        </w:rPr>
        <w:t xml:space="preserve"> building</w:t>
      </w:r>
      <w:r w:rsidRPr="00BE7263">
        <w:rPr>
          <w:b/>
          <w:u w:val="single"/>
        </w:rPr>
        <w:t>:</w:t>
      </w:r>
    </w:p>
    <w:p w14:paraId="06660BEF" w14:textId="77777777" w:rsidR="00BE7263" w:rsidRDefault="00BE7263" w:rsidP="00DE0A66"/>
    <w:p w14:paraId="647597D1" w14:textId="210641EE" w:rsidR="00A0485E" w:rsidRDefault="00E83F99" w:rsidP="00DE0A66">
      <w:r>
        <w:t xml:space="preserve">We </w:t>
      </w:r>
      <w:r w:rsidR="001B71E9">
        <w:t xml:space="preserve">have run </w:t>
      </w:r>
      <w:proofErr w:type="spellStart"/>
      <w:r w:rsidR="001B71E9">
        <w:t>variaous</w:t>
      </w:r>
      <w:proofErr w:type="spellEnd"/>
      <w:r w:rsidR="001B71E9">
        <w:t xml:space="preserve"> models, thrown away variables with </w:t>
      </w:r>
      <w:proofErr w:type="spellStart"/>
      <w:r w:rsidR="001B71E9">
        <w:t>pvalue</w:t>
      </w:r>
      <w:proofErr w:type="spellEnd"/>
      <w:r w:rsidR="001B71E9">
        <w:t xml:space="preserve"> &gt; 0.05. </w:t>
      </w:r>
      <w:r>
        <w:t xml:space="preserve">The below </w:t>
      </w:r>
      <w:r w:rsidR="001B71E9">
        <w:t>summary</w:t>
      </w:r>
      <w:r>
        <w:t xml:space="preserve"> is </w:t>
      </w:r>
      <w:r w:rsidR="001B71E9">
        <w:t>of our final model.</w:t>
      </w:r>
    </w:p>
    <w:p w14:paraId="5CDCB5FC" w14:textId="1A3E7BAF" w:rsidR="00D8197F" w:rsidRDefault="00D8197F" w:rsidP="00DE0A66"/>
    <w:p w14:paraId="6A1BBB11" w14:textId="64C0A960" w:rsidR="00D8197F" w:rsidRDefault="005D4644" w:rsidP="00DE0A66">
      <w:r w:rsidRPr="00D660C4">
        <w:rPr>
          <w:b/>
        </w:rPr>
        <w:t>Statistics</w:t>
      </w:r>
      <w:r>
        <w:t>:</w:t>
      </w:r>
      <w:bookmarkStart w:id="0" w:name="_GoBack"/>
      <w:bookmarkEnd w:id="0"/>
    </w:p>
    <w:p w14:paraId="640FD732" w14:textId="4F424268" w:rsidR="00A0485E" w:rsidRDefault="00A0485E" w:rsidP="001B71E9">
      <w:pPr>
        <w:jc w:val="center"/>
      </w:pPr>
      <w:r>
        <w:rPr>
          <w:noProof/>
        </w:rPr>
        <w:lastRenderedPageBreak/>
        <w:drawing>
          <wp:inline distT="0" distB="0" distL="0" distR="0" wp14:anchorId="037CC6E1" wp14:editId="6A69D06A">
            <wp:extent cx="2638425" cy="58469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8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71E9">
        <w:rPr>
          <w:noProof/>
        </w:rPr>
        <w:drawing>
          <wp:inline distT="0" distB="0" distL="0" distR="0" wp14:anchorId="3BFA6F3E" wp14:editId="118A60BD">
            <wp:extent cx="1882140" cy="790639"/>
            <wp:effectExtent l="0" t="0" r="381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79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87796" w14:textId="73A1D13B" w:rsidR="00A0485E" w:rsidRDefault="00A0485E" w:rsidP="00DE0A66"/>
    <w:p w14:paraId="4FBC8706" w14:textId="45A1B2E9" w:rsidR="005D4644" w:rsidRDefault="008F3940" w:rsidP="001B71E9">
      <w:pPr>
        <w:jc w:val="center"/>
      </w:pPr>
      <w:r>
        <w:rPr>
          <w:noProof/>
        </w:rPr>
        <w:drawing>
          <wp:inline distT="0" distB="0" distL="0" distR="0" wp14:anchorId="67595BF9" wp14:editId="502A91AE">
            <wp:extent cx="2750820" cy="1045197"/>
            <wp:effectExtent l="0" t="0" r="0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1512" cy="1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54E96" w14:textId="510375F7" w:rsidR="005D4644" w:rsidRDefault="005D4644" w:rsidP="00DE0A66"/>
    <w:p w14:paraId="0CD163AB" w14:textId="66858C42" w:rsidR="001B71E9" w:rsidRDefault="001B71E9" w:rsidP="001B71E9">
      <w:pPr>
        <w:ind w:firstLine="720"/>
      </w:pPr>
      <w:r>
        <w:t>Since the mean values of each response variable differ from the factor levels we move on to univariate analysis.</w:t>
      </w:r>
    </w:p>
    <w:p w14:paraId="2C62B8C3" w14:textId="77777777" w:rsidR="00D660C4" w:rsidRDefault="00D660C4" w:rsidP="001B71E9">
      <w:pPr>
        <w:ind w:firstLine="720"/>
      </w:pPr>
    </w:p>
    <w:p w14:paraId="119A1756" w14:textId="77777777" w:rsidR="005D4644" w:rsidRDefault="005D4644" w:rsidP="00DE0A66"/>
    <w:p w14:paraId="4FA33161" w14:textId="30572711" w:rsidR="00A0485E" w:rsidRPr="00A0485E" w:rsidRDefault="00A0485E" w:rsidP="007F6113">
      <w:pPr>
        <w:pStyle w:val="ListParagraph"/>
        <w:numPr>
          <w:ilvl w:val="0"/>
          <w:numId w:val="8"/>
        </w:numPr>
        <w:rPr>
          <w:b/>
          <w:u w:val="single"/>
        </w:rPr>
      </w:pPr>
      <w:r w:rsidRPr="00A0485E">
        <w:rPr>
          <w:b/>
          <w:u w:val="single"/>
        </w:rPr>
        <w:t>Frequency and Priors</w:t>
      </w:r>
    </w:p>
    <w:p w14:paraId="07426A3F" w14:textId="7D9678F1" w:rsidR="00E83F99" w:rsidRDefault="00E83F99" w:rsidP="00DE0A66"/>
    <w:p w14:paraId="222471CE" w14:textId="32ECA3E8" w:rsidR="00A0485E" w:rsidRDefault="006F137F" w:rsidP="005D376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B58B906" wp14:editId="040D9D84">
            <wp:extent cx="3855720" cy="168446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168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701B2" w14:textId="77777777" w:rsidR="00A0485E" w:rsidRDefault="00A0485E" w:rsidP="00DE0A66">
      <w:pPr>
        <w:rPr>
          <w:noProof/>
        </w:rPr>
      </w:pPr>
    </w:p>
    <w:p w14:paraId="037D6343" w14:textId="1CF98C06" w:rsidR="00E83F99" w:rsidRDefault="00E83F99" w:rsidP="00DE0A66">
      <w:r>
        <w:t xml:space="preserve"> </w:t>
      </w:r>
      <w:r w:rsidR="006C3B09">
        <w:tab/>
      </w:r>
      <w:r>
        <w:t xml:space="preserve">From the </w:t>
      </w:r>
      <w:proofErr w:type="gramStart"/>
      <w:r>
        <w:t>information</w:t>
      </w:r>
      <w:proofErr w:type="gramEnd"/>
      <w:r>
        <w:t xml:space="preserve"> we can see that priors </w:t>
      </w:r>
      <w:r w:rsidR="00A0485E">
        <w:t xml:space="preserve">are </w:t>
      </w:r>
      <w:r w:rsidR="00D76056">
        <w:t>arbitrary</w:t>
      </w:r>
      <w:r w:rsidR="00A0485E">
        <w:t>. The decision to set is based on frequency and</w:t>
      </w:r>
      <w:r w:rsidR="005D3761">
        <w:t xml:space="preserve"> probability of them happening, good accuracy model.</w:t>
      </w:r>
    </w:p>
    <w:p w14:paraId="77251317" w14:textId="645A4254" w:rsidR="00F66033" w:rsidRDefault="00F66033" w:rsidP="00DE0A66"/>
    <w:p w14:paraId="7D9F37C3" w14:textId="64D36990" w:rsidR="00E83F99" w:rsidRDefault="005D3761" w:rsidP="005D3761">
      <w:pPr>
        <w:ind w:firstLine="720"/>
      </w:pPr>
      <w:proofErr w:type="spellStart"/>
      <w:r>
        <w:t>PConc</w:t>
      </w:r>
      <w:proofErr w:type="spellEnd"/>
      <w:r>
        <w:t xml:space="preserve"> has a prior of 0.42 because of its domination on the dataset. Although </w:t>
      </w:r>
      <w:proofErr w:type="spellStart"/>
      <w:r>
        <w:t>CBlock</w:t>
      </w:r>
      <w:proofErr w:type="spellEnd"/>
      <w:r>
        <w:t xml:space="preserve"> is frequent it has been reduced and </w:t>
      </w:r>
      <w:proofErr w:type="spellStart"/>
      <w:r>
        <w:t>BrkTile</w:t>
      </w:r>
      <w:proofErr w:type="spellEnd"/>
      <w:r>
        <w:t xml:space="preserve"> has been increased to reduce the misclassifications of </w:t>
      </w:r>
      <w:proofErr w:type="spellStart"/>
      <w:r>
        <w:t>BrkTile</w:t>
      </w:r>
      <w:proofErr w:type="spellEnd"/>
      <w:r>
        <w:t xml:space="preserve"> into </w:t>
      </w:r>
      <w:proofErr w:type="spellStart"/>
      <w:r>
        <w:t>CBlock</w:t>
      </w:r>
      <w:proofErr w:type="spellEnd"/>
      <w:r>
        <w:t>.</w:t>
      </w:r>
    </w:p>
    <w:p w14:paraId="1D85A822" w14:textId="2B8FECA1" w:rsidR="005D3761" w:rsidRDefault="005D3761" w:rsidP="00DE0A66"/>
    <w:p w14:paraId="4B75B2E1" w14:textId="5463D85A" w:rsidR="005D3761" w:rsidRDefault="005D3761" w:rsidP="005D3761">
      <w:pPr>
        <w:ind w:firstLine="720"/>
      </w:pPr>
      <w:r>
        <w:t>Slab, Stone and wood have been kept low because of its frequency and probability of happening.</w:t>
      </w:r>
    </w:p>
    <w:p w14:paraId="156FDBE0" w14:textId="77777777" w:rsidR="005D3761" w:rsidRDefault="005D3761" w:rsidP="00DE0A66"/>
    <w:p w14:paraId="711FC248" w14:textId="6A6D24F6" w:rsidR="00E83F99" w:rsidRDefault="00E83F99" w:rsidP="00DE0A66"/>
    <w:p w14:paraId="09A42C97" w14:textId="4A1516B3" w:rsidR="00E83F99" w:rsidRPr="00C01805" w:rsidRDefault="00A0485E" w:rsidP="007F6113">
      <w:pPr>
        <w:pStyle w:val="ListParagraph"/>
        <w:numPr>
          <w:ilvl w:val="0"/>
          <w:numId w:val="8"/>
        </w:numPr>
        <w:rPr>
          <w:b/>
          <w:u w:val="single"/>
        </w:rPr>
      </w:pPr>
      <w:r w:rsidRPr="00C01805">
        <w:rPr>
          <w:b/>
          <w:u w:val="single"/>
        </w:rPr>
        <w:t>Comparing</w:t>
      </w:r>
      <w:r w:rsidR="00982A05">
        <w:rPr>
          <w:b/>
          <w:u w:val="single"/>
        </w:rPr>
        <w:t xml:space="preserve"> </w:t>
      </w:r>
      <w:proofErr w:type="spellStart"/>
      <w:proofErr w:type="gramStart"/>
      <w:r w:rsidR="00982A05" w:rsidRPr="00982A05">
        <w:rPr>
          <w:b/>
          <w:u w:val="single"/>
        </w:rPr>
        <w:t>Mahalanobis</w:t>
      </w:r>
      <w:proofErr w:type="spellEnd"/>
      <w:r w:rsidR="00982A05" w:rsidRPr="00982A05">
        <w:rPr>
          <w:b/>
          <w:u w:val="single"/>
        </w:rPr>
        <w:t> </w:t>
      </w:r>
      <w:r w:rsidR="00C01805" w:rsidRPr="00C01805">
        <w:rPr>
          <w:b/>
          <w:u w:val="single"/>
        </w:rPr>
        <w:t xml:space="preserve"> distance</w:t>
      </w:r>
      <w:proofErr w:type="gramEnd"/>
      <w:r w:rsidR="00C01805" w:rsidRPr="00C01805">
        <w:rPr>
          <w:b/>
          <w:u w:val="single"/>
        </w:rPr>
        <w:t xml:space="preserve"> within foundation types</w:t>
      </w:r>
    </w:p>
    <w:p w14:paraId="699BB4C7" w14:textId="4735FD9F" w:rsidR="00E83F99" w:rsidRPr="00982A05" w:rsidRDefault="001B71E9" w:rsidP="00DE0A66">
      <w:pPr>
        <w:rPr>
          <w:b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36E9EC3" wp14:editId="72E6A975">
            <wp:simplePos x="0" y="0"/>
            <wp:positionH relativeFrom="margin">
              <wp:align>left</wp:align>
            </wp:positionH>
            <wp:positionV relativeFrom="paragraph">
              <wp:posOffset>198120</wp:posOffset>
            </wp:positionV>
            <wp:extent cx="3395345" cy="120396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34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B97AE9" w14:textId="2DF9120B" w:rsidR="00E83F99" w:rsidRDefault="001B71E9" w:rsidP="001B71E9">
      <w:r>
        <w:rPr>
          <w:noProof/>
        </w:rPr>
        <w:drawing>
          <wp:inline distT="0" distB="0" distL="0" distR="0" wp14:anchorId="50EB238D" wp14:editId="2217A5B6">
            <wp:extent cx="3383280" cy="1371048"/>
            <wp:effectExtent l="0" t="0" r="762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3781" cy="137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865F9" w14:textId="48709467" w:rsidR="00B61A66" w:rsidRDefault="00B61A66" w:rsidP="00DE0A66"/>
    <w:p w14:paraId="451B928C" w14:textId="73D02748" w:rsidR="00C01805" w:rsidRPr="001F0F26" w:rsidRDefault="00A15775" w:rsidP="001B71E9">
      <w:pPr>
        <w:ind w:firstLine="720"/>
      </w:pPr>
      <w:r>
        <w:t>From the figure above we can n</w:t>
      </w:r>
      <w:r w:rsidR="00B61A66">
        <w:t xml:space="preserve">ote that the distances between </w:t>
      </w:r>
      <w:r>
        <w:t xml:space="preserve">Stone and </w:t>
      </w:r>
      <w:proofErr w:type="spellStart"/>
      <w:r>
        <w:t>BrkTil</w:t>
      </w:r>
      <w:proofErr w:type="spellEnd"/>
      <w:r>
        <w:t xml:space="preserve"> </w:t>
      </w:r>
      <w:proofErr w:type="spellStart"/>
      <w:r>
        <w:t>disnce</w:t>
      </w:r>
      <w:proofErr w:type="spellEnd"/>
      <w:r w:rsidR="00B61A66">
        <w:t xml:space="preserve"> is low, </w:t>
      </w:r>
      <w:proofErr w:type="gramStart"/>
      <w:r w:rsidR="001F0F26">
        <w:t>We</w:t>
      </w:r>
      <w:proofErr w:type="gramEnd"/>
      <w:r w:rsidR="001F0F26">
        <w:t xml:space="preserve"> can see that these fail the </w:t>
      </w:r>
      <w:proofErr w:type="spellStart"/>
      <w:r w:rsidR="001F0F26" w:rsidRPr="00982A05">
        <w:rPr>
          <w:b/>
          <w:u w:val="single"/>
        </w:rPr>
        <w:t>Mahalanobis</w:t>
      </w:r>
      <w:proofErr w:type="spellEnd"/>
      <w:r w:rsidR="001F0F26" w:rsidRPr="00982A05">
        <w:rPr>
          <w:b/>
          <w:u w:val="single"/>
        </w:rPr>
        <w:t> </w:t>
      </w:r>
      <w:r w:rsidR="001F0F26" w:rsidRPr="001F0F26">
        <w:t>significance test</w:t>
      </w:r>
      <w:r w:rsidR="001F0F26">
        <w:t>. classification for these cannot be justified.</w:t>
      </w:r>
    </w:p>
    <w:p w14:paraId="41A245EE" w14:textId="77777777" w:rsidR="001F0F26" w:rsidRDefault="001F0F26" w:rsidP="00C01805"/>
    <w:p w14:paraId="663B3994" w14:textId="0EB0DCB0" w:rsidR="00C01805" w:rsidRDefault="00B61A66" w:rsidP="00C01805">
      <w:r>
        <w:t>Among all the types Slab,</w:t>
      </w:r>
      <w:r w:rsidR="00C01805">
        <w:t xml:space="preserve"> Stone</w:t>
      </w:r>
      <w:r>
        <w:t xml:space="preserve"> and wood</w:t>
      </w:r>
      <w:r w:rsidR="00C01805">
        <w:t xml:space="preserve"> are reasonably different from each other and easier to classify.</w:t>
      </w:r>
    </w:p>
    <w:p w14:paraId="1300AE9E" w14:textId="5617436C" w:rsidR="00E83F99" w:rsidRDefault="00E83F99" w:rsidP="00DE0A66"/>
    <w:p w14:paraId="30F69C48" w14:textId="4EE34F2D" w:rsidR="00021F78" w:rsidRDefault="009802FF" w:rsidP="007F6113">
      <w:pPr>
        <w:pStyle w:val="ListParagraph"/>
        <w:numPr>
          <w:ilvl w:val="0"/>
          <w:numId w:val="8"/>
        </w:numPr>
        <w:rPr>
          <w:b/>
          <w:u w:val="single"/>
        </w:rPr>
      </w:pPr>
      <w:r w:rsidRPr="009802FF">
        <w:rPr>
          <w:b/>
          <w:u w:val="single"/>
        </w:rPr>
        <w:t>Univariate analysis</w:t>
      </w:r>
    </w:p>
    <w:p w14:paraId="01615921" w14:textId="7B8FBE28" w:rsidR="009802FF" w:rsidRDefault="00D660C4" w:rsidP="00DE0A66">
      <w:pPr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C7F7E1" wp14:editId="547EFBF7">
            <wp:simplePos x="0" y="0"/>
            <wp:positionH relativeFrom="margin">
              <wp:align>left</wp:align>
            </wp:positionH>
            <wp:positionV relativeFrom="paragraph">
              <wp:posOffset>185420</wp:posOffset>
            </wp:positionV>
            <wp:extent cx="3619500" cy="3956050"/>
            <wp:effectExtent l="0" t="0" r="0" b="635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1A4E93" w14:textId="0521C503" w:rsidR="009802FF" w:rsidRDefault="009C60DF" w:rsidP="00DE0A66">
      <w:r>
        <w:t xml:space="preserve">We can note the dependent variables included in the model have </w:t>
      </w:r>
      <w:proofErr w:type="spellStart"/>
      <w:r>
        <w:t>pvalues</w:t>
      </w:r>
      <w:proofErr w:type="spellEnd"/>
      <w:r>
        <w:t xml:space="preserve"> &lt; 0.01, making them all signification in classifying the foundation type.</w:t>
      </w:r>
    </w:p>
    <w:p w14:paraId="46322092" w14:textId="3ED89B00" w:rsidR="009C60DF" w:rsidRDefault="009C60DF" w:rsidP="00DE0A66"/>
    <w:p w14:paraId="16BF271E" w14:textId="77777777" w:rsidR="001B71E9" w:rsidRDefault="001B71E9" w:rsidP="00DE0A66"/>
    <w:p w14:paraId="1627D533" w14:textId="2644A534" w:rsidR="001B71E9" w:rsidRDefault="001B71E9" w:rsidP="001B71E9"/>
    <w:p w14:paraId="328271B1" w14:textId="515056CF" w:rsidR="001B71E9" w:rsidRDefault="001B71E9" w:rsidP="001B71E9"/>
    <w:p w14:paraId="121F364B" w14:textId="52728EB9" w:rsidR="001B71E9" w:rsidRDefault="001B71E9" w:rsidP="001B71E9"/>
    <w:p w14:paraId="0FDA20E2" w14:textId="3E2C3121" w:rsidR="001B71E9" w:rsidRDefault="001B71E9" w:rsidP="001B71E9"/>
    <w:p w14:paraId="40658D37" w14:textId="12E742BC" w:rsidR="001B71E9" w:rsidRDefault="001B71E9" w:rsidP="001B71E9"/>
    <w:p w14:paraId="4CF7F246" w14:textId="5F16484F" w:rsidR="001B71E9" w:rsidRDefault="001B71E9" w:rsidP="001B71E9"/>
    <w:p w14:paraId="74E0F994" w14:textId="75D39EC5" w:rsidR="001B71E9" w:rsidRDefault="001B71E9" w:rsidP="001B71E9"/>
    <w:p w14:paraId="527EDD15" w14:textId="67F44FA9" w:rsidR="001B71E9" w:rsidRDefault="001B71E9" w:rsidP="001B71E9"/>
    <w:p w14:paraId="22A0E8DA" w14:textId="1211C099" w:rsidR="001B71E9" w:rsidRDefault="001B71E9" w:rsidP="001B71E9"/>
    <w:p w14:paraId="4E167969" w14:textId="4F3C8417" w:rsidR="001B71E9" w:rsidRDefault="001B71E9" w:rsidP="001B71E9"/>
    <w:p w14:paraId="5FA4431D" w14:textId="3BAFAACB" w:rsidR="001B71E9" w:rsidRDefault="001B71E9" w:rsidP="001B71E9"/>
    <w:p w14:paraId="5D37FFDE" w14:textId="485FC47C" w:rsidR="001B71E9" w:rsidRDefault="001B71E9" w:rsidP="001B71E9"/>
    <w:p w14:paraId="1D01A4E9" w14:textId="63204CA5" w:rsidR="001B71E9" w:rsidRDefault="001B71E9" w:rsidP="001B71E9"/>
    <w:p w14:paraId="69293326" w14:textId="26952140" w:rsidR="001B71E9" w:rsidRDefault="001B71E9" w:rsidP="001B71E9"/>
    <w:p w14:paraId="42296B04" w14:textId="77777777" w:rsidR="00D660C4" w:rsidRDefault="00D660C4" w:rsidP="001B71E9"/>
    <w:p w14:paraId="400A55FC" w14:textId="679183C7" w:rsidR="001B71E9" w:rsidRDefault="001B71E9" w:rsidP="001B71E9"/>
    <w:p w14:paraId="76D63658" w14:textId="48BE1580" w:rsidR="001B71E9" w:rsidRPr="002453D2" w:rsidRDefault="001B71E9" w:rsidP="007F6113">
      <w:pPr>
        <w:pStyle w:val="ListParagraph"/>
        <w:numPr>
          <w:ilvl w:val="0"/>
          <w:numId w:val="8"/>
        </w:numPr>
        <w:rPr>
          <w:b/>
          <w:u w:val="single"/>
        </w:rPr>
      </w:pPr>
      <w:r w:rsidRPr="002453D2">
        <w:rPr>
          <w:b/>
          <w:u w:val="single"/>
        </w:rPr>
        <w:t>LDA score for each foundation type:</w:t>
      </w:r>
    </w:p>
    <w:p w14:paraId="3F4B98C8" w14:textId="77777777" w:rsidR="001B71E9" w:rsidRDefault="001B71E9" w:rsidP="001B71E9"/>
    <w:p w14:paraId="1E0FB3A7" w14:textId="112ACB24" w:rsidR="009C60DF" w:rsidRDefault="009C60DF" w:rsidP="001B71E9">
      <w:pPr>
        <w:jc w:val="center"/>
      </w:pPr>
      <w:r>
        <w:rPr>
          <w:noProof/>
        </w:rPr>
        <w:drawing>
          <wp:inline distT="0" distB="0" distL="0" distR="0" wp14:anchorId="1CE73924" wp14:editId="03214953">
            <wp:extent cx="3642360" cy="3268784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5819" cy="32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FCDBD" w14:textId="77777777" w:rsidR="001B71E9" w:rsidRDefault="001B71E9" w:rsidP="001B71E9"/>
    <w:p w14:paraId="6C6AEA23" w14:textId="620B9B86" w:rsidR="009C60DF" w:rsidRDefault="001B71E9" w:rsidP="001B71E9">
      <w:pPr>
        <w:ind w:firstLine="720"/>
      </w:pPr>
      <w:r>
        <w:t>Looking at the co-</w:t>
      </w:r>
      <w:proofErr w:type="spellStart"/>
      <w:r>
        <w:t>efficients</w:t>
      </w:r>
      <w:proofErr w:type="spellEnd"/>
      <w:r>
        <w:t xml:space="preserve">, </w:t>
      </w:r>
      <w:proofErr w:type="spellStart"/>
      <w:r w:rsidR="000F61A3">
        <w:t>Bsntunsf</w:t>
      </w:r>
      <w:proofErr w:type="spellEnd"/>
      <w:r w:rsidR="000F61A3">
        <w:t xml:space="preserve"> and </w:t>
      </w:r>
      <w:proofErr w:type="spellStart"/>
      <w:r w:rsidR="000F61A3">
        <w:t>log_misCval</w:t>
      </w:r>
      <w:proofErr w:type="spellEnd"/>
      <w:r w:rsidR="000F61A3">
        <w:t xml:space="preserve"> are good classifier for foundation. </w:t>
      </w:r>
      <w:proofErr w:type="spellStart"/>
      <w:proofErr w:type="gramStart"/>
      <w:r w:rsidR="000F61A3">
        <w:t>Totrmsabvfrg</w:t>
      </w:r>
      <w:proofErr w:type="spellEnd"/>
      <w:r w:rsidR="000F61A3">
        <w:t xml:space="preserve">, </w:t>
      </w:r>
      <w:r w:rsidR="00116E99">
        <w:t xml:space="preserve"> </w:t>
      </w:r>
      <w:proofErr w:type="spellStart"/>
      <w:r w:rsidR="000F61A3">
        <w:t>garagearea</w:t>
      </w:r>
      <w:proofErr w:type="spellEnd"/>
      <w:proofErr w:type="gramEnd"/>
      <w:r w:rsidR="000F61A3">
        <w:t xml:space="preserve"> helps to </w:t>
      </w:r>
      <w:proofErr w:type="spellStart"/>
      <w:r w:rsidR="000F61A3">
        <w:t>differenciate</w:t>
      </w:r>
      <w:proofErr w:type="spellEnd"/>
      <w:r w:rsidR="000F61A3">
        <w:t xml:space="preserve"> the foundation types.</w:t>
      </w:r>
    </w:p>
    <w:p w14:paraId="1576FF2E" w14:textId="11283B57" w:rsidR="00116E99" w:rsidRDefault="00116E99" w:rsidP="00DE0A66"/>
    <w:p w14:paraId="4F7931DA" w14:textId="6BAC395C" w:rsidR="00116E99" w:rsidRDefault="001B71E9" w:rsidP="00DE0A66">
      <w:r>
        <w:t>To understand the co-</w:t>
      </w:r>
      <w:proofErr w:type="spellStart"/>
      <w:r>
        <w:t>efficent</w:t>
      </w:r>
      <w:proofErr w:type="spellEnd"/>
      <w:r>
        <w:t xml:space="preserve"> better, </w:t>
      </w:r>
      <w:proofErr w:type="gramStart"/>
      <w:r w:rsidR="00116E99">
        <w:t>Below</w:t>
      </w:r>
      <w:proofErr w:type="gramEnd"/>
      <w:r w:rsidR="00116E99">
        <w:t xml:space="preserve"> are the plots that visually show the difference in co-efficient for a particular variable.</w:t>
      </w:r>
    </w:p>
    <w:p w14:paraId="492160F4" w14:textId="77777777" w:rsidR="0072448B" w:rsidRDefault="0072448B" w:rsidP="00DE0A66"/>
    <w:p w14:paraId="116B0AC4" w14:textId="6EDF365B" w:rsidR="0072448B" w:rsidRPr="0072448B" w:rsidRDefault="0072448B" w:rsidP="0072448B">
      <w:pPr>
        <w:jc w:val="center"/>
        <w:rPr>
          <w:sz w:val="16"/>
          <w:szCs w:val="16"/>
        </w:rPr>
      </w:pPr>
      <w:r w:rsidRPr="0072448B">
        <w:rPr>
          <w:sz w:val="16"/>
          <w:szCs w:val="16"/>
        </w:rPr>
        <w:t xml:space="preserve">Fig: 7.1 </w:t>
      </w:r>
      <w:r>
        <w:rPr>
          <w:sz w:val="16"/>
          <w:szCs w:val="16"/>
        </w:rPr>
        <w:t xml:space="preserve">mean value </w:t>
      </w:r>
      <w:proofErr w:type="spellStart"/>
      <w:r w:rsidRPr="0072448B">
        <w:rPr>
          <w:sz w:val="16"/>
          <w:szCs w:val="16"/>
        </w:rPr>
        <w:t>KitchenAbvgrg</w:t>
      </w:r>
      <w:proofErr w:type="spellEnd"/>
      <w:r w:rsidRPr="0072448B">
        <w:rPr>
          <w:sz w:val="16"/>
          <w:szCs w:val="16"/>
        </w:rPr>
        <w:t xml:space="preserve"> by foundation type</w:t>
      </w:r>
    </w:p>
    <w:p w14:paraId="2B6CC627" w14:textId="0016D251" w:rsidR="000F61A3" w:rsidRDefault="000F61A3" w:rsidP="001B71E9">
      <w:pPr>
        <w:jc w:val="center"/>
      </w:pPr>
      <w:r>
        <w:rPr>
          <w:noProof/>
        </w:rPr>
        <w:drawing>
          <wp:inline distT="0" distB="0" distL="0" distR="0" wp14:anchorId="068F0E8C" wp14:editId="02C73DE6">
            <wp:extent cx="4669800" cy="2453640"/>
            <wp:effectExtent l="19050" t="19050" r="16510" b="2286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533" cy="2462432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F53DEA" w14:textId="38800B16" w:rsidR="000F61A3" w:rsidRDefault="000F61A3" w:rsidP="00DE0A66"/>
    <w:p w14:paraId="61345DA8" w14:textId="2E41D6C6" w:rsidR="000F61A3" w:rsidRDefault="000F61A3" w:rsidP="00DE0A66"/>
    <w:p w14:paraId="351E3968" w14:textId="1CCC0CEA" w:rsidR="0072448B" w:rsidRPr="0072448B" w:rsidRDefault="0072448B" w:rsidP="0072448B">
      <w:pPr>
        <w:jc w:val="center"/>
        <w:rPr>
          <w:sz w:val="16"/>
          <w:szCs w:val="16"/>
        </w:rPr>
      </w:pPr>
      <w:r w:rsidRPr="0072448B">
        <w:rPr>
          <w:sz w:val="16"/>
          <w:szCs w:val="16"/>
        </w:rPr>
        <w:t>Fig:</w:t>
      </w:r>
      <w:r>
        <w:rPr>
          <w:sz w:val="16"/>
          <w:szCs w:val="16"/>
        </w:rPr>
        <w:t xml:space="preserve"> 7.2</w:t>
      </w:r>
      <w:r w:rsidRPr="0072448B">
        <w:rPr>
          <w:sz w:val="16"/>
          <w:szCs w:val="16"/>
        </w:rPr>
        <w:t xml:space="preserve"> </w:t>
      </w:r>
      <w:r>
        <w:rPr>
          <w:sz w:val="16"/>
          <w:szCs w:val="16"/>
        </w:rPr>
        <w:t>mean value</w:t>
      </w:r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miscval</w:t>
      </w:r>
      <w:proofErr w:type="spellEnd"/>
      <w:r w:rsidRPr="0072448B">
        <w:rPr>
          <w:sz w:val="16"/>
          <w:szCs w:val="16"/>
        </w:rPr>
        <w:t xml:space="preserve"> by foundation type</w:t>
      </w:r>
    </w:p>
    <w:p w14:paraId="1482F27A" w14:textId="308B8528" w:rsidR="000F61A3" w:rsidRDefault="000F61A3" w:rsidP="001B71E9">
      <w:pPr>
        <w:jc w:val="center"/>
      </w:pPr>
      <w:r>
        <w:rPr>
          <w:noProof/>
        </w:rPr>
        <w:lastRenderedPageBreak/>
        <w:drawing>
          <wp:inline distT="0" distB="0" distL="0" distR="0" wp14:anchorId="449D9908" wp14:editId="3463B66A">
            <wp:extent cx="4677699" cy="2444298"/>
            <wp:effectExtent l="19050" t="19050" r="27940" b="133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8432" cy="2449906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800C4C" w14:textId="6DFD155A" w:rsidR="00116E99" w:rsidRDefault="00116E99" w:rsidP="00DE0A66"/>
    <w:p w14:paraId="426BB15D" w14:textId="77777777" w:rsidR="00F26D26" w:rsidRDefault="00F26D26" w:rsidP="00DE0A66"/>
    <w:p w14:paraId="4C013469" w14:textId="140970F7" w:rsidR="0072448B" w:rsidRPr="00CD7AC9" w:rsidRDefault="0072448B" w:rsidP="00CD7AC9">
      <w:pPr>
        <w:jc w:val="center"/>
        <w:rPr>
          <w:sz w:val="16"/>
          <w:szCs w:val="16"/>
        </w:rPr>
      </w:pPr>
      <w:r w:rsidRPr="00CD7AC9">
        <w:rPr>
          <w:sz w:val="16"/>
          <w:szCs w:val="16"/>
        </w:rPr>
        <w:t>Fig:</w:t>
      </w:r>
      <w:r w:rsidR="00CD7AC9" w:rsidRPr="00CD7AC9">
        <w:rPr>
          <w:sz w:val="16"/>
          <w:szCs w:val="16"/>
        </w:rPr>
        <w:t xml:space="preserve"> 7.3 mean value of bsmtfuns</w:t>
      </w:r>
      <w:proofErr w:type="gramStart"/>
      <w:r w:rsidR="00CD7AC9" w:rsidRPr="00CD7AC9">
        <w:rPr>
          <w:sz w:val="16"/>
          <w:szCs w:val="16"/>
        </w:rPr>
        <w:t>1 ,</w:t>
      </w:r>
      <w:proofErr w:type="gramEnd"/>
      <w:r w:rsidR="00CD7AC9" w:rsidRPr="00CD7AC9">
        <w:rPr>
          <w:sz w:val="16"/>
          <w:szCs w:val="16"/>
        </w:rPr>
        <w:t xml:space="preserve"> mean value of </w:t>
      </w:r>
      <w:proofErr w:type="spellStart"/>
      <w:r w:rsidR="00CD7AC9" w:rsidRPr="00CD7AC9">
        <w:rPr>
          <w:sz w:val="16"/>
          <w:szCs w:val="16"/>
        </w:rPr>
        <w:t>bsmtunfsf</w:t>
      </w:r>
      <w:proofErr w:type="spellEnd"/>
      <w:r w:rsidR="00CD7AC9" w:rsidRPr="00CD7AC9">
        <w:rPr>
          <w:sz w:val="16"/>
          <w:szCs w:val="16"/>
        </w:rPr>
        <w:t xml:space="preserve"> by foundation type</w:t>
      </w:r>
    </w:p>
    <w:p w14:paraId="3A28AE09" w14:textId="71EFFF30" w:rsidR="00116E99" w:rsidRDefault="00116E99" w:rsidP="001B71E9">
      <w:pPr>
        <w:jc w:val="center"/>
      </w:pPr>
      <w:r>
        <w:rPr>
          <w:noProof/>
        </w:rPr>
        <w:drawing>
          <wp:inline distT="0" distB="0" distL="0" distR="0" wp14:anchorId="1E319057" wp14:editId="07CF2B53">
            <wp:extent cx="4887241" cy="2438400"/>
            <wp:effectExtent l="19050" t="19050" r="27940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7065" cy="2463259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1DDB03" w14:textId="77777777" w:rsidR="00F26D26" w:rsidRDefault="00F26D26" w:rsidP="001B71E9">
      <w:pPr>
        <w:jc w:val="center"/>
      </w:pPr>
    </w:p>
    <w:p w14:paraId="17380A4A" w14:textId="77777777" w:rsidR="000F61A3" w:rsidRDefault="000F61A3" w:rsidP="00DE0A66"/>
    <w:p w14:paraId="2498B3BD" w14:textId="6367043F" w:rsidR="00021F78" w:rsidRDefault="009802FF" w:rsidP="007F6113">
      <w:pPr>
        <w:pStyle w:val="ListParagraph"/>
        <w:numPr>
          <w:ilvl w:val="0"/>
          <w:numId w:val="8"/>
        </w:numPr>
        <w:rPr>
          <w:b/>
          <w:u w:val="single"/>
        </w:rPr>
      </w:pPr>
      <w:r w:rsidRPr="000125F3">
        <w:rPr>
          <w:b/>
          <w:u w:val="single"/>
        </w:rPr>
        <w:t xml:space="preserve">Classification </w:t>
      </w:r>
      <w:r w:rsidR="00023618">
        <w:rPr>
          <w:b/>
          <w:u w:val="single"/>
        </w:rPr>
        <w:t>summary</w:t>
      </w:r>
    </w:p>
    <w:p w14:paraId="21E7DF5E" w14:textId="5FEA1018" w:rsidR="001B71E9" w:rsidRDefault="001B71E9" w:rsidP="00DE0A66">
      <w:pPr>
        <w:rPr>
          <w:b/>
          <w:u w:val="single"/>
        </w:rPr>
      </w:pPr>
    </w:p>
    <w:p w14:paraId="31784508" w14:textId="77777777" w:rsidR="00F26D26" w:rsidRPr="000125F3" w:rsidRDefault="00F26D26" w:rsidP="00DE0A66">
      <w:pPr>
        <w:rPr>
          <w:b/>
          <w:u w:val="single"/>
        </w:rPr>
      </w:pPr>
    </w:p>
    <w:p w14:paraId="15DA3E87" w14:textId="5DEE884C" w:rsidR="00021F78" w:rsidRDefault="00023618" w:rsidP="00023618">
      <w:pPr>
        <w:jc w:val="center"/>
      </w:pPr>
      <w:r>
        <w:rPr>
          <w:noProof/>
        </w:rPr>
        <w:lastRenderedPageBreak/>
        <w:drawing>
          <wp:inline distT="0" distB="0" distL="0" distR="0" wp14:anchorId="63158885" wp14:editId="622D2847">
            <wp:extent cx="3825240" cy="3634998"/>
            <wp:effectExtent l="0" t="0" r="381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1748" cy="364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FADC4" w14:textId="4810F2A3" w:rsidR="00F26D26" w:rsidRDefault="00F26D26" w:rsidP="00023618">
      <w:pPr>
        <w:jc w:val="center"/>
      </w:pPr>
    </w:p>
    <w:p w14:paraId="4D392DD5" w14:textId="77777777" w:rsidR="00F26D26" w:rsidRDefault="00F26D26" w:rsidP="00023618">
      <w:pPr>
        <w:jc w:val="center"/>
      </w:pPr>
    </w:p>
    <w:p w14:paraId="678BA51A" w14:textId="0DDECD53" w:rsidR="00021F78" w:rsidRDefault="00021F78" w:rsidP="00DE0A66"/>
    <w:p w14:paraId="3777ACE3" w14:textId="220C495B" w:rsidR="009802FF" w:rsidRDefault="00023618" w:rsidP="006C3B09">
      <w:pPr>
        <w:pStyle w:val="ListParagraph"/>
        <w:numPr>
          <w:ilvl w:val="0"/>
          <w:numId w:val="6"/>
        </w:numPr>
      </w:pPr>
      <w:r>
        <w:t xml:space="preserve">Out of 146 </w:t>
      </w:r>
      <w:proofErr w:type="spellStart"/>
      <w:r>
        <w:t>BrkTil</w:t>
      </w:r>
      <w:proofErr w:type="spellEnd"/>
      <w:r>
        <w:t xml:space="preserve"> Type only 13</w:t>
      </w:r>
      <w:r w:rsidR="009802FF">
        <w:t>3 got classified correctly.</w:t>
      </w:r>
    </w:p>
    <w:p w14:paraId="329CADAB" w14:textId="7103F29A" w:rsidR="009802FF" w:rsidRDefault="00023618" w:rsidP="006C3B09">
      <w:pPr>
        <w:pStyle w:val="ListParagraph"/>
        <w:numPr>
          <w:ilvl w:val="0"/>
          <w:numId w:val="6"/>
        </w:numPr>
      </w:pPr>
      <w:r>
        <w:t>5</w:t>
      </w:r>
      <w:r w:rsidR="009802FF">
        <w:t xml:space="preserve">% of </w:t>
      </w:r>
      <w:proofErr w:type="spellStart"/>
      <w:r w:rsidR="009802FF">
        <w:t>BrkTile</w:t>
      </w:r>
      <w:proofErr w:type="spellEnd"/>
      <w:r w:rsidR="009802FF">
        <w:t xml:space="preserve"> ended up as </w:t>
      </w:r>
      <w:proofErr w:type="spellStart"/>
      <w:r w:rsidR="009802FF">
        <w:t>CBlock</w:t>
      </w:r>
      <w:proofErr w:type="spellEnd"/>
      <w:r w:rsidR="009802FF">
        <w:t>.</w:t>
      </w:r>
    </w:p>
    <w:p w14:paraId="0E7EE451" w14:textId="60C1F0FD" w:rsidR="009802FF" w:rsidRDefault="00023618" w:rsidP="006C3B09">
      <w:pPr>
        <w:pStyle w:val="ListParagraph"/>
        <w:numPr>
          <w:ilvl w:val="0"/>
          <w:numId w:val="6"/>
        </w:numPr>
      </w:pPr>
      <w:r>
        <w:t>86</w:t>
      </w:r>
      <w:r w:rsidR="009802FF">
        <w:t xml:space="preserve">% of </w:t>
      </w:r>
      <w:proofErr w:type="spellStart"/>
      <w:r w:rsidR="009802FF">
        <w:t>CBlock</w:t>
      </w:r>
      <w:proofErr w:type="spellEnd"/>
      <w:r w:rsidR="009802FF">
        <w:t xml:space="preserve"> was accurately classified. </w:t>
      </w:r>
    </w:p>
    <w:p w14:paraId="3D6441AD" w14:textId="2889EA71" w:rsidR="009802FF" w:rsidRDefault="009802FF" w:rsidP="006C3B09">
      <w:pPr>
        <w:pStyle w:val="ListParagraph"/>
        <w:numPr>
          <w:ilvl w:val="0"/>
          <w:numId w:val="6"/>
        </w:numPr>
      </w:pPr>
      <w:r>
        <w:t xml:space="preserve">A high % of misclassification of </w:t>
      </w:r>
      <w:proofErr w:type="spellStart"/>
      <w:r>
        <w:t>CBlock</w:t>
      </w:r>
      <w:proofErr w:type="spellEnd"/>
      <w:r>
        <w:t xml:space="preserve"> is </w:t>
      </w:r>
      <w:proofErr w:type="spellStart"/>
      <w:r>
        <w:t>PConc</w:t>
      </w:r>
      <w:proofErr w:type="spellEnd"/>
      <w:r w:rsidR="00023618">
        <w:t xml:space="preserve"> with 15%</w:t>
      </w:r>
      <w:r>
        <w:t>.</w:t>
      </w:r>
    </w:p>
    <w:p w14:paraId="7D3FDB2B" w14:textId="5DAA5D31" w:rsidR="009802FF" w:rsidRPr="00D660C4" w:rsidRDefault="00023618" w:rsidP="006C3B09">
      <w:pPr>
        <w:pStyle w:val="ListParagraph"/>
        <w:numPr>
          <w:ilvl w:val="0"/>
          <w:numId w:val="6"/>
        </w:numPr>
        <w:rPr>
          <w:u w:val="double"/>
        </w:rPr>
      </w:pPr>
      <w:r w:rsidRPr="00D660C4">
        <w:rPr>
          <w:u w:val="double"/>
        </w:rPr>
        <w:t>Overall error rate is 0.14</w:t>
      </w:r>
      <w:r w:rsidR="009802FF" w:rsidRPr="00D660C4">
        <w:rPr>
          <w:u w:val="double"/>
        </w:rPr>
        <w:t>% making</w:t>
      </w:r>
      <w:r w:rsidRPr="00D660C4">
        <w:rPr>
          <w:u w:val="double"/>
        </w:rPr>
        <w:t xml:space="preserve"> an accuracy of this model to </w:t>
      </w:r>
      <w:r w:rsidRPr="00D660C4">
        <w:rPr>
          <w:b/>
          <w:u w:val="double"/>
        </w:rPr>
        <w:t>86</w:t>
      </w:r>
      <w:r w:rsidR="009802FF" w:rsidRPr="00D660C4">
        <w:rPr>
          <w:u w:val="double"/>
        </w:rPr>
        <w:t>%</w:t>
      </w:r>
    </w:p>
    <w:p w14:paraId="02F508E4" w14:textId="0D62C290" w:rsidR="00021F78" w:rsidRDefault="00021F78" w:rsidP="00DE0A66"/>
    <w:p w14:paraId="4B0286CC" w14:textId="51770458" w:rsidR="00F26D26" w:rsidRDefault="00F26D26" w:rsidP="00F26D26">
      <w:pPr>
        <w:pStyle w:val="ListParagraph"/>
        <w:rPr>
          <w:b/>
          <w:u w:val="single"/>
        </w:rPr>
      </w:pPr>
    </w:p>
    <w:p w14:paraId="20CEB67B" w14:textId="4CFBD727" w:rsidR="00021F78" w:rsidRPr="00D660C4" w:rsidRDefault="00021F78" w:rsidP="007F6113">
      <w:pPr>
        <w:pStyle w:val="ListParagraph"/>
        <w:numPr>
          <w:ilvl w:val="0"/>
          <w:numId w:val="8"/>
        </w:numPr>
        <w:rPr>
          <w:b/>
          <w:highlight w:val="yellow"/>
          <w:u w:val="single"/>
        </w:rPr>
      </w:pPr>
      <w:r w:rsidRPr="00D660C4">
        <w:rPr>
          <w:b/>
          <w:highlight w:val="yellow"/>
          <w:u w:val="single"/>
        </w:rPr>
        <w:t xml:space="preserve">Test </w:t>
      </w:r>
      <w:r w:rsidR="008875B3" w:rsidRPr="00D660C4">
        <w:rPr>
          <w:b/>
          <w:highlight w:val="yellow"/>
          <w:u w:val="single"/>
        </w:rPr>
        <w:t xml:space="preserve">data </w:t>
      </w:r>
      <w:r w:rsidRPr="00D660C4">
        <w:rPr>
          <w:b/>
          <w:highlight w:val="yellow"/>
          <w:u w:val="single"/>
        </w:rPr>
        <w:t>results:</w:t>
      </w:r>
    </w:p>
    <w:p w14:paraId="6D191F21" w14:textId="77CC35F0" w:rsidR="00021F78" w:rsidRDefault="00021F78" w:rsidP="00DE0A66">
      <w:pPr>
        <w:rPr>
          <w:b/>
          <w:u w:val="single"/>
        </w:rPr>
      </w:pPr>
    </w:p>
    <w:p w14:paraId="703E2940" w14:textId="2460C76C" w:rsidR="00021F78" w:rsidRDefault="003D002B" w:rsidP="003D002B">
      <w:pPr>
        <w:jc w:val="center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2FCF4191" wp14:editId="021BCB12">
            <wp:extent cx="3802380" cy="4164198"/>
            <wp:effectExtent l="0" t="0" r="762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416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F1350" w14:textId="68945270" w:rsidR="00E574FC" w:rsidRPr="00287278" w:rsidRDefault="00287278" w:rsidP="00287278">
      <w:r w:rsidRPr="00287278">
        <w:br/>
        <w:t xml:space="preserve">Pattern of classification of test is very </w:t>
      </w:r>
      <w:proofErr w:type="gramStart"/>
      <w:r w:rsidRPr="00287278">
        <w:t>similar to</w:t>
      </w:r>
      <w:proofErr w:type="gramEnd"/>
      <w:r w:rsidRPr="00287278">
        <w:t xml:space="preserve"> train data.</w:t>
      </w:r>
    </w:p>
    <w:p w14:paraId="1D2B7AEA" w14:textId="69442F09" w:rsidR="00287278" w:rsidRPr="00287278" w:rsidRDefault="00287278" w:rsidP="00287278">
      <w:pPr>
        <w:pStyle w:val="ListParagraph"/>
        <w:numPr>
          <w:ilvl w:val="0"/>
          <w:numId w:val="5"/>
        </w:numPr>
      </w:pPr>
      <w:proofErr w:type="spellStart"/>
      <w:r w:rsidRPr="00287278">
        <w:t>BrkTil</w:t>
      </w:r>
      <w:proofErr w:type="spellEnd"/>
      <w:r w:rsidRPr="00287278">
        <w:t xml:space="preserve"> has </w:t>
      </w:r>
      <w:proofErr w:type="spellStart"/>
      <w:r w:rsidRPr="00287278">
        <w:t>accuretly</w:t>
      </w:r>
      <w:proofErr w:type="spellEnd"/>
      <w:r w:rsidRPr="00287278">
        <w:t xml:space="preserve"> classified to </w:t>
      </w:r>
      <w:r w:rsidR="003D002B">
        <w:t>90</w:t>
      </w:r>
      <w:r w:rsidRPr="00287278">
        <w:t>%.</w:t>
      </w:r>
    </w:p>
    <w:p w14:paraId="5DCD5518" w14:textId="23685C9A" w:rsidR="00287278" w:rsidRPr="00287278" w:rsidRDefault="00287278" w:rsidP="00287278">
      <w:pPr>
        <w:pStyle w:val="ListParagraph"/>
        <w:numPr>
          <w:ilvl w:val="0"/>
          <w:numId w:val="5"/>
        </w:numPr>
      </w:pPr>
      <w:r w:rsidRPr="00287278">
        <w:t xml:space="preserve">A large % of misclassification on </w:t>
      </w:r>
      <w:proofErr w:type="spellStart"/>
      <w:r w:rsidRPr="00287278">
        <w:t>BrkTil</w:t>
      </w:r>
      <w:proofErr w:type="spellEnd"/>
      <w:r w:rsidRPr="00287278">
        <w:t xml:space="preserve"> is </w:t>
      </w:r>
      <w:proofErr w:type="spellStart"/>
      <w:r w:rsidRPr="00287278">
        <w:t>CBlock</w:t>
      </w:r>
      <w:proofErr w:type="spellEnd"/>
      <w:r w:rsidRPr="00287278">
        <w:t>.</w:t>
      </w:r>
    </w:p>
    <w:p w14:paraId="75B54BD8" w14:textId="25731943" w:rsidR="00287278" w:rsidRPr="00287278" w:rsidRDefault="00287278" w:rsidP="00287278">
      <w:pPr>
        <w:pStyle w:val="ListParagraph"/>
        <w:numPr>
          <w:ilvl w:val="0"/>
          <w:numId w:val="5"/>
        </w:numPr>
      </w:pPr>
      <w:r w:rsidRPr="00287278">
        <w:t xml:space="preserve">A large % of misclassification on </w:t>
      </w:r>
      <w:proofErr w:type="spellStart"/>
      <w:r w:rsidRPr="00287278">
        <w:t>CBlock</w:t>
      </w:r>
      <w:proofErr w:type="spellEnd"/>
      <w:r w:rsidRPr="00287278">
        <w:t xml:space="preserve"> is </w:t>
      </w:r>
      <w:proofErr w:type="spellStart"/>
      <w:r w:rsidRPr="00287278">
        <w:t>Pconc</w:t>
      </w:r>
      <w:proofErr w:type="spellEnd"/>
      <w:r w:rsidRPr="00287278">
        <w:t xml:space="preserve"> type</w:t>
      </w:r>
      <w:r w:rsidR="003D002B">
        <w:t>, 14%</w:t>
      </w:r>
      <w:r w:rsidRPr="00287278">
        <w:t>.</w:t>
      </w:r>
    </w:p>
    <w:p w14:paraId="3C018CE4" w14:textId="7C8865B2" w:rsidR="008875B3" w:rsidRDefault="003D002B" w:rsidP="00DE0A66">
      <w:pPr>
        <w:pStyle w:val="ListParagraph"/>
        <w:numPr>
          <w:ilvl w:val="0"/>
          <w:numId w:val="5"/>
        </w:numPr>
      </w:pPr>
      <w:r>
        <w:t xml:space="preserve">Overall error rate is 0.15 </w:t>
      </w:r>
      <w:r w:rsidR="00287278" w:rsidRPr="00287278">
        <w:t>mak</w:t>
      </w:r>
      <w:r>
        <w:t>ing accuracy of the result to 85</w:t>
      </w:r>
      <w:r w:rsidR="00287278" w:rsidRPr="00287278">
        <w:t>%.</w:t>
      </w:r>
    </w:p>
    <w:p w14:paraId="37497170" w14:textId="5767BE42" w:rsidR="00A91C95" w:rsidRDefault="00A91C95" w:rsidP="00A91C95"/>
    <w:p w14:paraId="41FABE59" w14:textId="4B65240A" w:rsidR="00F26D26" w:rsidRDefault="00F26D26" w:rsidP="00A91C95"/>
    <w:p w14:paraId="022466F5" w14:textId="77777777" w:rsidR="00F26D26" w:rsidRDefault="00F26D26" w:rsidP="00A91C95"/>
    <w:p w14:paraId="300FE7AC" w14:textId="74B5F1C4" w:rsidR="003D002B" w:rsidRPr="008D6262" w:rsidRDefault="008D6262" w:rsidP="007F6113">
      <w:pPr>
        <w:pStyle w:val="ListParagraph"/>
        <w:numPr>
          <w:ilvl w:val="0"/>
          <w:numId w:val="8"/>
        </w:numPr>
        <w:rPr>
          <w:b/>
          <w:u w:val="single"/>
        </w:rPr>
      </w:pPr>
      <w:r w:rsidRPr="008D6262">
        <w:rPr>
          <w:b/>
          <w:u w:val="single"/>
        </w:rPr>
        <w:t>Conclusion:</w:t>
      </w:r>
    </w:p>
    <w:p w14:paraId="0308ED89" w14:textId="3914C5C1" w:rsidR="008D6262" w:rsidRDefault="008D6262" w:rsidP="00A91C95"/>
    <w:p w14:paraId="251205F4" w14:textId="37DE0567" w:rsidR="00D00CD8" w:rsidRPr="00D00CD8" w:rsidRDefault="00F2116A" w:rsidP="005318C6">
      <w:pPr>
        <w:ind w:firstLine="720"/>
      </w:pPr>
      <w:r>
        <w:t>The goal of this project was to the best of knowledge apply LDA as a classification technique (and hence impute the missing variables)</w:t>
      </w:r>
      <w:r w:rsidR="00D00CD8">
        <w:t>. The model built accurately classifies 85% of the cases into correct foundation type.</w:t>
      </w:r>
      <w:r w:rsidR="00D00CD8">
        <w:tab/>
      </w:r>
      <w:r w:rsidR="00D00CD8" w:rsidRPr="00D00CD8">
        <w:tab/>
      </w:r>
    </w:p>
    <w:sectPr w:rsidR="00D00CD8" w:rsidRPr="00D00CD8" w:rsidSect="00C921BE">
      <w:pgSz w:w="12240" w:h="15840"/>
      <w:pgMar w:top="74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70D90"/>
    <w:multiLevelType w:val="hybridMultilevel"/>
    <w:tmpl w:val="57EEBD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90904"/>
    <w:multiLevelType w:val="hybridMultilevel"/>
    <w:tmpl w:val="24566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BA44D7"/>
    <w:multiLevelType w:val="hybridMultilevel"/>
    <w:tmpl w:val="10481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D01C6"/>
    <w:multiLevelType w:val="hybridMultilevel"/>
    <w:tmpl w:val="2B140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456D0D"/>
    <w:multiLevelType w:val="hybridMultilevel"/>
    <w:tmpl w:val="BF801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317917"/>
    <w:multiLevelType w:val="hybridMultilevel"/>
    <w:tmpl w:val="51ACB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115473"/>
    <w:multiLevelType w:val="hybridMultilevel"/>
    <w:tmpl w:val="D7DC9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417724"/>
    <w:multiLevelType w:val="hybridMultilevel"/>
    <w:tmpl w:val="D8EA3524"/>
    <w:lvl w:ilvl="0" w:tplc="EAB02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5BA"/>
    <w:rsid w:val="000044A6"/>
    <w:rsid w:val="000125F3"/>
    <w:rsid w:val="00021F78"/>
    <w:rsid w:val="00023618"/>
    <w:rsid w:val="000B3049"/>
    <w:rsid w:val="000F61A3"/>
    <w:rsid w:val="000F7354"/>
    <w:rsid w:val="00116E99"/>
    <w:rsid w:val="0018104E"/>
    <w:rsid w:val="00186E32"/>
    <w:rsid w:val="001B71E9"/>
    <w:rsid w:val="001F0F26"/>
    <w:rsid w:val="001F5C9A"/>
    <w:rsid w:val="00204FF3"/>
    <w:rsid w:val="002453D2"/>
    <w:rsid w:val="00287278"/>
    <w:rsid w:val="00287422"/>
    <w:rsid w:val="003034AC"/>
    <w:rsid w:val="0039392F"/>
    <w:rsid w:val="00397EB0"/>
    <w:rsid w:val="003D002B"/>
    <w:rsid w:val="00444D24"/>
    <w:rsid w:val="00495F8B"/>
    <w:rsid w:val="005318C6"/>
    <w:rsid w:val="00556E75"/>
    <w:rsid w:val="005D3761"/>
    <w:rsid w:val="005D4644"/>
    <w:rsid w:val="006014B9"/>
    <w:rsid w:val="00605D89"/>
    <w:rsid w:val="00666420"/>
    <w:rsid w:val="00696E46"/>
    <w:rsid w:val="006A49BD"/>
    <w:rsid w:val="006C3B09"/>
    <w:rsid w:val="006E3E0A"/>
    <w:rsid w:val="006F137F"/>
    <w:rsid w:val="0072448B"/>
    <w:rsid w:val="00754DF2"/>
    <w:rsid w:val="0075614D"/>
    <w:rsid w:val="007709D7"/>
    <w:rsid w:val="00790121"/>
    <w:rsid w:val="007C31E0"/>
    <w:rsid w:val="007F6113"/>
    <w:rsid w:val="0080087C"/>
    <w:rsid w:val="008875B3"/>
    <w:rsid w:val="00890F56"/>
    <w:rsid w:val="008A55BA"/>
    <w:rsid w:val="008D6262"/>
    <w:rsid w:val="008E4C82"/>
    <w:rsid w:val="008F3940"/>
    <w:rsid w:val="00901988"/>
    <w:rsid w:val="00944729"/>
    <w:rsid w:val="009620F8"/>
    <w:rsid w:val="009802FF"/>
    <w:rsid w:val="00982A05"/>
    <w:rsid w:val="009C2B07"/>
    <w:rsid w:val="009C60DF"/>
    <w:rsid w:val="00A0485E"/>
    <w:rsid w:val="00A05BA1"/>
    <w:rsid w:val="00A15775"/>
    <w:rsid w:val="00A23A6D"/>
    <w:rsid w:val="00A53AAD"/>
    <w:rsid w:val="00A6397D"/>
    <w:rsid w:val="00A70A5C"/>
    <w:rsid w:val="00A91C95"/>
    <w:rsid w:val="00AD74EB"/>
    <w:rsid w:val="00AE1DB4"/>
    <w:rsid w:val="00B107C6"/>
    <w:rsid w:val="00B1262D"/>
    <w:rsid w:val="00B61A66"/>
    <w:rsid w:val="00BE7263"/>
    <w:rsid w:val="00BF7E02"/>
    <w:rsid w:val="00C01805"/>
    <w:rsid w:val="00C2187F"/>
    <w:rsid w:val="00C254E3"/>
    <w:rsid w:val="00C921BE"/>
    <w:rsid w:val="00CA2E9C"/>
    <w:rsid w:val="00CC27C5"/>
    <w:rsid w:val="00CD4DBD"/>
    <w:rsid w:val="00CD7AC9"/>
    <w:rsid w:val="00CF6D80"/>
    <w:rsid w:val="00D00CD8"/>
    <w:rsid w:val="00D167E5"/>
    <w:rsid w:val="00D229F4"/>
    <w:rsid w:val="00D24393"/>
    <w:rsid w:val="00D43009"/>
    <w:rsid w:val="00D660C4"/>
    <w:rsid w:val="00D76056"/>
    <w:rsid w:val="00D8197F"/>
    <w:rsid w:val="00D944B0"/>
    <w:rsid w:val="00DB646D"/>
    <w:rsid w:val="00DE0A66"/>
    <w:rsid w:val="00E03E65"/>
    <w:rsid w:val="00E24125"/>
    <w:rsid w:val="00E574FC"/>
    <w:rsid w:val="00E71CD6"/>
    <w:rsid w:val="00E83F99"/>
    <w:rsid w:val="00F2116A"/>
    <w:rsid w:val="00F26D26"/>
    <w:rsid w:val="00F566E1"/>
    <w:rsid w:val="00F66033"/>
    <w:rsid w:val="00FF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C1A27"/>
  <w15:chartTrackingRefBased/>
  <w15:docId w15:val="{F4A43A83-D90A-4EE4-9E3A-89CA8393E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187F"/>
  </w:style>
  <w:style w:type="paragraph" w:styleId="Heading1">
    <w:name w:val="heading 1"/>
    <w:basedOn w:val="Normal"/>
    <w:next w:val="Normal"/>
    <w:link w:val="Heading1Char"/>
    <w:uiPriority w:val="9"/>
    <w:qFormat/>
    <w:rsid w:val="000125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55BA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7901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30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25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6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reeti\Desktop\LDA%20analysi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Mean distibution of variables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BrkTil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Sheet1!$A$4:$A$24</c:f>
              <c:strCache>
                <c:ptCount val="21"/>
                <c:pt idx="0">
                  <c:v>log_saleprice</c:v>
                </c:pt>
                <c:pt idx="1">
                  <c:v>lotfrontage</c:v>
                </c:pt>
                <c:pt idx="2">
                  <c:v>overallqual</c:v>
                </c:pt>
                <c:pt idx="3">
                  <c:v>overallcond</c:v>
                </c:pt>
                <c:pt idx="4">
                  <c:v>yearbuilt</c:v>
                </c:pt>
                <c:pt idx="5">
                  <c:v>yearremodadd</c:v>
                </c:pt>
                <c:pt idx="6">
                  <c:v>masvnrarea</c:v>
                </c:pt>
                <c:pt idx="7">
                  <c:v>bsmtfinsf1</c:v>
                </c:pt>
                <c:pt idx="8">
                  <c:v>bsmtunfsf</c:v>
                </c:pt>
                <c:pt idx="9">
                  <c:v>totalbsmtsf</c:v>
                </c:pt>
                <c:pt idx="10">
                  <c:v>x2ndflrsf</c:v>
                </c:pt>
                <c:pt idx="11">
                  <c:v>grlivarea</c:v>
                </c:pt>
                <c:pt idx="12">
                  <c:v>bedroomabvgr</c:v>
                </c:pt>
                <c:pt idx="13">
                  <c:v>kitchenabvgr</c:v>
                </c:pt>
                <c:pt idx="14">
                  <c:v>totrmsabvgrd</c:v>
                </c:pt>
                <c:pt idx="15">
                  <c:v>garageyrblt</c:v>
                </c:pt>
                <c:pt idx="16">
                  <c:v>garagecars</c:v>
                </c:pt>
                <c:pt idx="17">
                  <c:v>garagearea</c:v>
                </c:pt>
                <c:pt idx="18">
                  <c:v>openporchsf</c:v>
                </c:pt>
                <c:pt idx="19">
                  <c:v>miscval</c:v>
                </c:pt>
                <c:pt idx="20">
                  <c:v>yrsold</c:v>
                </c:pt>
              </c:strCache>
            </c:strRef>
          </c:cat>
          <c:val>
            <c:numRef>
              <c:f>Sheet1!$B$4:$B$24</c:f>
              <c:numCache>
                <c:formatCode>General</c:formatCode>
                <c:ptCount val="21"/>
                <c:pt idx="0">
                  <c:v>11.722527700000001</c:v>
                </c:pt>
                <c:pt idx="1">
                  <c:v>61.439435799999998</c:v>
                </c:pt>
                <c:pt idx="2">
                  <c:v>5.4452055000000001</c:v>
                </c:pt>
                <c:pt idx="3">
                  <c:v>6.1986300999999999</c:v>
                </c:pt>
                <c:pt idx="4">
                  <c:v>1921.02</c:v>
                </c:pt>
                <c:pt idx="5">
                  <c:v>1971.62</c:v>
                </c:pt>
                <c:pt idx="6">
                  <c:v>7</c:v>
                </c:pt>
                <c:pt idx="7">
                  <c:v>165.84246580000001</c:v>
                </c:pt>
                <c:pt idx="8">
                  <c:v>629.04794519999996</c:v>
                </c:pt>
                <c:pt idx="9">
                  <c:v>814.62328769999999</c:v>
                </c:pt>
                <c:pt idx="10">
                  <c:v>455.0068493</c:v>
                </c:pt>
                <c:pt idx="11">
                  <c:v>1452.08</c:v>
                </c:pt>
                <c:pt idx="12">
                  <c:v>2.9178082000000001</c:v>
                </c:pt>
                <c:pt idx="13">
                  <c:v>1.0619494</c:v>
                </c:pt>
                <c:pt idx="14">
                  <c:v>6.5547944999999999</c:v>
                </c:pt>
                <c:pt idx="15">
                  <c:v>1951.18</c:v>
                </c:pt>
                <c:pt idx="16">
                  <c:v>1.3082191999999999</c:v>
                </c:pt>
                <c:pt idx="17">
                  <c:v>344.65753419999999</c:v>
                </c:pt>
                <c:pt idx="18">
                  <c:v>26.913340900000001</c:v>
                </c:pt>
                <c:pt idx="19">
                  <c:v>27.534246599999999</c:v>
                </c:pt>
                <c:pt idx="20">
                  <c:v>2007.73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05D-44AA-BBB2-53E6E76F7F0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CBlock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Sheet1!$A$4:$A$24</c:f>
              <c:strCache>
                <c:ptCount val="21"/>
                <c:pt idx="0">
                  <c:v>log_saleprice</c:v>
                </c:pt>
                <c:pt idx="1">
                  <c:v>lotfrontage</c:v>
                </c:pt>
                <c:pt idx="2">
                  <c:v>overallqual</c:v>
                </c:pt>
                <c:pt idx="3">
                  <c:v>overallcond</c:v>
                </c:pt>
                <c:pt idx="4">
                  <c:v>yearbuilt</c:v>
                </c:pt>
                <c:pt idx="5">
                  <c:v>yearremodadd</c:v>
                </c:pt>
                <c:pt idx="6">
                  <c:v>masvnrarea</c:v>
                </c:pt>
                <c:pt idx="7">
                  <c:v>bsmtfinsf1</c:v>
                </c:pt>
                <c:pt idx="8">
                  <c:v>bsmtunfsf</c:v>
                </c:pt>
                <c:pt idx="9">
                  <c:v>totalbsmtsf</c:v>
                </c:pt>
                <c:pt idx="10">
                  <c:v>x2ndflrsf</c:v>
                </c:pt>
                <c:pt idx="11">
                  <c:v>grlivarea</c:v>
                </c:pt>
                <c:pt idx="12">
                  <c:v>bedroomabvgr</c:v>
                </c:pt>
                <c:pt idx="13">
                  <c:v>kitchenabvgr</c:v>
                </c:pt>
                <c:pt idx="14">
                  <c:v>totrmsabvgrd</c:v>
                </c:pt>
                <c:pt idx="15">
                  <c:v>garageyrblt</c:v>
                </c:pt>
                <c:pt idx="16">
                  <c:v>garagecars</c:v>
                </c:pt>
                <c:pt idx="17">
                  <c:v>garagearea</c:v>
                </c:pt>
                <c:pt idx="18">
                  <c:v>openporchsf</c:v>
                </c:pt>
                <c:pt idx="19">
                  <c:v>miscval</c:v>
                </c:pt>
                <c:pt idx="20">
                  <c:v>yrsold</c:v>
                </c:pt>
              </c:strCache>
            </c:strRef>
          </c:cat>
          <c:val>
            <c:numRef>
              <c:f>Sheet1!$C$4:$C$24</c:f>
              <c:numCache>
                <c:formatCode>General</c:formatCode>
                <c:ptCount val="21"/>
                <c:pt idx="0">
                  <c:v>11.8700797</c:v>
                </c:pt>
                <c:pt idx="1">
                  <c:v>70.163885300000004</c:v>
                </c:pt>
                <c:pt idx="2">
                  <c:v>5.4211356000000004</c:v>
                </c:pt>
                <c:pt idx="3">
                  <c:v>5.8296530000000004</c:v>
                </c:pt>
                <c:pt idx="4">
                  <c:v>1961.25</c:v>
                </c:pt>
                <c:pt idx="5">
                  <c:v>1975.22</c:v>
                </c:pt>
                <c:pt idx="6">
                  <c:v>86.4600188</c:v>
                </c:pt>
                <c:pt idx="7">
                  <c:v>477.12460570000002</c:v>
                </c:pt>
                <c:pt idx="8">
                  <c:v>443.47160880000001</c:v>
                </c:pt>
                <c:pt idx="9">
                  <c:v>1001.49</c:v>
                </c:pt>
                <c:pt idx="10">
                  <c:v>228.71451099999999</c:v>
                </c:pt>
                <c:pt idx="11">
                  <c:v>1355.5</c:v>
                </c:pt>
                <c:pt idx="12">
                  <c:v>2.8609825</c:v>
                </c:pt>
                <c:pt idx="13">
                  <c:v>1.05843</c:v>
                </c:pt>
                <c:pt idx="14">
                  <c:v>6.1340693999999996</c:v>
                </c:pt>
                <c:pt idx="15">
                  <c:v>1967.66</c:v>
                </c:pt>
                <c:pt idx="16">
                  <c:v>1.4952681000000001</c:v>
                </c:pt>
                <c:pt idx="17">
                  <c:v>410.85331230000003</c:v>
                </c:pt>
                <c:pt idx="18">
                  <c:v>32.4453435</c:v>
                </c:pt>
                <c:pt idx="19">
                  <c:v>33.5073863</c:v>
                </c:pt>
                <c:pt idx="20">
                  <c:v>2007.87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05D-44AA-BBB2-53E6E76F7F0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PConc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Sheet1!$A$4:$A$24</c:f>
              <c:strCache>
                <c:ptCount val="21"/>
                <c:pt idx="0">
                  <c:v>log_saleprice</c:v>
                </c:pt>
                <c:pt idx="1">
                  <c:v>lotfrontage</c:v>
                </c:pt>
                <c:pt idx="2">
                  <c:v>overallqual</c:v>
                </c:pt>
                <c:pt idx="3">
                  <c:v>overallcond</c:v>
                </c:pt>
                <c:pt idx="4">
                  <c:v>yearbuilt</c:v>
                </c:pt>
                <c:pt idx="5">
                  <c:v>yearremodadd</c:v>
                </c:pt>
                <c:pt idx="6">
                  <c:v>masvnrarea</c:v>
                </c:pt>
                <c:pt idx="7">
                  <c:v>bsmtfinsf1</c:v>
                </c:pt>
                <c:pt idx="8">
                  <c:v>bsmtunfsf</c:v>
                </c:pt>
                <c:pt idx="9">
                  <c:v>totalbsmtsf</c:v>
                </c:pt>
                <c:pt idx="10">
                  <c:v>x2ndflrsf</c:v>
                </c:pt>
                <c:pt idx="11">
                  <c:v>grlivarea</c:v>
                </c:pt>
                <c:pt idx="12">
                  <c:v>bedroomabvgr</c:v>
                </c:pt>
                <c:pt idx="13">
                  <c:v>kitchenabvgr</c:v>
                </c:pt>
                <c:pt idx="14">
                  <c:v>totrmsabvgrd</c:v>
                </c:pt>
                <c:pt idx="15">
                  <c:v>garageyrblt</c:v>
                </c:pt>
                <c:pt idx="16">
                  <c:v>garagecars</c:v>
                </c:pt>
                <c:pt idx="17">
                  <c:v>garagearea</c:v>
                </c:pt>
                <c:pt idx="18">
                  <c:v>openporchsf</c:v>
                </c:pt>
                <c:pt idx="19">
                  <c:v>miscval</c:v>
                </c:pt>
                <c:pt idx="20">
                  <c:v>yrsold</c:v>
                </c:pt>
              </c:strCache>
            </c:strRef>
          </c:cat>
          <c:val>
            <c:numRef>
              <c:f>Sheet1!$D$4:$D$24</c:f>
              <c:numCache>
                <c:formatCode>General</c:formatCode>
                <c:ptCount val="21"/>
                <c:pt idx="0">
                  <c:v>12.2616651</c:v>
                </c:pt>
                <c:pt idx="1">
                  <c:v>70.994341000000006</c:v>
                </c:pt>
                <c:pt idx="2">
                  <c:v>6.9799072999999998</c:v>
                </c:pt>
                <c:pt idx="3">
                  <c:v>5.2024730000000003</c:v>
                </c:pt>
                <c:pt idx="4">
                  <c:v>1993.31</c:v>
                </c:pt>
                <c:pt idx="5">
                  <c:v>1998.05</c:v>
                </c:pt>
                <c:pt idx="6">
                  <c:v>133.66806389999999</c:v>
                </c:pt>
                <c:pt idx="7">
                  <c:v>484.00320770000002</c:v>
                </c:pt>
                <c:pt idx="8">
                  <c:v>695.32921169999997</c:v>
                </c:pt>
                <c:pt idx="9">
                  <c:v>1200.8800000000001</c:v>
                </c:pt>
                <c:pt idx="10">
                  <c:v>436.88098919999999</c:v>
                </c:pt>
                <c:pt idx="11">
                  <c:v>1667.63</c:v>
                </c:pt>
                <c:pt idx="12">
                  <c:v>2.8438949</c:v>
                </c:pt>
                <c:pt idx="13">
                  <c:v>1.0093425</c:v>
                </c:pt>
                <c:pt idx="14">
                  <c:v>6.8686243999999999</c:v>
                </c:pt>
                <c:pt idx="15">
                  <c:v>1995.86</c:v>
                </c:pt>
                <c:pt idx="16">
                  <c:v>2.1468314999999998</c:v>
                </c:pt>
                <c:pt idx="17">
                  <c:v>566.14837709999995</c:v>
                </c:pt>
                <c:pt idx="18">
                  <c:v>63.0543646</c:v>
                </c:pt>
                <c:pt idx="19">
                  <c:v>9.3972178999999993</c:v>
                </c:pt>
                <c:pt idx="20">
                  <c:v>2007.77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05D-44AA-BBB2-53E6E76F7F07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Slab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Sheet1!$A$4:$A$24</c:f>
              <c:strCache>
                <c:ptCount val="21"/>
                <c:pt idx="0">
                  <c:v>log_saleprice</c:v>
                </c:pt>
                <c:pt idx="1">
                  <c:v>lotfrontage</c:v>
                </c:pt>
                <c:pt idx="2">
                  <c:v>overallqual</c:v>
                </c:pt>
                <c:pt idx="3">
                  <c:v>overallcond</c:v>
                </c:pt>
                <c:pt idx="4">
                  <c:v>yearbuilt</c:v>
                </c:pt>
                <c:pt idx="5">
                  <c:v>yearremodadd</c:v>
                </c:pt>
                <c:pt idx="6">
                  <c:v>masvnrarea</c:v>
                </c:pt>
                <c:pt idx="7">
                  <c:v>bsmtfinsf1</c:v>
                </c:pt>
                <c:pt idx="8">
                  <c:v>bsmtunfsf</c:v>
                </c:pt>
                <c:pt idx="9">
                  <c:v>totalbsmtsf</c:v>
                </c:pt>
                <c:pt idx="10">
                  <c:v>x2ndflrsf</c:v>
                </c:pt>
                <c:pt idx="11">
                  <c:v>grlivarea</c:v>
                </c:pt>
                <c:pt idx="12">
                  <c:v>bedroomabvgr</c:v>
                </c:pt>
                <c:pt idx="13">
                  <c:v>kitchenabvgr</c:v>
                </c:pt>
                <c:pt idx="14">
                  <c:v>totrmsabvgrd</c:v>
                </c:pt>
                <c:pt idx="15">
                  <c:v>garageyrblt</c:v>
                </c:pt>
                <c:pt idx="16">
                  <c:v>garagecars</c:v>
                </c:pt>
                <c:pt idx="17">
                  <c:v>garagearea</c:v>
                </c:pt>
                <c:pt idx="18">
                  <c:v>openporchsf</c:v>
                </c:pt>
                <c:pt idx="19">
                  <c:v>miscval</c:v>
                </c:pt>
                <c:pt idx="20">
                  <c:v>yrsold</c:v>
                </c:pt>
              </c:strCache>
            </c:strRef>
          </c:cat>
          <c:val>
            <c:numRef>
              <c:f>Sheet1!$E$4:$E$24</c:f>
              <c:numCache>
                <c:formatCode>General</c:formatCode>
                <c:ptCount val="21"/>
                <c:pt idx="0">
                  <c:v>11.5329593</c:v>
                </c:pt>
                <c:pt idx="1">
                  <c:v>66.134313300000002</c:v>
                </c:pt>
                <c:pt idx="2">
                  <c:v>4.2916667000000004</c:v>
                </c:pt>
                <c:pt idx="3">
                  <c:v>4.75</c:v>
                </c:pt>
                <c:pt idx="4">
                  <c:v>1959.58</c:v>
                </c:pt>
                <c:pt idx="5">
                  <c:v>1965.17</c:v>
                </c:pt>
                <c:pt idx="6">
                  <c:v>51.4583333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218.83333329999999</c:v>
                </c:pt>
                <c:pt idx="11">
                  <c:v>1339.46</c:v>
                </c:pt>
                <c:pt idx="12">
                  <c:v>2.9166666999999999</c:v>
                </c:pt>
                <c:pt idx="13">
                  <c:v>1.4583333000000001</c:v>
                </c:pt>
                <c:pt idx="14">
                  <c:v>6.5</c:v>
                </c:pt>
                <c:pt idx="15">
                  <c:v>1969.08</c:v>
                </c:pt>
                <c:pt idx="16">
                  <c:v>1.5</c:v>
                </c:pt>
                <c:pt idx="17">
                  <c:v>375.04166670000001</c:v>
                </c:pt>
                <c:pt idx="18">
                  <c:v>8.7083332999999996</c:v>
                </c:pt>
                <c:pt idx="19">
                  <c:v>71.868393999999995</c:v>
                </c:pt>
                <c:pt idx="20">
                  <c:v>2008.04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05D-44AA-BBB2-53E6E76F7F07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Stone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Sheet1!$A$4:$A$24</c:f>
              <c:strCache>
                <c:ptCount val="21"/>
                <c:pt idx="0">
                  <c:v>log_saleprice</c:v>
                </c:pt>
                <c:pt idx="1">
                  <c:v>lotfrontage</c:v>
                </c:pt>
                <c:pt idx="2">
                  <c:v>overallqual</c:v>
                </c:pt>
                <c:pt idx="3">
                  <c:v>overallcond</c:v>
                </c:pt>
                <c:pt idx="4">
                  <c:v>yearbuilt</c:v>
                </c:pt>
                <c:pt idx="5">
                  <c:v>yearremodadd</c:v>
                </c:pt>
                <c:pt idx="6">
                  <c:v>masvnrarea</c:v>
                </c:pt>
                <c:pt idx="7">
                  <c:v>bsmtfinsf1</c:v>
                </c:pt>
                <c:pt idx="8">
                  <c:v>bsmtunfsf</c:v>
                </c:pt>
                <c:pt idx="9">
                  <c:v>totalbsmtsf</c:v>
                </c:pt>
                <c:pt idx="10">
                  <c:v>x2ndflrsf</c:v>
                </c:pt>
                <c:pt idx="11">
                  <c:v>grlivarea</c:v>
                </c:pt>
                <c:pt idx="12">
                  <c:v>bedroomabvgr</c:v>
                </c:pt>
                <c:pt idx="13">
                  <c:v>kitchenabvgr</c:v>
                </c:pt>
                <c:pt idx="14">
                  <c:v>totrmsabvgrd</c:v>
                </c:pt>
                <c:pt idx="15">
                  <c:v>garageyrblt</c:v>
                </c:pt>
                <c:pt idx="16">
                  <c:v>garagecars</c:v>
                </c:pt>
                <c:pt idx="17">
                  <c:v>garagearea</c:v>
                </c:pt>
                <c:pt idx="18">
                  <c:v>openporchsf</c:v>
                </c:pt>
                <c:pt idx="19">
                  <c:v>miscval</c:v>
                </c:pt>
                <c:pt idx="20">
                  <c:v>yrsold</c:v>
                </c:pt>
              </c:strCache>
            </c:strRef>
          </c:cat>
          <c:val>
            <c:numRef>
              <c:f>Sheet1!$F$4:$F$24</c:f>
              <c:numCache>
                <c:formatCode>General</c:formatCode>
                <c:ptCount val="21"/>
                <c:pt idx="0">
                  <c:v>11.933156200000001</c:v>
                </c:pt>
                <c:pt idx="1">
                  <c:v>66.666666699999993</c:v>
                </c:pt>
                <c:pt idx="2">
                  <c:v>5.6666667000000004</c:v>
                </c:pt>
                <c:pt idx="3">
                  <c:v>7</c:v>
                </c:pt>
                <c:pt idx="4">
                  <c:v>1912.67</c:v>
                </c:pt>
                <c:pt idx="5">
                  <c:v>1978.33</c:v>
                </c:pt>
                <c:pt idx="6">
                  <c:v>0</c:v>
                </c:pt>
                <c:pt idx="7">
                  <c:v>45.8333333</c:v>
                </c:pt>
                <c:pt idx="8">
                  <c:v>849.16666669999995</c:v>
                </c:pt>
                <c:pt idx="9">
                  <c:v>895</c:v>
                </c:pt>
                <c:pt idx="10">
                  <c:v>800.83333330000005</c:v>
                </c:pt>
                <c:pt idx="11">
                  <c:v>1894.67</c:v>
                </c:pt>
                <c:pt idx="12">
                  <c:v>3.5</c:v>
                </c:pt>
                <c:pt idx="13">
                  <c:v>1.3333333000000001</c:v>
                </c:pt>
                <c:pt idx="14">
                  <c:v>8.1666667000000004</c:v>
                </c:pt>
                <c:pt idx="15">
                  <c:v>1950.5</c:v>
                </c:pt>
                <c:pt idx="16">
                  <c:v>1.6666666999999999</c:v>
                </c:pt>
                <c:pt idx="17">
                  <c:v>464.33333329999999</c:v>
                </c:pt>
                <c:pt idx="18">
                  <c:v>67.833333300000007</c:v>
                </c:pt>
                <c:pt idx="19">
                  <c:v>416.66666670000001</c:v>
                </c:pt>
                <c:pt idx="20">
                  <c:v>2008.67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05D-44AA-BBB2-53E6E76F7F07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Wood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Sheet1!$A$4:$A$24</c:f>
              <c:strCache>
                <c:ptCount val="21"/>
                <c:pt idx="0">
                  <c:v>log_saleprice</c:v>
                </c:pt>
                <c:pt idx="1">
                  <c:v>lotfrontage</c:v>
                </c:pt>
                <c:pt idx="2">
                  <c:v>overallqual</c:v>
                </c:pt>
                <c:pt idx="3">
                  <c:v>overallcond</c:v>
                </c:pt>
                <c:pt idx="4">
                  <c:v>yearbuilt</c:v>
                </c:pt>
                <c:pt idx="5">
                  <c:v>yearremodadd</c:v>
                </c:pt>
                <c:pt idx="6">
                  <c:v>masvnrarea</c:v>
                </c:pt>
                <c:pt idx="7">
                  <c:v>bsmtfinsf1</c:v>
                </c:pt>
                <c:pt idx="8">
                  <c:v>bsmtunfsf</c:v>
                </c:pt>
                <c:pt idx="9">
                  <c:v>totalbsmtsf</c:v>
                </c:pt>
                <c:pt idx="10">
                  <c:v>x2ndflrsf</c:v>
                </c:pt>
                <c:pt idx="11">
                  <c:v>grlivarea</c:v>
                </c:pt>
                <c:pt idx="12">
                  <c:v>bedroomabvgr</c:v>
                </c:pt>
                <c:pt idx="13">
                  <c:v>kitchenabvgr</c:v>
                </c:pt>
                <c:pt idx="14">
                  <c:v>totrmsabvgrd</c:v>
                </c:pt>
                <c:pt idx="15">
                  <c:v>garageyrblt</c:v>
                </c:pt>
                <c:pt idx="16">
                  <c:v>garagecars</c:v>
                </c:pt>
                <c:pt idx="17">
                  <c:v>garagearea</c:v>
                </c:pt>
                <c:pt idx="18">
                  <c:v>openporchsf</c:v>
                </c:pt>
                <c:pt idx="19">
                  <c:v>miscval</c:v>
                </c:pt>
                <c:pt idx="20">
                  <c:v>yrsold</c:v>
                </c:pt>
              </c:strCache>
            </c:strRef>
          </c:cat>
          <c:val>
            <c:numRef>
              <c:f>Sheet1!$G$4:$G$24</c:f>
              <c:numCache>
                <c:formatCode>General</c:formatCode>
                <c:ptCount val="21"/>
                <c:pt idx="0">
                  <c:v>12.102479300000001</c:v>
                </c:pt>
                <c:pt idx="1">
                  <c:v>102.21490129999999</c:v>
                </c:pt>
                <c:pt idx="2">
                  <c:v>6.6666667000000004</c:v>
                </c:pt>
                <c:pt idx="3">
                  <c:v>5.6666667000000004</c:v>
                </c:pt>
                <c:pt idx="4">
                  <c:v>1990.33</c:v>
                </c:pt>
                <c:pt idx="5">
                  <c:v>1997</c:v>
                </c:pt>
                <c:pt idx="6">
                  <c:v>0</c:v>
                </c:pt>
                <c:pt idx="7">
                  <c:v>791.66666669999995</c:v>
                </c:pt>
                <c:pt idx="8">
                  <c:v>65.333333300000007</c:v>
                </c:pt>
                <c:pt idx="9">
                  <c:v>857</c:v>
                </c:pt>
                <c:pt idx="10">
                  <c:v>818</c:v>
                </c:pt>
                <c:pt idx="11">
                  <c:v>1876</c:v>
                </c:pt>
                <c:pt idx="12">
                  <c:v>3</c:v>
                </c:pt>
                <c:pt idx="13">
                  <c:v>1</c:v>
                </c:pt>
                <c:pt idx="14">
                  <c:v>7</c:v>
                </c:pt>
                <c:pt idx="15">
                  <c:v>1990.33</c:v>
                </c:pt>
                <c:pt idx="16">
                  <c:v>2</c:v>
                </c:pt>
                <c:pt idx="17">
                  <c:v>555</c:v>
                </c:pt>
                <c:pt idx="18">
                  <c:v>14</c:v>
                </c:pt>
                <c:pt idx="19">
                  <c:v>233.33333329999999</c:v>
                </c:pt>
                <c:pt idx="20">
                  <c:v>2008.33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B05D-44AA-BBB2-53E6E76F7F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6359656"/>
        <c:axId val="606549280"/>
      </c:lineChart>
      <c:catAx>
        <c:axId val="446359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6549280"/>
        <c:crosses val="autoZero"/>
        <c:auto val="1"/>
        <c:lblAlgn val="ctr"/>
        <c:lblOffset val="100"/>
        <c:noMultiLvlLbl val="0"/>
      </c:catAx>
      <c:valAx>
        <c:axId val="606549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6359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Swaminathan, Preeti</cp:lastModifiedBy>
  <cp:revision>7</cp:revision>
  <dcterms:created xsi:type="dcterms:W3CDTF">2017-08-22T06:02:00Z</dcterms:created>
  <dcterms:modified xsi:type="dcterms:W3CDTF">2017-08-22T06:27:00Z</dcterms:modified>
</cp:coreProperties>
</file>