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Employee Grievance Record</w:t>
      </w:r>
    </w:p>
    <w:p>
      <w:r>
        <w:t>This record summarises a formal grievance raised under the company grievance procedure. It is retained by People Operations and is subject to applicable data-protection law.</w:t>
      </w:r>
    </w:p>
    <w:p>
      <w:pPr>
        <w:pStyle w:val="Heading2"/>
      </w:pPr>
      <w:r>
        <w:t>Complainant details</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Value</w:t>
            </w:r>
          </w:p>
        </w:tc>
      </w:tr>
      <w:tr>
        <w:tc>
          <w:tcPr>
            <w:tcW w:type="dxa" w:w="4320"/>
          </w:tcPr>
          <w:p>
            <w:r>
              <w:t>Name</w:t>
            </w:r>
          </w:p>
        </w:tc>
        <w:tc>
          <w:tcPr>
            <w:tcW w:type="dxa" w:w="4320"/>
          </w:tcPr>
          <w:p>
            <w:r>
              <w:t>Aisha Rahman</w:t>
            </w:r>
          </w:p>
        </w:tc>
      </w:tr>
      <w:tr>
        <w:tc>
          <w:tcPr>
            <w:tcW w:type="dxa" w:w="4320"/>
          </w:tcPr>
          <w:p>
            <w:r>
              <w:t>Employee ID</w:t>
            </w:r>
          </w:p>
        </w:tc>
        <w:tc>
          <w:tcPr>
            <w:tcW w:type="dxa" w:w="4320"/>
          </w:tcPr>
          <w:p>
            <w:r>
              <w:t>EC-2019-0884</w:t>
            </w:r>
          </w:p>
        </w:tc>
      </w:tr>
      <w:tr>
        <w:tc>
          <w:tcPr>
            <w:tcW w:type="dxa" w:w="4320"/>
          </w:tcPr>
          <w:p>
            <w:r>
              <w:t>Work email</w:t>
            </w:r>
          </w:p>
        </w:tc>
        <w:tc>
          <w:tcPr>
            <w:tcW w:type="dxa" w:w="4320"/>
          </w:tcPr>
          <w:p>
            <w:r>
              <w:t>aisha.rahman@example-corp.com</w:t>
            </w:r>
          </w:p>
        </w:tc>
      </w:tr>
      <w:tr>
        <w:tc>
          <w:tcPr>
            <w:tcW w:type="dxa" w:w="4320"/>
          </w:tcPr>
          <w:p>
            <w:r>
              <w:t>Personal email</w:t>
            </w:r>
          </w:p>
        </w:tc>
        <w:tc>
          <w:tcPr>
            <w:tcW w:type="dxa" w:w="4320"/>
          </w:tcPr>
          <w:p>
            <w:r>
              <w:t>aisha.r.personal@example.net</w:t>
            </w:r>
          </w:p>
        </w:tc>
      </w:tr>
      <w:tr>
        <w:tc>
          <w:tcPr>
            <w:tcW w:type="dxa" w:w="4320"/>
          </w:tcPr>
          <w:p>
            <w:r>
              <w:t>Mobile</w:t>
            </w:r>
          </w:p>
        </w:tc>
        <w:tc>
          <w:tcPr>
            <w:tcW w:type="dxa" w:w="4320"/>
          </w:tcPr>
          <w:p>
            <w:r>
              <w:t>+31 6 5550 2277</w:t>
            </w:r>
          </w:p>
        </w:tc>
      </w:tr>
      <w:tr>
        <w:tc>
          <w:tcPr>
            <w:tcW w:type="dxa" w:w="4320"/>
          </w:tcPr>
          <w:p>
            <w:r>
              <w:t>Home address</w:t>
            </w:r>
          </w:p>
        </w:tc>
        <w:tc>
          <w:tcPr>
            <w:tcW w:type="dxa" w:w="4320"/>
          </w:tcPr>
          <w:p>
            <w:r>
              <w:t>48 Weena Zuid, Rotterdam 3012 NC</w:t>
            </w:r>
          </w:p>
        </w:tc>
      </w:tr>
      <w:tr>
        <w:tc>
          <w:tcPr>
            <w:tcW w:type="dxa" w:w="4320"/>
          </w:tcPr>
          <w:p>
            <w:r>
              <w:t>Line manager</w:t>
            </w:r>
          </w:p>
        </w:tc>
        <w:tc>
          <w:tcPr>
            <w:tcW w:type="dxa" w:w="4320"/>
          </w:tcPr>
          <w:p>
            <w:r>
              <w:t>Thomas Whitfield</w:t>
            </w:r>
          </w:p>
        </w:tc>
      </w:tr>
      <w:tr>
        <w:tc>
          <w:tcPr>
            <w:tcW w:type="dxa" w:w="4320"/>
          </w:tcPr>
          <w:p>
            <w:r>
              <w:t>Case reference</w:t>
            </w:r>
          </w:p>
        </w:tc>
        <w:tc>
          <w:tcPr>
            <w:tcW w:type="dxa" w:w="4320"/>
          </w:tcPr>
          <w:p>
            <w:r>
              <w:t>GRV-2026-0417</w:t>
            </w:r>
          </w:p>
        </w:tc>
      </w:tr>
      <w:tr>
        <w:tc>
          <w:tcPr>
            <w:tcW w:type="dxa" w:w="4320"/>
          </w:tcPr>
          <w:p>
            <w:r>
              <w:t>HR contact</w:t>
            </w:r>
          </w:p>
        </w:tc>
        <w:tc>
          <w:tcPr>
            <w:tcW w:type="dxa" w:w="4320"/>
          </w:tcPr>
          <w:p>
            <w:r>
              <w:t>Neha Okonkwo</w:t>
            </w:r>
          </w:p>
        </w:tc>
      </w:tr>
    </w:tbl>
    <w:p>
      <w:pPr>
        <w:pStyle w:val="Heading2"/>
      </w:pPr>
      <w:r>
        <w:t>Summary of complaint</w:t>
      </w:r>
    </w:p>
    <w:p>
      <w:r>
        <w:t>The complainant reports that comments made in team meetings were inappropriate. The matter was raised informally and the complainant was told it would be handled appropriately, but states that nothing much has changed since then.</w:t>
      </w:r>
    </w:p>
    <w:p>
      <w:r>
        <w:t>People Operations will review the matter and aim to respond within a reasonable timeframe. Where practicable, an initial response will be provided promptly.</w:t>
      </w:r>
    </w:p>
    <w:p>
      <w:pPr>
        <w:pStyle w:val="Heading2"/>
      </w:pPr>
      <w:r>
        <w:t>Retention</w:t>
      </w:r>
    </w:p>
    <w:p>
      <w:r>
        <w:t>This record shall be retained for six years, and may be destroyed sooner where no longer necessary. Records must not be destroyed before the end of the retention period.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