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 554 - Consumer Health Informatics</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Needs Assessment and Gap Analysis</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Team 4</w:t>
      </w:r>
    </w:p>
    <w:p w:rsidR="00000000" w:rsidDel="00000000" w:rsidP="00000000" w:rsidRDefault="00000000" w:rsidRPr="00000000" w14:paraId="00000004">
      <w:pPr>
        <w:spacing w:line="48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Need/Problem Space</w:t>
      </w:r>
      <w:r w:rsidDel="00000000" w:rsidR="00000000" w:rsidRPr="00000000">
        <w:rPr>
          <w:rFonts w:ascii="Times New Roman" w:cs="Times New Roman" w:eastAsia="Times New Roman" w:hAnsi="Times New Roman"/>
          <w:b w:val="1"/>
          <w:sz w:val="24"/>
          <w:szCs w:val="24"/>
          <w:highlight w:val="white"/>
          <w:rtl w:val="0"/>
        </w:rPr>
        <w:t xml:space="preserve">: Resources geared at </w:t>
      </w:r>
      <w:r w:rsidDel="00000000" w:rsidR="00000000" w:rsidRPr="00000000">
        <w:rPr>
          <w:rFonts w:ascii="Times New Roman" w:cs="Times New Roman" w:eastAsia="Times New Roman" w:hAnsi="Times New Roman"/>
          <w:b w:val="1"/>
          <w:sz w:val="24"/>
          <w:szCs w:val="24"/>
          <w:highlight w:val="white"/>
          <w:rtl w:val="0"/>
        </w:rPr>
        <w:t xml:space="preserve">Older Adults</w:t>
      </w:r>
      <w:r w:rsidDel="00000000" w:rsidR="00000000" w:rsidRPr="00000000">
        <w:rPr>
          <w:rFonts w:ascii="Times New Roman" w:cs="Times New Roman" w:eastAsia="Times New Roman" w:hAnsi="Times New Roman"/>
          <w:b w:val="1"/>
          <w:sz w:val="24"/>
          <w:szCs w:val="24"/>
          <w:highlight w:val="white"/>
          <w:rtl w:val="0"/>
        </w:rPr>
        <w:t xml:space="preserve"> with diabetes with low health literacy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In this assessment, we focus on older adults (aged 65 and above) with diabetes with low health literacy and analyze their needs for digital health resources. While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U.S. Department of Health and Human Services defines </w:t>
      </w:r>
      <w:r w:rsidDel="00000000" w:rsidR="00000000" w:rsidRPr="00000000">
        <w:rPr>
          <w:rFonts w:ascii="Times New Roman" w:cs="Times New Roman" w:eastAsia="Times New Roman" w:hAnsi="Times New Roman"/>
          <w:sz w:val="24"/>
          <w:szCs w:val="24"/>
          <w:rtl w:val="0"/>
        </w:rPr>
        <w:t xml:space="preserve">personal health literacy as the degree to which individuals can find, understand, and use information and services to inform health-related decisions and actions for themselves and others. (OASH, 2020), people with low health literacy often have difficulties using technology because their literacy and numeracy skills are linked to their ability to access and use technology. They may struggle to navigate interfaces and understand numerical information, such as phone numbers or email addresses, which can make using devices like cell phones, computers, and the internet challenging for them (Jensen et.al, 2010). For patients aged 65 and older with diabetes mellitus, </w:t>
      </w:r>
      <w:r w:rsidDel="00000000" w:rsidR="00000000" w:rsidRPr="00000000">
        <w:rPr>
          <w:rFonts w:ascii="Times New Roman" w:cs="Times New Roman" w:eastAsia="Times New Roman" w:hAnsi="Times New Roman"/>
          <w:sz w:val="24"/>
          <w:szCs w:val="24"/>
          <w:highlight w:val="white"/>
          <w:rtl w:val="0"/>
        </w:rPr>
        <w:t xml:space="preserve">health literacy is particularly important given that the </w:t>
      </w:r>
      <w:r w:rsidDel="00000000" w:rsidR="00000000" w:rsidRPr="00000000">
        <w:rPr>
          <w:rFonts w:ascii="Times New Roman" w:cs="Times New Roman" w:eastAsia="Times New Roman" w:hAnsi="Times New Roman"/>
          <w:sz w:val="24"/>
          <w:szCs w:val="24"/>
          <w:rtl w:val="0"/>
        </w:rPr>
        <w:t xml:space="preserve">age-related decline in cognition presents a growing disadvantage in adopting health resources</w:t>
      </w:r>
      <w:r w:rsidDel="00000000" w:rsidR="00000000" w:rsidRPr="00000000">
        <w:rPr>
          <w:rFonts w:ascii="Times New Roman" w:cs="Times New Roman" w:eastAsia="Times New Roman" w:hAnsi="Times New Roman"/>
          <w:sz w:val="24"/>
          <w:szCs w:val="24"/>
          <w:highlight w:val="white"/>
          <w:rtl w:val="0"/>
        </w:rPr>
        <w:t xml:space="preserve"> that </w:t>
      </w:r>
      <w:r w:rsidDel="00000000" w:rsidR="00000000" w:rsidRPr="00000000">
        <w:rPr>
          <w:rFonts w:ascii="Times New Roman" w:cs="Times New Roman" w:eastAsia="Times New Roman" w:hAnsi="Times New Roman"/>
          <w:sz w:val="24"/>
          <w:szCs w:val="24"/>
          <w:rtl w:val="0"/>
        </w:rPr>
        <w:t xml:space="preserve">generate </w:t>
      </w:r>
      <w:r w:rsidDel="00000000" w:rsidR="00000000" w:rsidRPr="00000000">
        <w:rPr>
          <w:rFonts w:ascii="Times New Roman" w:cs="Times New Roman" w:eastAsia="Times New Roman" w:hAnsi="Times New Roman"/>
          <w:sz w:val="24"/>
          <w:szCs w:val="24"/>
          <w:highlight w:val="white"/>
          <w:rtl w:val="0"/>
        </w:rPr>
        <w:t xml:space="preserve">effective self-care and good disease outcomes from</w:t>
      </w:r>
      <w:r w:rsidDel="00000000" w:rsidR="00000000" w:rsidRPr="00000000">
        <w:rPr>
          <w:rFonts w:ascii="Times New Roman" w:cs="Times New Roman" w:eastAsia="Times New Roman" w:hAnsi="Times New Roman"/>
          <w:sz w:val="24"/>
          <w:szCs w:val="24"/>
          <w:rtl w:val="0"/>
        </w:rPr>
        <w:t xml:space="preserve"> managing complex and onerous regimes that specific dietary guidelines may conflict (Griva et. al, 2020). Therefore, </w:t>
      </w:r>
      <w:r w:rsidDel="00000000" w:rsidR="00000000" w:rsidRPr="00000000">
        <w:rPr>
          <w:rFonts w:ascii="Times New Roman" w:cs="Times New Roman" w:eastAsia="Times New Roman" w:hAnsi="Times New Roman"/>
          <w:sz w:val="24"/>
          <w:szCs w:val="24"/>
          <w:highlight w:val="white"/>
          <w:rtl w:val="0"/>
        </w:rPr>
        <w:t xml:space="preserve">w</w:t>
      </w:r>
      <w:r w:rsidDel="00000000" w:rsidR="00000000" w:rsidRPr="00000000">
        <w:rPr>
          <w:rFonts w:ascii="Times New Roman" w:cs="Times New Roman" w:eastAsia="Times New Roman" w:hAnsi="Times New Roman"/>
          <w:sz w:val="24"/>
          <w:szCs w:val="24"/>
          <w:highlight w:val="white"/>
          <w:rtl w:val="0"/>
        </w:rPr>
        <w:t xml:space="preserve">e summarize the needs of older adults with diabetes with low health literacy into adopting health information through  digital content that meets their </w:t>
      </w:r>
      <w:r w:rsidDel="00000000" w:rsidR="00000000" w:rsidRPr="00000000">
        <w:rPr>
          <w:rFonts w:ascii="Times New Roman" w:cs="Times New Roman" w:eastAsia="Times New Roman" w:hAnsi="Times New Roman"/>
          <w:sz w:val="24"/>
          <w:szCs w:val="24"/>
          <w:rtl w:val="0"/>
        </w:rPr>
        <w:t xml:space="preserve">age-related decline in cognition</w:t>
      </w:r>
      <w:r w:rsidDel="00000000" w:rsidR="00000000" w:rsidRPr="00000000">
        <w:rPr>
          <w:rFonts w:ascii="Times New Roman" w:cs="Times New Roman" w:eastAsia="Times New Roman" w:hAnsi="Times New Roman"/>
          <w:sz w:val="24"/>
          <w:szCs w:val="24"/>
          <w:highlight w:val="white"/>
          <w:rtl w:val="0"/>
        </w:rPr>
        <w:t xml:space="preserve"> for their health-related decisions and actions for </w:t>
      </w:r>
      <w:r w:rsidDel="00000000" w:rsidR="00000000" w:rsidRPr="00000000">
        <w:rPr>
          <w:rFonts w:ascii="Times New Roman" w:cs="Times New Roman" w:eastAsia="Times New Roman" w:hAnsi="Times New Roman"/>
          <w:sz w:val="24"/>
          <w:szCs w:val="24"/>
          <w:rtl w:val="0"/>
        </w:rPr>
        <w:t xml:space="preserve">diabetes treatment. </w:t>
      </w:r>
      <w:r w:rsidDel="00000000" w:rsidR="00000000" w:rsidRPr="00000000">
        <w:rPr>
          <w:rtl w:val="0"/>
        </w:rPr>
      </w:r>
    </w:p>
    <w:p w:rsidR="00000000" w:rsidDel="00000000" w:rsidP="00000000" w:rsidRDefault="00000000" w:rsidRPr="00000000" w14:paraId="00000007">
      <w:pPr>
        <w:spacing w:line="48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 Group: Older Adults with Diabetes with Low Health Literacy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National Assessment of Adult Literacy, adults aged 65 and older were found to have the largest proportion of low health literacy among the general American population, 88% of whom were found to have health literacy inadequate to navigate the healthcare system and promote their well-being (Kutner et al., 2006) Low health literacy is more strongly correlated with advanced age than any other predictor, as even older adults with good health and higher education levels tend to exhibit lower levels of health literacy. (Lopez et al., 2022). Low health literacy has a proven association with a number of metabolic syndromes (Tajdar et al., 2022), and is related to a greater likelihood of Diabetes and higher fasting glucose levels in older adults (Quartuccio et al. , 2018). The most probable explanation for the decline in health literacy among older adults is the age-related deterioration in cognitive abilities rather than the loss of visual acuity or vocabulary (Lopez et al., 2022)</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Additionally, older adults may also find it challenging to adopt digital health resources, and are a vulnerable population when it comes to digital health literacy (Wang &amp; Luan, 2022). Improving health literacy among older adults with diabetes has implications not just for clinical care, but also for initiatives to increase awareness among patients.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Existing </w:t>
      </w:r>
      <w:r w:rsidDel="00000000" w:rsidR="00000000" w:rsidRPr="00000000">
        <w:rPr>
          <w:rFonts w:ascii="Times New Roman" w:cs="Times New Roman" w:eastAsia="Times New Roman" w:hAnsi="Times New Roman"/>
          <w:b w:val="1"/>
          <w:sz w:val="24"/>
          <w:szCs w:val="24"/>
          <w:highlight w:val="white"/>
          <w:rtl w:val="0"/>
        </w:rPr>
        <w:t xml:space="preserve">Applications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tl w:val="0"/>
        </w:rPr>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MyHealthFinder</w:t>
      </w:r>
    </w:p>
    <w:p w:rsidR="00000000" w:rsidDel="00000000" w:rsidP="00000000" w:rsidRDefault="00000000" w:rsidRPr="00000000" w14:paraId="0000000D">
      <w:pPr>
        <w:widowControl w:val="0"/>
        <w:spacing w:after="3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free tool offered by </w:t>
      </w:r>
      <w:r w:rsidDel="00000000" w:rsidR="00000000" w:rsidRPr="00000000">
        <w:rPr>
          <w:rFonts w:ascii="Times New Roman" w:cs="Times New Roman" w:eastAsia="Times New Roman" w:hAnsi="Times New Roman"/>
          <w:sz w:val="24"/>
          <w:szCs w:val="24"/>
          <w:rtl w:val="0"/>
        </w:rPr>
        <w:t xml:space="preserve">U.S. Department of Health and Human Services and providing</w:t>
      </w:r>
      <w:r w:rsidDel="00000000" w:rsidR="00000000" w:rsidRPr="00000000">
        <w:rPr>
          <w:rFonts w:ascii="Times New Roman" w:cs="Times New Roman" w:eastAsia="Times New Roman" w:hAnsi="Times New Roman"/>
          <w:sz w:val="24"/>
          <w:szCs w:val="24"/>
          <w:rtl w:val="0"/>
        </w:rPr>
        <w:t xml:space="preserve"> users a variety of health information which they can learn about. It provides personalized wellness check to inform users of screenings and lifestyle recommendations they should be aware of based on their age and sex</w:t>
      </w:r>
    </w:p>
    <w:p w:rsidR="00000000" w:rsidDel="00000000" w:rsidP="00000000" w:rsidRDefault="00000000" w:rsidRPr="00000000" w14:paraId="0000000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in finding the right food and habits for your body to lose weight, reverse insulin resistance and extend your healthspan. It has features like continuous glucose monitoring in the form of a tiny device worn in your hand, recommended food items based on metabolism, as well as varied representations of your data to better understand.</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Glucose Buddy</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allows users to track their blood sugar levels, medications, and other health information. It also includes a food database to help users make healthy eating choices and provides reminders to take medications.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numPr>
          <w:ilvl w:val="0"/>
          <w:numId w:val="8"/>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MySugr</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provides users with a simple and easy-to-use interface for tracking blood sugar levels, medications, and other health information. It also includes personalized coaching to help users improve their health literacy and make better decisions about their diabetes management.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numPr>
          <w:ilvl w:val="0"/>
          <w:numId w:val="5"/>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One Drop</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allows users to track blood sugar levels, medications, and other health information. It also provides personalized coaching and support to help users manage their diabetes and improve their health literacy.</w:t>
      </w:r>
    </w:p>
    <w:p w:rsidR="00000000" w:rsidDel="00000000" w:rsidP="00000000" w:rsidRDefault="00000000" w:rsidRPr="00000000" w14:paraId="0000001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numPr>
          <w:ilvl w:val="0"/>
          <w:numId w:val="7"/>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Glucosio</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designed to help users track their blood sugar levels, medications, and other health information. It also includes educational resources and personalized coaching to help users improve their health literacy and manage their diabetes more effectively.</w:t>
      </w:r>
    </w:p>
    <w:p w:rsidR="00000000" w:rsidDel="00000000" w:rsidP="00000000" w:rsidRDefault="00000000" w:rsidRPr="00000000" w14:paraId="0000001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our research about the existing CHI applications for our targeted populations, we found that most of them are designed to provide these individuals with user-friendly and accessible tools for managing their diabetes. These applications typically include features such as easy-to-use interfaces, reminders to take medications, tracking of blood sugar levels and other health metrics, and educational resources tailored to the user's individual needs. Additionally, many of these applications offer personalized coaching and support to help older adults with diabetes improve their health literacy and make better decisions about their diabetes management.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Proposed</w:t>
      </w:r>
      <w:r w:rsidDel="00000000" w:rsidR="00000000" w:rsidRPr="00000000">
        <w:rPr>
          <w:rFonts w:ascii="Times New Roman" w:cs="Times New Roman" w:eastAsia="Times New Roman" w:hAnsi="Times New Roman"/>
          <w:b w:val="1"/>
          <w:sz w:val="24"/>
          <w:szCs w:val="24"/>
          <w:highlight w:val="white"/>
          <w:rtl w:val="0"/>
        </w:rPr>
        <w:t xml:space="preserve"> Solutions for Existing Gaps:</w:t>
      </w:r>
      <w:r w:rsidDel="00000000" w:rsidR="00000000" w:rsidRPr="00000000">
        <w:rPr>
          <w:rtl w:val="0"/>
        </w:rPr>
      </w:r>
    </w:p>
    <w:p w:rsidR="00000000" w:rsidDel="00000000" w:rsidP="00000000" w:rsidRDefault="00000000" w:rsidRPr="00000000" w14:paraId="00000020">
      <w:pPr>
        <w:numPr>
          <w:ilvl w:val="0"/>
          <w:numId w:val="6"/>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Tracking health information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users with an easy way to track their blood sugar levels, medications, and other important health information. By keeping track of this information, users can better understand how their lifestyle choices are affecting their diabetes management.</w:t>
      </w:r>
    </w:p>
    <w:p w:rsidR="00000000" w:rsidDel="00000000" w:rsidP="00000000" w:rsidRDefault="00000000" w:rsidRPr="00000000" w14:paraId="00000022">
      <w:pPr>
        <w:numPr>
          <w:ilvl w:val="0"/>
          <w:numId w:val="9"/>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Educational resources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users with educational resources, such as articles and videos, to help improve their health literacy. This can include information about healthy eating, exercise, and medication management.</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Personalized coaching</w:t>
      </w:r>
    </w:p>
    <w:p w:rsidR="00000000" w:rsidDel="00000000" w:rsidP="00000000" w:rsidRDefault="00000000" w:rsidRPr="00000000" w14:paraId="0000002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personalized coaching to help users manage their diabetes and improve their health literacy. This can include advice on lifestyle changes, medication management, and other aspects of diabetes care.</w:t>
      </w:r>
    </w:p>
    <w:p w:rsidR="00000000" w:rsidDel="00000000" w:rsidP="00000000" w:rsidRDefault="00000000" w:rsidRPr="00000000" w14:paraId="00000026">
      <w:pPr>
        <w:numPr>
          <w:ilvl w:val="0"/>
          <w:numId w:val="4"/>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Reminders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 users reminders to take their medication, test their blood sugar, or make other important health-related decisions. This can help users stay on track with their diabetes management and avoid potentially dangerous situations.</w:t>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Gap Analysis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Need/Problem Space: </w:t>
      </w:r>
      <w:r w:rsidDel="00000000" w:rsidR="00000000" w:rsidRPr="00000000">
        <w:rPr>
          <w:rFonts w:ascii="Times New Roman" w:cs="Times New Roman" w:eastAsia="Times New Roman" w:hAnsi="Times New Roman"/>
          <w:sz w:val="24"/>
          <w:szCs w:val="24"/>
          <w:highlight w:val="white"/>
          <w:rtl w:val="0"/>
        </w:rPr>
        <w:t xml:space="preserve">Support for older adults with diabetes with Low Health Literacy</w:t>
      </w:r>
    </w:p>
    <w:p w:rsidR="00000000" w:rsidDel="00000000" w:rsidP="00000000" w:rsidRDefault="00000000" w:rsidRPr="00000000" w14:paraId="0000002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 Group:</w:t>
      </w:r>
      <w:r w:rsidDel="00000000" w:rsidR="00000000" w:rsidRPr="00000000">
        <w:rPr>
          <w:rFonts w:ascii="Times New Roman" w:cs="Times New Roman" w:eastAsia="Times New Roman" w:hAnsi="Times New Roman"/>
          <w:sz w:val="24"/>
          <w:szCs w:val="24"/>
          <w:highlight w:val="white"/>
          <w:rtl w:val="0"/>
        </w:rPr>
        <w:t xml:space="preserve"> Older adults with Diabetes with Low Health Literacy</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 for Need/Problem Space and User Group: </w:t>
      </w: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is a very serious long-term medical condition that raises the risk of cardiovascular disease, nerve damage, and kidney, eye, and skin issues. In the United States, 37.3 million people have diabetes as of 2022, according to the Centers for Disease Control and Prevention (CDC) and this number is expected to increase with the aging population. As individuals age, their risk of developing diabetes increases due to a combination of factors, including changes in insulin sensitivity, decreased physical activity, and increased rates of obesity. Older adults with diabetes may have multiple comorbidities, such as hypertension, heart disease, or stroke. These comorbidities can impact diabetes management and require a more comprehensive approach to care. Consequently, we require a tailored, personalized application that provides them with integrated information, in a clear and understandable manner. In some cultures, aging is viewed as a natural process that is embraced and respected. In others, aging may be viewed more negatively, with older adults seen as a burden on society. These cultural attitudes can impact how older adults view their diabetes diagnosis and how willing they are to manage it. An interactive platform will assist them in overcoming the stigma and motivate them to get assistance.</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group identifies a sizable population having trouble using and accessing health tools and services for managing diabetes. This user group has issues understanding and navigating complex treatment regimens, adhering to dietary guidelines, and using technology effectively. Additionally, the disease's additional symptoms make it harder for them to use technology. Patients with advanced illness will have worsened vision and difficulty using the interface due to problems with touch perception brought on by nerve damage. To effectively address these requirements and challenges, the application should have high-quality usability and aids.</w:t>
      </w:r>
    </w:p>
    <w:tbl>
      <w:tblPr>
        <w:tblStyle w:val="Table1"/>
        <w:tblW w:w="991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2805"/>
        <w:gridCol w:w="3330"/>
        <w:tblGridChange w:id="0">
          <w:tblGrid>
            <w:gridCol w:w="3780"/>
            <w:gridCol w:w="2805"/>
            <w:gridCol w:w="3330"/>
          </w:tblGrid>
        </w:tblGridChange>
      </w:tblGrid>
      <w:tr>
        <w:trPr>
          <w:cantSplit w:val="0"/>
          <w:tblHeader w:val="1"/>
        </w:trPr>
        <w:tc>
          <w:tcPr/>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Potential/ideal application characteristics </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literature review)</w:t>
            </w:r>
            <w:r w:rsidDel="00000000" w:rsidR="00000000" w:rsidRPr="00000000">
              <w:rPr>
                <w:rtl w:val="0"/>
              </w:rPr>
            </w:r>
          </w:p>
        </w:tc>
        <w:tc>
          <w:tcPr/>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 1</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MyHealthFinder</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 2</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1"/>
        </w:trPr>
        <w:tc>
          <w:tcPr>
            <w:gridSpan w:val="3"/>
          </w:tcPr>
          <w:p w:rsidR="00000000" w:rsidDel="00000000" w:rsidP="00000000" w:rsidRDefault="00000000" w:rsidRPr="00000000" w14:paraId="00000039">
            <w:pPr>
              <w:numPr>
                <w:ilvl w:val="0"/>
                <w:numId w:val="1"/>
              </w:numPr>
              <w:spacing w:after="200" w:line="480" w:lineRule="auto"/>
              <w:ind w:left="720" w:hanging="360"/>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1"/>
                <w:sz w:val="24"/>
                <w:szCs w:val="24"/>
                <w:rtl w:val="0"/>
              </w:rPr>
              <w:t xml:space="preserve">Design Principles for User Group</w:t>
            </w:r>
            <w:r w:rsidDel="00000000" w:rsidR="00000000" w:rsidRPr="00000000">
              <w:rPr>
                <w:rtl w:val="0"/>
              </w:rPr>
            </w:r>
          </w:p>
        </w:tc>
      </w:tr>
      <w:tr>
        <w:trPr>
          <w:cantSplit w:val="0"/>
          <w:trHeight w:val="645" w:hRule="atLeast"/>
          <w:tblHeader w:val="1"/>
        </w:trPr>
        <w:tc>
          <w:tcPr/>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 and simple language</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cfcfc" w:val="clear"/>
                <w:rtl w:val="0"/>
              </w:rPr>
              <w:t xml:space="preserve">(Stableford &amp; Mettger, 2007)</w:t>
            </w:r>
            <w:r w:rsidDel="00000000" w:rsidR="00000000" w:rsidRPr="00000000">
              <w:rPr>
                <w:rtl w:val="0"/>
              </w:rPr>
            </w:r>
          </w:p>
        </w:tc>
        <w:tc>
          <w:tcPr/>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rHeight w:val="665.92529296875" w:hRule="atLeast"/>
          <w:tblHeader w:val="1"/>
        </w:trPr>
        <w:tc>
          <w:tcPr/>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aids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(Garcia-Retamero &amp; Cokely, 2017)</w:t>
            </w:r>
          </w:p>
        </w:tc>
        <w:tc>
          <w:tcPr/>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c>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rHeight w:val="660" w:hRule="atLeast"/>
          <w:tblHeader w:val="1"/>
        </w:trPr>
        <w:tc>
          <w:tcPr/>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Easy to navigate user interface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et al., 2010)</w:t>
            </w:r>
          </w:p>
        </w:tc>
        <w:tc>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rHeight w:val="470.92529296875" w:hRule="atLeast"/>
          <w:tblHeader w:val="1"/>
        </w:trPr>
        <w:tc>
          <w:tcPr/>
          <w:p w:rsidR="00000000" w:rsidDel="00000000" w:rsidP="00000000" w:rsidRDefault="00000000" w:rsidRPr="00000000" w14:paraId="0000004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Cultural nuances                                  </w:t>
            </w:r>
            <w:r w:rsidDel="00000000" w:rsidR="00000000" w:rsidRPr="00000000">
              <w:rPr>
                <w:rFonts w:ascii="Times New Roman" w:cs="Times New Roman" w:eastAsia="Times New Roman" w:hAnsi="Times New Roman"/>
                <w:sz w:val="24"/>
                <w:szCs w:val="24"/>
                <w:rtl w:val="0"/>
              </w:rPr>
              <w:t xml:space="preserve">(Dube et al., 2013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p w:rsidR="00000000" w:rsidDel="00000000" w:rsidP="00000000" w:rsidRDefault="00000000" w:rsidRPr="00000000" w14:paraId="00000049">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c>
          <w:tcPr/>
          <w:p w:rsidR="00000000" w:rsidDel="00000000" w:rsidP="00000000" w:rsidRDefault="00000000" w:rsidRPr="00000000" w14:paraId="0000004A">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r>
      <w:tr>
        <w:trPr>
          <w:cantSplit w:val="0"/>
          <w:trHeight w:val="440.92529296875" w:hRule="atLeast"/>
          <w:tblHeader w:val="1"/>
        </w:trPr>
        <w:tc>
          <w:tcPr/>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Personalization</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(Giuse et al., 2012)</w:t>
            </w:r>
          </w:p>
        </w:tc>
        <w:tc>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rHeight w:val="545.92529296875" w:hRule="atLeast"/>
          <w:tblHeader w:val="1"/>
        </w:trPr>
        <w:tc>
          <w:tcPr/>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design</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(Jacobs et al., 2016)</w:t>
            </w:r>
          </w:p>
        </w:tc>
        <w:tc>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c>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rHeight w:val="315" w:hRule="atLeast"/>
          <w:tblHeader w:val="1"/>
        </w:trPr>
        <w:tc>
          <w:tcPr/>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273.90625" w:hRule="atLeast"/>
          <w:tblHeader w:val="1"/>
        </w:trPr>
        <w:tc>
          <w:tcPr>
            <w:gridSpan w:val="3"/>
          </w:tcPr>
          <w:p w:rsidR="00000000" w:rsidDel="00000000" w:rsidP="00000000" w:rsidRDefault="00000000" w:rsidRPr="00000000" w14:paraId="00000056">
            <w:pPr>
              <w:numPr>
                <w:ilvl w:val="0"/>
                <w:numId w:val="1"/>
              </w:numPr>
              <w:spacing w:after="200" w:line="480" w:lineRule="auto"/>
              <w:ind w:left="720" w:hanging="360"/>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1"/>
                <w:sz w:val="24"/>
                <w:szCs w:val="24"/>
                <w:rtl w:val="0"/>
              </w:rPr>
              <w:t xml:space="preserve">Theory-based Intervention Strategies and (if relevant) behavior change techniques that should be employed</w:t>
            </w:r>
            <w:r w:rsidDel="00000000" w:rsidR="00000000" w:rsidRPr="00000000">
              <w:rPr>
                <w:rtl w:val="0"/>
              </w:rPr>
            </w:r>
          </w:p>
        </w:tc>
      </w:tr>
      <w:tr>
        <w:trPr>
          <w:cantSplit w:val="0"/>
          <w:tblHeader w:val="1"/>
        </w:trPr>
        <w:tc>
          <w:tcPr/>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Gamification - </w:t>
            </w:r>
            <w:r w:rsidDel="00000000" w:rsidR="00000000" w:rsidRPr="00000000">
              <w:rPr>
                <w:rFonts w:ascii="Times New Roman" w:cs="Times New Roman" w:eastAsia="Times New Roman" w:hAnsi="Times New Roman"/>
                <w:sz w:val="24"/>
                <w:szCs w:val="24"/>
                <w:rtl w:val="0"/>
              </w:rPr>
              <w:t xml:space="preserve">In populations with low health literacy, gamification of health education applications can create increased intervention success rates and reduce barriers to entry for health learning.</w:t>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(Priesterroth et al., 2019)</w:t>
            </w:r>
            <w:r w:rsidDel="00000000" w:rsidR="00000000" w:rsidRPr="00000000">
              <w:rPr>
                <w:rtl w:val="0"/>
              </w:rPr>
            </w:r>
          </w:p>
        </w:tc>
        <w:tc>
          <w:tcPr/>
          <w:p w:rsidR="00000000" w:rsidDel="00000000" w:rsidP="00000000" w:rsidRDefault="00000000" w:rsidRPr="00000000" w14:paraId="0000005B">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c>
          <w:tcPr/>
          <w:p w:rsidR="00000000" w:rsidDel="00000000" w:rsidP="00000000" w:rsidRDefault="00000000" w:rsidRPr="00000000" w14:paraId="0000005C">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r>
      <w:tr>
        <w:trPr>
          <w:cantSplit w:val="0"/>
          <w:tblHeader w:val="1"/>
        </w:trPr>
        <w:tc>
          <w:tcPr/>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Support - </w:t>
            </w:r>
            <w:r w:rsidDel="00000000" w:rsidR="00000000" w:rsidRPr="00000000">
              <w:rPr>
                <w:rFonts w:ascii="Times New Roman" w:cs="Times New Roman" w:eastAsia="Times New Roman" w:hAnsi="Times New Roman"/>
                <w:sz w:val="24"/>
                <w:szCs w:val="24"/>
                <w:rtl w:val="0"/>
              </w:rPr>
              <w:t xml:space="preserve">Social support systems can support health education in populations with low health literacy by  forming a community connection with those who have similar conditions. This creates a sense of community which increases desire and effectiveness of learning.</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 et al., 2020)</w:t>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c>
          <w:tcPr/>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1"/>
        </w:trPr>
        <w:tc>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Aids and Clear Communication - </w:t>
            </w:r>
            <w:r w:rsidDel="00000000" w:rsidR="00000000" w:rsidRPr="00000000">
              <w:rPr>
                <w:rFonts w:ascii="Times New Roman" w:cs="Times New Roman" w:eastAsia="Times New Roman" w:hAnsi="Times New Roman"/>
                <w:sz w:val="24"/>
                <w:szCs w:val="24"/>
                <w:rtl w:val="0"/>
              </w:rPr>
              <w:t xml:space="preserve">One of the barriers for health education for low health literacy populations is a lack of understanding of medical terminology for being overwhelmed by large amounts of hard to digest information. Creating applications which use simple language and visual aids to create easy to digest information can increase health education in these populations.</w:t>
            </w:r>
          </w:p>
          <w:p w:rsidR="00000000" w:rsidDel="00000000" w:rsidP="00000000" w:rsidRDefault="00000000" w:rsidRPr="00000000" w14:paraId="000000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(Kripalani et al., 2006)</w:t>
            </w:r>
            <w:r w:rsidDel="00000000" w:rsidR="00000000" w:rsidRPr="00000000">
              <w:rPr>
                <w:rtl w:val="0"/>
              </w:rPr>
            </w:r>
          </w:p>
        </w:tc>
        <w:tc>
          <w:tcPr/>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1"/>
        </w:trPr>
        <w:tc>
          <w:tcPr/>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1"/>
        </w:trPr>
        <w:tc>
          <w:tcPr/>
          <w:p w:rsidR="00000000" w:rsidDel="00000000" w:rsidP="00000000" w:rsidRDefault="00000000" w:rsidRPr="00000000" w14:paraId="0000006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Behavior change techniques (see handout from class)</w:t>
            </w:r>
          </w:p>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widowControl w:val="0"/>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Instructions on how to perform certain tasks </w:t>
            </w:r>
            <w:r w:rsidDel="00000000" w:rsidR="00000000" w:rsidRPr="00000000">
              <w:rPr>
                <w:rtl w:val="0"/>
              </w:rPr>
            </w:r>
          </w:p>
        </w:tc>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70">
            <w:pPr>
              <w:widowControl w:val="0"/>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Credible Sources </w:t>
            </w:r>
            <w:r w:rsidDel="00000000" w:rsidR="00000000" w:rsidRPr="00000000">
              <w:rPr>
                <w:rtl w:val="0"/>
              </w:rPr>
            </w:r>
          </w:p>
        </w:tc>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setting</w:t>
            </w:r>
          </w:p>
        </w:tc>
        <w:tc>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7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support</w:t>
            </w:r>
          </w:p>
        </w:tc>
        <w:tc>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c>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7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Personalization</w:t>
            </w:r>
          </w:p>
        </w:tc>
        <w:tc>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7C">
            <w:pPr>
              <w:spacing w:line="48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7F">
            <w:pPr>
              <w:numPr>
                <w:ilvl w:val="0"/>
                <w:numId w:val="1"/>
              </w:numPr>
              <w:spacing w:after="200" w:line="480" w:lineRule="auto"/>
              <w:ind w:left="720" w:hanging="360"/>
              <w:rPr>
                <w:rFonts w:ascii="Calibri" w:cs="Calibri" w:eastAsia="Calibri" w:hAnsi="Calibri"/>
                <w:b w:val="1"/>
                <w:i w:val="0"/>
                <w:sz w:val="24"/>
                <w:szCs w:val="24"/>
              </w:rPr>
            </w:pPr>
            <w:r w:rsidDel="00000000" w:rsidR="00000000" w:rsidRPr="00000000">
              <w:rPr>
                <w:rFonts w:ascii="Times New Roman" w:cs="Times New Roman" w:eastAsia="Times New Roman" w:hAnsi="Times New Roman"/>
                <w:b w:val="1"/>
                <w:i w:val="1"/>
                <w:sz w:val="24"/>
                <w:szCs w:val="24"/>
                <w:rtl w:val="0"/>
              </w:rPr>
              <w:t xml:space="preserve">Technological platform that should be used, and platform features actually used </w:t>
            </w:r>
            <w:r w:rsidDel="00000000" w:rsidR="00000000" w:rsidRPr="00000000">
              <w:rPr>
                <w:rFonts w:ascii="Times New Roman" w:cs="Times New Roman" w:eastAsia="Times New Roman" w:hAnsi="Times New Roman"/>
                <w:sz w:val="24"/>
                <w:szCs w:val="24"/>
                <w:rtl w:val="0"/>
              </w:rPr>
              <w:t xml:space="preserve">(e.g., web browser, texting, digital camera, accelerometer, GPS, Video playback)</w:t>
            </w:r>
            <w:r w:rsidDel="00000000" w:rsidR="00000000" w:rsidRPr="00000000">
              <w:rPr>
                <w:rtl w:val="0"/>
              </w:rPr>
            </w:r>
          </w:p>
        </w:tc>
      </w:tr>
      <w:tr>
        <w:trPr>
          <w:cantSplit w:val="0"/>
          <w:tblHeader w:val="0"/>
        </w:trPr>
        <w:tc>
          <w:tcPr/>
          <w:p w:rsidR="00000000" w:rsidDel="00000000" w:rsidP="00000000" w:rsidRDefault="00000000" w:rsidRPr="00000000" w14:paraId="000000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Text-to-voice</w:t>
            </w:r>
          </w:p>
        </w:tc>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c>
          <w:tcPr/>
          <w:p w:rsidR="00000000" w:rsidDel="00000000" w:rsidP="00000000" w:rsidRDefault="00000000" w:rsidRPr="00000000" w14:paraId="00000084">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r>
      <w:tr>
        <w:trPr>
          <w:cantSplit w:val="0"/>
          <w:tblHeader w:val="0"/>
        </w:trPr>
        <w:tc>
          <w:tcPr/>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Camera Use - </w:t>
            </w:r>
            <w:r w:rsidDel="00000000" w:rsidR="00000000" w:rsidRPr="00000000">
              <w:rPr>
                <w:rFonts w:ascii="Times New Roman" w:cs="Times New Roman" w:eastAsia="Times New Roman" w:hAnsi="Times New Roman"/>
                <w:sz w:val="24"/>
                <w:szCs w:val="24"/>
                <w:rtl w:val="0"/>
              </w:rPr>
              <w:t xml:space="preserve">The use of camera technology can be used to allow users to use their camera to identify issues they have rather than having to compare physical symptoms with technical terminology</w:t>
            </w:r>
          </w:p>
        </w:tc>
        <w:tc>
          <w:tcPr/>
          <w:p w:rsidR="00000000" w:rsidDel="00000000" w:rsidP="00000000" w:rsidRDefault="00000000" w:rsidRPr="00000000" w14:paraId="00000086">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c>
          <w:tcPr/>
          <w:p w:rsidR="00000000" w:rsidDel="00000000" w:rsidP="00000000" w:rsidRDefault="00000000" w:rsidRPr="00000000" w14:paraId="00000087">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r>
      <w:tr>
        <w:trPr>
          <w:cantSplit w:val="0"/>
          <w:tblHeader w:val="0"/>
        </w:trPr>
        <w:tc>
          <w:tcPr/>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Mobile-Friendly - </w:t>
            </w:r>
            <w:r w:rsidDel="00000000" w:rsidR="00000000" w:rsidRPr="00000000">
              <w:rPr>
                <w:rFonts w:ascii="Times New Roman" w:cs="Times New Roman" w:eastAsia="Times New Roman" w:hAnsi="Times New Roman"/>
                <w:sz w:val="24"/>
                <w:szCs w:val="24"/>
                <w:rtl w:val="0"/>
              </w:rPr>
              <w:t xml:space="preserve">Mobile friendly application offer the user more flexibility for accessing health interventions</w:t>
            </w:r>
          </w:p>
        </w:tc>
        <w:tc>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SMS or Messaging Integration - </w:t>
            </w:r>
            <w:r w:rsidDel="00000000" w:rsidR="00000000" w:rsidRPr="00000000">
              <w:rPr>
                <w:rFonts w:ascii="Times New Roman" w:cs="Times New Roman" w:eastAsia="Times New Roman" w:hAnsi="Times New Roman"/>
                <w:sz w:val="24"/>
                <w:szCs w:val="24"/>
                <w:rtl w:val="0"/>
              </w:rPr>
              <w:t xml:space="preserve">SMS messaging is the most commonly used mHealth technology. Typical application involves creating awareness and promoting health. (Abaz et al. 2017)</w:t>
            </w:r>
          </w:p>
        </w:tc>
        <w:tc>
          <w:tcPr/>
          <w:p w:rsidR="00000000" w:rsidDel="00000000" w:rsidP="00000000" w:rsidRDefault="00000000" w:rsidRPr="00000000" w14:paraId="0000008C">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c>
          <w:tcPr/>
          <w:p w:rsidR="00000000" w:rsidDel="00000000" w:rsidP="00000000" w:rsidRDefault="00000000" w:rsidRPr="00000000" w14:paraId="0000008D">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r>
      <w:tr>
        <w:trPr>
          <w:cantSplit w:val="0"/>
          <w:tblHeader w:val="0"/>
        </w:trPr>
        <w:tc>
          <w:tcPr/>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Medical Expert Contact - </w:t>
            </w:r>
            <w:r w:rsidDel="00000000" w:rsidR="00000000" w:rsidRPr="00000000">
              <w:rPr>
                <w:rFonts w:ascii="Times New Roman" w:cs="Times New Roman" w:eastAsia="Times New Roman" w:hAnsi="Times New Roman"/>
                <w:sz w:val="24"/>
                <w:szCs w:val="24"/>
                <w:rtl w:val="0"/>
              </w:rPr>
              <w:t xml:space="preserve">Telehealth implementation within the app to allow users to directly talk to medical professionals when needed</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(Haleem et al., 2021)</w:t>
            </w:r>
          </w:p>
        </w:tc>
        <w:tc>
          <w:tcPr/>
          <w:p w:rsidR="00000000" w:rsidDel="00000000" w:rsidP="00000000" w:rsidRDefault="00000000" w:rsidRPr="00000000" w14:paraId="00000090">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c>
          <w:tcPr/>
          <w:p w:rsidR="00000000" w:rsidDel="00000000" w:rsidP="00000000" w:rsidRDefault="00000000" w:rsidRPr="00000000" w14:paraId="00000091">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r>
      <w:tr>
        <w:trPr>
          <w:cantSplit w:val="0"/>
          <w:tblHeader w:val="0"/>
        </w:trPr>
        <w:tc>
          <w:tcPr/>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Wearable Health Technology Integration - </w:t>
            </w:r>
            <w:r w:rsidDel="00000000" w:rsidR="00000000" w:rsidRPr="00000000">
              <w:rPr>
                <w:rFonts w:ascii="Times New Roman" w:cs="Times New Roman" w:eastAsia="Times New Roman" w:hAnsi="Times New Roman"/>
                <w:sz w:val="24"/>
                <w:szCs w:val="24"/>
                <w:rtl w:val="0"/>
              </w:rPr>
              <w:t xml:space="preserve">Application which can integrate wearable health technologies such as glucose monitors or smart watches allow the users to enhance their health education based on their health data, and better understand the information about their bodies</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(Nittayathammakul et al., 2021)</w:t>
            </w:r>
          </w:p>
        </w:tc>
        <w:tc>
          <w:tcPr/>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c>
          <w:tcPr/>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76171875" w:hRule="atLeast"/>
          <w:tblHeader w:val="0"/>
        </w:trPr>
        <w:tc>
          <w:tcPr>
            <w:gridSpan w:val="3"/>
          </w:tcPr>
          <w:p w:rsidR="00000000" w:rsidDel="00000000" w:rsidP="00000000" w:rsidRDefault="00000000" w:rsidRPr="00000000" w14:paraId="00000099">
            <w:pPr>
              <w:numPr>
                <w:ilvl w:val="0"/>
                <w:numId w:val="1"/>
              </w:numPr>
              <w:spacing w:after="200" w:line="480" w:lineRule="auto"/>
              <w:ind w:left="720" w:hanging="360"/>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1"/>
                <w:sz w:val="24"/>
                <w:szCs w:val="24"/>
                <w:rtl w:val="0"/>
              </w:rPr>
              <w:t xml:space="preserve">Ideal features of application</w:t>
            </w:r>
            <w:r w:rsidDel="00000000" w:rsidR="00000000" w:rsidRPr="00000000">
              <w:rPr>
                <w:rtl w:val="0"/>
              </w:rPr>
            </w:r>
          </w:p>
        </w:tc>
      </w:tr>
      <w:tr>
        <w:trPr>
          <w:cantSplit w:val="0"/>
          <w:tblHeader w:val="0"/>
        </w:trPr>
        <w:tc>
          <w:tcPr/>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Reduced Medical terminology which is present in easy to digest formats, such as graphics or videos</w:t>
            </w:r>
          </w:p>
        </w:tc>
        <w:tc>
          <w:tcPr/>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9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Support systems</w:t>
            </w:r>
          </w:p>
        </w:tc>
        <w:tc>
          <w:tcPr/>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c>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A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Easily Navigable User Interfaces</w:t>
            </w:r>
          </w:p>
        </w:tc>
        <w:tc>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rHeight w:val="229.14062499999997" w:hRule="atLeast"/>
          <w:tblHeader w:val="0"/>
        </w:trPr>
        <w:tc>
          <w:tcPr/>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Reminders</w:t>
            </w:r>
            <w:r w:rsidDel="00000000" w:rsidR="00000000" w:rsidRPr="00000000">
              <w:rPr>
                <w:rFonts w:ascii="Times New Roman" w:cs="Times New Roman" w:eastAsia="Times New Roman" w:hAnsi="Times New Roman"/>
                <w:sz w:val="24"/>
                <w:szCs w:val="24"/>
                <w:rtl w:val="0"/>
              </w:rPr>
              <w:t xml:space="preserve"> - reminders to help users remember to take their medication, check their blood sugar levels, and attend medical appointments. </w:t>
            </w:r>
            <w:r w:rsidDel="00000000" w:rsidR="00000000" w:rsidRPr="00000000">
              <w:rPr>
                <w:rFonts w:ascii="Times New Roman" w:cs="Times New Roman" w:eastAsia="Times New Roman" w:hAnsi="Times New Roman"/>
                <w:b w:val="1"/>
                <w:sz w:val="24"/>
                <w:szCs w:val="24"/>
                <w:rtl w:val="0"/>
              </w:rPr>
              <w:t xml:space="preserve">(Kim et al., 2018)</w:t>
            </w:r>
          </w:p>
        </w:tc>
        <w:tc>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c>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AB">
            <w:pPr>
              <w:numPr>
                <w:ilvl w:val="0"/>
                <w:numId w:val="1"/>
              </w:numPr>
              <w:spacing w:after="200" w:line="480" w:lineRule="auto"/>
              <w:ind w:left="720" w:hanging="360"/>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1"/>
                <w:sz w:val="24"/>
                <w:szCs w:val="24"/>
                <w:rtl w:val="0"/>
              </w:rPr>
              <w:t xml:space="preserve">Ideal content of an application</w:t>
            </w:r>
            <w:r w:rsidDel="00000000" w:rsidR="00000000" w:rsidRPr="00000000">
              <w:rPr>
                <w:rtl w:val="0"/>
              </w:rPr>
            </w:r>
          </w:p>
        </w:tc>
      </w:tr>
      <w:tr>
        <w:trPr>
          <w:cantSplit w:val="0"/>
          <w:tblHeader w:val="0"/>
        </w:trPr>
        <w:tc>
          <w:tcPr/>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Stories of those who have successfully managed chronic conditions</w:t>
            </w:r>
          </w:p>
        </w:tc>
        <w:tc>
          <w:tcPr/>
          <w:p w:rsidR="00000000" w:rsidDel="00000000" w:rsidP="00000000" w:rsidRDefault="00000000" w:rsidRPr="00000000" w14:paraId="000000AF">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c>
          <w:tcPr/>
          <w:p w:rsidR="00000000" w:rsidDel="00000000" w:rsidP="00000000" w:rsidRDefault="00000000" w:rsidRPr="00000000" w14:paraId="000000B0">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Not Included</w:t>
            </w:r>
          </w:p>
        </w:tc>
      </w:tr>
      <w:tr>
        <w:trPr>
          <w:cantSplit w:val="0"/>
          <w:tblHeader w:val="0"/>
        </w:trPr>
        <w:tc>
          <w:tcPr/>
          <w:p w:rsidR="00000000" w:rsidDel="00000000" w:rsidP="00000000" w:rsidRDefault="00000000" w:rsidRPr="00000000" w14:paraId="000000B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 Glucose Level tracking and provide guidance on how to manage low and high levels</w:t>
            </w:r>
          </w:p>
        </w:tc>
        <w:tc>
          <w:tcPr/>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c>
          <w:tcPr/>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B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guidance on physical activity, including recommendations for exercise routines and tips for staying active.</w:t>
            </w:r>
          </w:p>
        </w:tc>
        <w:tc>
          <w:tcPr/>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r>
        <w:trPr>
          <w:cantSplit w:val="0"/>
          <w:tblHeader w:val="0"/>
        </w:trPr>
        <w:tc>
          <w:tcPr/>
          <w:p w:rsidR="00000000" w:rsidDel="00000000" w:rsidP="00000000" w:rsidRDefault="00000000" w:rsidRPr="00000000" w14:paraId="000000B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motivational content, such as inspiring quotes, success stories, and tips for staying motivated.</w:t>
            </w:r>
          </w:p>
        </w:tc>
        <w:tc>
          <w:tcPr/>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Included</w:t>
            </w:r>
          </w:p>
        </w:tc>
      </w:tr>
      <w:tr>
        <w:trPr>
          <w:cantSplit w:val="0"/>
          <w:tblHeader w:val="0"/>
        </w:trPr>
        <w:tc>
          <w:tcPr/>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guidance on healthy eating habits, including information about portion sizes, food choices, and meal planning.</w:t>
            </w:r>
          </w:p>
        </w:tc>
        <w:tc>
          <w:tcPr/>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c>
          <w:tcPr/>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w:t>
            </w:r>
          </w:p>
        </w:tc>
      </w:tr>
    </w:tbl>
    <w:p w:rsidR="00000000" w:rsidDel="00000000" w:rsidP="00000000" w:rsidRDefault="00000000" w:rsidRPr="00000000" w14:paraId="000000BD">
      <w:pPr>
        <w:spacing w:after="200"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Major gaps across applications: </w:t>
      </w:r>
      <w:r w:rsidDel="00000000" w:rsidR="00000000" w:rsidRPr="00000000">
        <w:rPr>
          <w:rFonts w:ascii="Times New Roman" w:cs="Times New Roman" w:eastAsia="Times New Roman" w:hAnsi="Times New Roman"/>
          <w:b w:val="1"/>
          <w:sz w:val="24"/>
          <w:szCs w:val="24"/>
          <w:highlight w:val="yellow"/>
          <w:rtl w:val="0"/>
        </w:rPr>
        <w:t xml:space="preserve">Highlight</w:t>
      </w:r>
    </w:p>
    <w:p w:rsidR="00000000" w:rsidDel="00000000" w:rsidP="00000000" w:rsidRDefault="00000000" w:rsidRPr="00000000" w14:paraId="000000B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Abaza, H., &amp; Marschollek, M. (2017). MHealth application areas and technology  combinations. Methods of Information in Medicine, 56(S 01), e105-e122. https://doi.org/10.3414/me17-05-0003 </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2022. “National Diabetes Statistics Report.” Center for Disease Control and Prevention. June 29, 2022. https://www.cdc.gov/diabetes/data/statistics-report/index.html.</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Dageforde, L. A., &amp; Cavanaugh, K. L. (2013). Health literacy: emerging evidence and applications in kidney disease care. Advances in chronic kidney disease, 20(4), 311-319.</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Dube, D., Kawar, Z. S., &amp; Aboul-Hosn, K. (2013). Designing health information systems for cultural diversity: a case study on maternal health. Journal of medical systems, 37(4), 9958. doi: 10.1007/s10916-013-9958-6.</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Garcia-Retamero R, Cokely ET. Designing Visual Aids That Promote Risk Literacy: A Systematic Review of Health Research and Evidence-Based Design Heuristics. Hum Factors. 2017 Jun;59(4):582-627. doi: 10.1177/0018720817690634. Epub 2017 Feb 13. PMID: 28192674.</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Griva, K., Yoong, R. K., Nandakumar, M., Rajeswari, M., Khoo, E. Y., Lee, V. Y., ... &amp; Newman, S. P. (2020). Associations between health literacy and health care utilization and mortality in patients with coexisting diabetes and end‐stage renal disease: A prospective cohort study. British journal of health psychology, 25(3), 405-427.</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Haleem, A., Javaid, M., Singh, R. P., &amp;amp; Suman, R. (2021). Telemedicine for Healthcare: Capabilities, features, barriers, and applications. Sensors International, 2, 100117. https://doi.org/10.1016/j.sintl.2021.100117 </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Literacy in Healthy People 2030 - Healthy People 2030 | health.gov. health.gov. Retrieved on 26/3 from https://health.gov/healthypeople/priority-areas/health-literacy-healthy-people-2030. </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Jacobs, R. J., Lou, J. Q., Ownby, R. L., &amp; Caballero, J. (2016). A systematic review of eHealth interventions to improve health literacy. Health informatics journal, 22(2), 81-98.</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Jensen, J. D., King, A. J., Davis, L. A., &amp; Guntzviller, L. M. (2010). Utilization of internet technology by low-income adults: the role of health literacy, health numeracy, and computer assistance. Journal of aging and health, 22(6), 804-826.</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 A., Ji Seo, E., &amp;amp; Son, Y. J. (2020). The roles of Health Literacy and social support in improving adherence to self‐care behaviours among older adults with heart failure. Nursing Open, 7(6), 2039–2046. https://doi.org/10.1002/nop2.599 </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H. S., Oh, J. A., Kim, Y., &amp; Choi, H. (2018). Use of a mobile application to improve self-management in patients with type 2 diabetes mellitus: The role of reminders. Journal of Diabetes Science and Technology, 12(4), 894-901. doi: 10.1177/1932296818760610</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Kripalani, S., &amp;amp; Weiss, B. D. (2006). Teaching about health literacy and clear communication. Journal of General Internal Medicine, 21(8), 888–890. https://doi.org/10.1111/j.1525-1497.2006.00543.x </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Kutner, M., Greenberg, E., Jin, Y., Paulsen, and, &amp; C. (2006). The Health Literacy of America’s Adults: Results From the 2003 National Assessment of Adult Literacy. https://nces.ed.gov/pubs2006/2006483.pdf</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M. A., Bello, N. M., Payne, H. E., &amp; Williams, C. D. (2010). User-centered design for low-literate and novice users: A review of usability methods and techniques. Journal of Research in Interactive Marketing, 4(2/3), 118-134. doi: 10.1108/17505931011056559</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Lopez, C., Kim, B., &amp; Sacks, K. (2022). HEALTH LITERACY IN THE UNITED STATES Enhancing Assessments and Reducing Disparities. https://milkeninstitute.org/sites/default/files/2022-05/Health_Literacy_United_States_Final_Report.pdf </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Lopez, C., Kim, B., &amp; Sacks, K. (2022). Health Literacy in the United States: Enhancing Assessments and Reducing Disparities. Available at SSRN 4182046.</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Nittayathammakul, V., Chatwattana, P., &amp;amp; Piriyasurawong, P. (2021). Conceptual framework of crowd context-based learning via IOT wearable technology to promote digital health literacy. 2021 5th International Conference on E-Society, E-Education and E-Technology. https://doi.org/10.1145/3485768.3485810 </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Nunzia B. Giuse, Taneya Y. Koonce, Alan B. Storrow, Sheila V. Kusnoor &amp; Fei Ye (2012) Using Health Literacy and Learning Style Preferences to Optimize the Delivery of Health Information, Journal of Health Communication, 17:sup3, 122-140, DOI: 10.1080/10810730.2012.712610</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Priesterroth, L., Grammes, J., Holtz, K., Reinwarth, A., &amp;amp; Kubiak, T. (2019). Gamification and behavior change techniques in diabetes self-management apps. Journal of Diabetes Science and Technology, 13(5), 954–958. https://doi.org/10.1177/1932296818822998 </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Quartuccio M, Simonsick EM, Langan S, Harris T, Sudore RL, Thorpe R, Rosano C, Hill-Briggs F, Golden S, Kalyani RR. The relationship of health literacy to diabetes status differs by sex in older adults. J Diabetes Complications. 2018 Apr;32(4):368-372. doi: 10.1016/j.jdiacomp.2017.10.012. Epub 2017 Oct 28. PMID: 29198996; PMCID: PMC5849497.</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Stableford, S., Mettger, W. Plain Language: A Strategic Response to the Health Literacy Challenge. J Public Health Pol 28, 71–93 (2007). https://doi.org/10.1057/palgrave.jphp.3200102</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Tajdar D, Schäfer I, Lühmann D, Fertmann R, Steinberg T, van den Bussche H, Scherer M. The Link Between Health Literacy and Three Conditions of Metabolic Syndrome: Obesity, Diabetes and Hypertension. Diabetes Metab Syndr Obes. 2022 May 26;15:1639-1650. doi: 10.2147/DMSO.S363823. PMID: 35651900; PMCID: PMC9150919.</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X, Luan W. Research progress on digital health literacy of older adults: A scoping review. Front Public Health. 2022 Aug 5;10:906089. doi: 10.3389/fpubh.2022.906089. PMID: 35991040; PMCID: PMC9389004 [Original source: https://studycrumb.com/alphabetizer]</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