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7065D" w14:textId="77777777" w:rsidR="00D739EC" w:rsidRDefault="00576BC9">
      <w:r w:rsidRPr="00576BC9">
        <w:t>Population Health: CHNA Comparisons</w:t>
      </w:r>
    </w:p>
    <w:p w14:paraId="6BB2A565" w14:textId="625CA44B" w:rsidR="00EA4623" w:rsidRPr="00576BC9" w:rsidRDefault="00EA4623">
      <w:r>
        <w:rPr>
          <w:rFonts w:ascii="Lato" w:hAnsi="Lato"/>
          <w:color w:val="000000"/>
          <w:shd w:val="clear" w:color="auto" w:fill="FFFFFF"/>
        </w:rPr>
        <w:t>A</w:t>
      </w:r>
      <w:r>
        <w:rPr>
          <w:rFonts w:ascii="Lato" w:hAnsi="Lato"/>
          <w:color w:val="000000"/>
          <w:shd w:val="clear" w:color="auto" w:fill="FFFFFF"/>
        </w:rPr>
        <w:t xml:space="preserve"> “report” on the population health needs of community and recommendations for actions to address them.</w:t>
      </w:r>
    </w:p>
    <w:p w14:paraId="548CA920" w14:textId="3258CCFF" w:rsidR="00D739EC" w:rsidRPr="00576BC9" w:rsidRDefault="00576BC9">
      <w:r w:rsidRPr="00576BC9">
        <w:t xml:space="preserve"> </w:t>
      </w:r>
    </w:p>
    <w:tbl>
      <w:tblPr>
        <w:tblStyle w:val="a"/>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5"/>
        <w:gridCol w:w="1453"/>
        <w:gridCol w:w="1426"/>
        <w:gridCol w:w="1834"/>
        <w:gridCol w:w="1685"/>
        <w:gridCol w:w="1685"/>
        <w:gridCol w:w="1862"/>
      </w:tblGrid>
      <w:tr w:rsidR="00576BC9" w:rsidRPr="00576BC9" w14:paraId="6886B8E3" w14:textId="77777777" w:rsidTr="00576BC9">
        <w:tc>
          <w:tcPr>
            <w:tcW w:w="3015" w:type="dxa"/>
          </w:tcPr>
          <w:p w14:paraId="33411C39" w14:textId="77777777" w:rsidR="00D739EC" w:rsidRPr="00576BC9" w:rsidRDefault="00576BC9">
            <w:pPr>
              <w:jc w:val="center"/>
              <w:rPr>
                <w:rFonts w:ascii="Times New Roman" w:eastAsia="Times New Roman" w:hAnsi="Times New Roman" w:cs="Times New Roman"/>
                <w:b/>
                <w:sz w:val="24"/>
                <w:szCs w:val="24"/>
              </w:rPr>
            </w:pPr>
            <w:r w:rsidRPr="00576BC9">
              <w:rPr>
                <w:b/>
                <w:sz w:val="24"/>
                <w:szCs w:val="24"/>
              </w:rPr>
              <w:t>Characteristic</w:t>
            </w:r>
          </w:p>
        </w:tc>
        <w:tc>
          <w:tcPr>
            <w:tcW w:w="1453" w:type="dxa"/>
          </w:tcPr>
          <w:p w14:paraId="63E48A40" w14:textId="77777777" w:rsidR="00D739EC" w:rsidRPr="00576BC9" w:rsidRDefault="00576BC9">
            <w:pPr>
              <w:jc w:val="center"/>
              <w:rPr>
                <w:rFonts w:ascii="Times New Roman" w:eastAsia="Times New Roman" w:hAnsi="Times New Roman" w:cs="Times New Roman"/>
                <w:b/>
                <w:sz w:val="24"/>
                <w:szCs w:val="24"/>
              </w:rPr>
            </w:pPr>
            <w:r w:rsidRPr="00576BC9">
              <w:rPr>
                <w:b/>
                <w:sz w:val="24"/>
                <w:szCs w:val="24"/>
              </w:rPr>
              <w:t>New York County, NY</w:t>
            </w:r>
          </w:p>
        </w:tc>
        <w:tc>
          <w:tcPr>
            <w:tcW w:w="1426" w:type="dxa"/>
          </w:tcPr>
          <w:p w14:paraId="5198A765" w14:textId="77777777" w:rsidR="00D739EC" w:rsidRPr="00576BC9" w:rsidRDefault="00576BC9">
            <w:pPr>
              <w:jc w:val="center"/>
              <w:rPr>
                <w:rFonts w:ascii="Times New Roman" w:eastAsia="Times New Roman" w:hAnsi="Times New Roman" w:cs="Times New Roman"/>
                <w:b/>
                <w:sz w:val="24"/>
                <w:szCs w:val="24"/>
              </w:rPr>
            </w:pPr>
            <w:r w:rsidRPr="00576BC9">
              <w:rPr>
                <w:b/>
                <w:sz w:val="24"/>
                <w:szCs w:val="24"/>
              </w:rPr>
              <w:t>Holmes County, Ohio</w:t>
            </w:r>
          </w:p>
        </w:tc>
        <w:tc>
          <w:tcPr>
            <w:tcW w:w="1834" w:type="dxa"/>
          </w:tcPr>
          <w:p w14:paraId="685AA7FA" w14:textId="77777777" w:rsidR="00D739EC" w:rsidRPr="00576BC9" w:rsidRDefault="00576BC9">
            <w:pPr>
              <w:jc w:val="center"/>
              <w:rPr>
                <w:b/>
                <w:sz w:val="26"/>
                <w:szCs w:val="26"/>
              </w:rPr>
            </w:pPr>
            <w:r w:rsidRPr="00576BC9">
              <w:rPr>
                <w:b/>
                <w:sz w:val="24"/>
                <w:szCs w:val="24"/>
              </w:rPr>
              <w:t>Hamilton County, OH</w:t>
            </w:r>
          </w:p>
        </w:tc>
        <w:tc>
          <w:tcPr>
            <w:tcW w:w="1685" w:type="dxa"/>
          </w:tcPr>
          <w:p w14:paraId="78EB1D4D" w14:textId="77777777" w:rsidR="00D739EC" w:rsidRPr="00576BC9" w:rsidRDefault="00576BC9">
            <w:pPr>
              <w:jc w:val="center"/>
              <w:rPr>
                <w:rFonts w:ascii="Times New Roman" w:eastAsia="Times New Roman" w:hAnsi="Times New Roman" w:cs="Times New Roman"/>
                <w:b/>
                <w:sz w:val="24"/>
                <w:szCs w:val="24"/>
              </w:rPr>
            </w:pPr>
            <w:r w:rsidRPr="00576BC9">
              <w:rPr>
                <w:b/>
                <w:sz w:val="24"/>
                <w:szCs w:val="24"/>
              </w:rPr>
              <w:t>Lancaster County, PA</w:t>
            </w:r>
          </w:p>
        </w:tc>
        <w:tc>
          <w:tcPr>
            <w:tcW w:w="1685" w:type="dxa"/>
          </w:tcPr>
          <w:p w14:paraId="6ECFF9FF" w14:textId="51BDBB76" w:rsidR="00D739EC" w:rsidRPr="00576BC9" w:rsidRDefault="00576BC9">
            <w:pPr>
              <w:jc w:val="center"/>
              <w:rPr>
                <w:b/>
                <w:sz w:val="24"/>
                <w:szCs w:val="24"/>
              </w:rPr>
            </w:pPr>
            <w:r w:rsidRPr="00576BC9">
              <w:rPr>
                <w:b/>
                <w:sz w:val="24"/>
                <w:szCs w:val="24"/>
              </w:rPr>
              <w:t>Brown County,</w:t>
            </w:r>
            <w:r w:rsidR="00C8515B">
              <w:rPr>
                <w:b/>
                <w:sz w:val="24"/>
                <w:szCs w:val="24"/>
              </w:rPr>
              <w:t xml:space="preserve"> </w:t>
            </w:r>
            <w:r w:rsidRPr="00576BC9">
              <w:rPr>
                <w:b/>
                <w:sz w:val="24"/>
                <w:szCs w:val="24"/>
              </w:rPr>
              <w:t>Ohio</w:t>
            </w:r>
          </w:p>
        </w:tc>
        <w:tc>
          <w:tcPr>
            <w:tcW w:w="1862" w:type="dxa"/>
          </w:tcPr>
          <w:p w14:paraId="3BB6A28C" w14:textId="77777777" w:rsidR="00D739EC" w:rsidRPr="00576BC9" w:rsidRDefault="00576BC9">
            <w:pPr>
              <w:jc w:val="center"/>
              <w:rPr>
                <w:rFonts w:ascii="Times New Roman" w:eastAsia="Times New Roman" w:hAnsi="Times New Roman" w:cs="Times New Roman"/>
                <w:b/>
                <w:sz w:val="24"/>
                <w:szCs w:val="24"/>
              </w:rPr>
            </w:pPr>
            <w:r w:rsidRPr="00576BC9">
              <w:rPr>
                <w:b/>
                <w:sz w:val="24"/>
                <w:szCs w:val="24"/>
              </w:rPr>
              <w:t>US overall</w:t>
            </w:r>
          </w:p>
        </w:tc>
      </w:tr>
      <w:tr w:rsidR="00576BC9" w:rsidRPr="00576BC9" w14:paraId="28BABF81" w14:textId="77777777" w:rsidTr="00576BC9">
        <w:tc>
          <w:tcPr>
            <w:tcW w:w="3015" w:type="dxa"/>
          </w:tcPr>
          <w:p w14:paraId="136FC91D" w14:textId="77777777" w:rsidR="00D739EC" w:rsidRPr="00576BC9" w:rsidRDefault="00576BC9">
            <w:pPr>
              <w:rPr>
                <w:sz w:val="20"/>
                <w:szCs w:val="20"/>
              </w:rPr>
            </w:pPr>
            <w:r w:rsidRPr="00576BC9">
              <w:rPr>
                <w:b/>
                <w:i/>
                <w:sz w:val="20"/>
                <w:szCs w:val="20"/>
              </w:rPr>
              <w:t>Lifestyle</w:t>
            </w:r>
            <w:r w:rsidRPr="00576BC9">
              <w:rPr>
                <w:sz w:val="20"/>
                <w:szCs w:val="20"/>
              </w:rPr>
              <w:t>: Smoking</w:t>
            </w:r>
          </w:p>
        </w:tc>
        <w:tc>
          <w:tcPr>
            <w:tcW w:w="1453" w:type="dxa"/>
          </w:tcPr>
          <w:p w14:paraId="42831F8C"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13.2%</w:t>
            </w:r>
          </w:p>
        </w:tc>
        <w:tc>
          <w:tcPr>
            <w:tcW w:w="1426" w:type="dxa"/>
          </w:tcPr>
          <w:p w14:paraId="3B5E18AC"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20.2%</w:t>
            </w:r>
          </w:p>
        </w:tc>
        <w:tc>
          <w:tcPr>
            <w:tcW w:w="1834" w:type="dxa"/>
          </w:tcPr>
          <w:p w14:paraId="23E55E05"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19.6</w:t>
            </w:r>
          </w:p>
        </w:tc>
        <w:tc>
          <w:tcPr>
            <w:tcW w:w="1685" w:type="dxa"/>
          </w:tcPr>
          <w:p w14:paraId="3154AFFF"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16.6%</w:t>
            </w:r>
          </w:p>
        </w:tc>
        <w:tc>
          <w:tcPr>
            <w:tcW w:w="1685" w:type="dxa"/>
          </w:tcPr>
          <w:p w14:paraId="18F09CBC"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20.9%</w:t>
            </w:r>
          </w:p>
        </w:tc>
        <w:tc>
          <w:tcPr>
            <w:tcW w:w="1862" w:type="dxa"/>
          </w:tcPr>
          <w:p w14:paraId="61B99CA1"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16.3 %</w:t>
            </w:r>
          </w:p>
        </w:tc>
      </w:tr>
      <w:tr w:rsidR="00576BC9" w:rsidRPr="00576BC9" w14:paraId="029F177A" w14:textId="77777777" w:rsidTr="00576BC9">
        <w:tc>
          <w:tcPr>
            <w:tcW w:w="3015" w:type="dxa"/>
            <w:vAlign w:val="center"/>
          </w:tcPr>
          <w:p w14:paraId="1F518ABC" w14:textId="77777777" w:rsidR="00D739EC" w:rsidRPr="00576BC9" w:rsidRDefault="00576BC9">
            <w:pPr>
              <w:rPr>
                <w:sz w:val="20"/>
                <w:szCs w:val="20"/>
              </w:rPr>
            </w:pPr>
            <w:r w:rsidRPr="00576BC9">
              <w:rPr>
                <w:b/>
                <w:i/>
                <w:sz w:val="20"/>
                <w:szCs w:val="20"/>
              </w:rPr>
              <w:t>Lifestyle</w:t>
            </w:r>
            <w:r w:rsidRPr="00576BC9">
              <w:rPr>
                <w:sz w:val="20"/>
                <w:szCs w:val="20"/>
              </w:rPr>
              <w:t>:  Physical Inactivity</w:t>
            </w:r>
          </w:p>
        </w:tc>
        <w:tc>
          <w:tcPr>
            <w:tcW w:w="1453" w:type="dxa"/>
          </w:tcPr>
          <w:p w14:paraId="16442418"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17.6%</w:t>
            </w:r>
          </w:p>
        </w:tc>
        <w:tc>
          <w:tcPr>
            <w:tcW w:w="1426" w:type="dxa"/>
          </w:tcPr>
          <w:p w14:paraId="4F295F5F"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27.2%</w:t>
            </w:r>
          </w:p>
        </w:tc>
        <w:tc>
          <w:tcPr>
            <w:tcW w:w="1834" w:type="dxa"/>
          </w:tcPr>
          <w:p w14:paraId="013C9143"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23.2</w:t>
            </w:r>
          </w:p>
        </w:tc>
        <w:tc>
          <w:tcPr>
            <w:tcW w:w="1685" w:type="dxa"/>
          </w:tcPr>
          <w:p w14:paraId="0B9D7156"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21.4 %</w:t>
            </w:r>
          </w:p>
        </w:tc>
        <w:tc>
          <w:tcPr>
            <w:tcW w:w="1685" w:type="dxa"/>
          </w:tcPr>
          <w:p w14:paraId="3211BA59"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35</w:t>
            </w:r>
          </w:p>
        </w:tc>
        <w:tc>
          <w:tcPr>
            <w:tcW w:w="1862" w:type="dxa"/>
          </w:tcPr>
          <w:p w14:paraId="6D26BFF5"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23.1 %</w:t>
            </w:r>
          </w:p>
        </w:tc>
      </w:tr>
      <w:tr w:rsidR="00576BC9" w:rsidRPr="00576BC9" w14:paraId="639EF3CC" w14:textId="77777777" w:rsidTr="00576BC9">
        <w:tc>
          <w:tcPr>
            <w:tcW w:w="3015" w:type="dxa"/>
            <w:vAlign w:val="center"/>
          </w:tcPr>
          <w:p w14:paraId="2C5449C3" w14:textId="77777777" w:rsidR="00D739EC" w:rsidRPr="00576BC9" w:rsidRDefault="00576BC9">
            <w:pPr>
              <w:rPr>
                <w:sz w:val="20"/>
                <w:szCs w:val="20"/>
              </w:rPr>
            </w:pPr>
            <w:r w:rsidRPr="00576BC9">
              <w:rPr>
                <w:b/>
                <w:i/>
                <w:sz w:val="20"/>
                <w:szCs w:val="20"/>
              </w:rPr>
              <w:t>Mortality</w:t>
            </w:r>
            <w:r w:rsidRPr="00576BC9">
              <w:rPr>
                <w:sz w:val="20"/>
                <w:szCs w:val="20"/>
              </w:rPr>
              <w:t>: Heart Disease Mortality</w:t>
            </w:r>
          </w:p>
        </w:tc>
        <w:tc>
          <w:tcPr>
            <w:tcW w:w="1453" w:type="dxa"/>
          </w:tcPr>
          <w:p w14:paraId="389E7849"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161.09</w:t>
            </w:r>
          </w:p>
        </w:tc>
        <w:tc>
          <w:tcPr>
            <w:tcW w:w="1426" w:type="dxa"/>
          </w:tcPr>
          <w:p w14:paraId="32796D13"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190.80%</w:t>
            </w:r>
          </w:p>
        </w:tc>
        <w:tc>
          <w:tcPr>
            <w:tcW w:w="1834" w:type="dxa"/>
          </w:tcPr>
          <w:p w14:paraId="775A4299"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173.23</w:t>
            </w:r>
          </w:p>
        </w:tc>
        <w:tc>
          <w:tcPr>
            <w:tcW w:w="1685" w:type="dxa"/>
          </w:tcPr>
          <w:p w14:paraId="5CB9D979"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155.99 per 100,000</w:t>
            </w:r>
          </w:p>
        </w:tc>
        <w:tc>
          <w:tcPr>
            <w:tcW w:w="1685" w:type="dxa"/>
          </w:tcPr>
          <w:p w14:paraId="60D8D464"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194.89</w:t>
            </w:r>
          </w:p>
        </w:tc>
        <w:tc>
          <w:tcPr>
            <w:tcW w:w="1862" w:type="dxa"/>
          </w:tcPr>
          <w:p w14:paraId="7958ED92"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175.48 per 100,000</w:t>
            </w:r>
          </w:p>
        </w:tc>
      </w:tr>
      <w:tr w:rsidR="00576BC9" w:rsidRPr="00576BC9" w14:paraId="4A71FA2C" w14:textId="77777777" w:rsidTr="00576BC9">
        <w:tc>
          <w:tcPr>
            <w:tcW w:w="3015" w:type="dxa"/>
            <w:vAlign w:val="center"/>
          </w:tcPr>
          <w:p w14:paraId="63FBB964" w14:textId="77777777" w:rsidR="00D739EC" w:rsidRPr="00576BC9" w:rsidRDefault="00576BC9">
            <w:pPr>
              <w:rPr>
                <w:sz w:val="20"/>
                <w:szCs w:val="20"/>
              </w:rPr>
            </w:pPr>
            <w:r w:rsidRPr="00576BC9">
              <w:rPr>
                <w:b/>
                <w:i/>
                <w:sz w:val="20"/>
                <w:szCs w:val="20"/>
              </w:rPr>
              <w:t>Mortality</w:t>
            </w:r>
            <w:r w:rsidRPr="00576BC9">
              <w:rPr>
                <w:sz w:val="20"/>
                <w:szCs w:val="20"/>
              </w:rPr>
              <w:t>: Cancer Mortality</w:t>
            </w:r>
          </w:p>
        </w:tc>
        <w:tc>
          <w:tcPr>
            <w:tcW w:w="1453" w:type="dxa"/>
          </w:tcPr>
          <w:p w14:paraId="4B041AD4"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146.74</w:t>
            </w:r>
          </w:p>
        </w:tc>
        <w:tc>
          <w:tcPr>
            <w:tcW w:w="1426" w:type="dxa"/>
          </w:tcPr>
          <w:p w14:paraId="77860743"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148.77%</w:t>
            </w:r>
          </w:p>
        </w:tc>
        <w:tc>
          <w:tcPr>
            <w:tcW w:w="1834" w:type="dxa"/>
          </w:tcPr>
          <w:p w14:paraId="6BD183C8"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185.44</w:t>
            </w:r>
          </w:p>
        </w:tc>
        <w:tc>
          <w:tcPr>
            <w:tcW w:w="1685" w:type="dxa"/>
          </w:tcPr>
          <w:p w14:paraId="5FB985F7"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161.67 per 100,000</w:t>
            </w:r>
          </w:p>
        </w:tc>
        <w:tc>
          <w:tcPr>
            <w:tcW w:w="1685" w:type="dxa"/>
          </w:tcPr>
          <w:p w14:paraId="6B554DBD"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208.99</w:t>
            </w:r>
          </w:p>
        </w:tc>
        <w:tc>
          <w:tcPr>
            <w:tcW w:w="1862" w:type="dxa"/>
          </w:tcPr>
          <w:p w14:paraId="429432E9"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168.11 per 100,000</w:t>
            </w:r>
          </w:p>
        </w:tc>
      </w:tr>
      <w:tr w:rsidR="00576BC9" w:rsidRPr="00576BC9" w14:paraId="032F3CA8" w14:textId="77777777" w:rsidTr="00576BC9">
        <w:tc>
          <w:tcPr>
            <w:tcW w:w="3015" w:type="dxa"/>
            <w:vAlign w:val="center"/>
          </w:tcPr>
          <w:p w14:paraId="1197488C" w14:textId="77777777" w:rsidR="00D739EC" w:rsidRPr="00576BC9" w:rsidRDefault="00576BC9">
            <w:pPr>
              <w:rPr>
                <w:sz w:val="20"/>
                <w:szCs w:val="20"/>
              </w:rPr>
            </w:pPr>
            <w:r w:rsidRPr="00576BC9">
              <w:rPr>
                <w:b/>
                <w:i/>
                <w:sz w:val="20"/>
                <w:szCs w:val="20"/>
              </w:rPr>
              <w:t>Morbidity</w:t>
            </w:r>
            <w:r w:rsidRPr="00576BC9">
              <w:rPr>
                <w:sz w:val="20"/>
                <w:szCs w:val="20"/>
              </w:rPr>
              <w:t xml:space="preserve">: Physically Unhealthy Days </w:t>
            </w:r>
          </w:p>
        </w:tc>
        <w:tc>
          <w:tcPr>
            <w:tcW w:w="1453" w:type="dxa"/>
          </w:tcPr>
          <w:p w14:paraId="73C6DF2C"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3.5</w:t>
            </w:r>
          </w:p>
        </w:tc>
        <w:tc>
          <w:tcPr>
            <w:tcW w:w="1426" w:type="dxa"/>
          </w:tcPr>
          <w:p w14:paraId="2F6CA3A8"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3.8</w:t>
            </w:r>
          </w:p>
        </w:tc>
        <w:tc>
          <w:tcPr>
            <w:tcW w:w="1834" w:type="dxa"/>
          </w:tcPr>
          <w:p w14:paraId="75CF237E"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3.7</w:t>
            </w:r>
          </w:p>
        </w:tc>
        <w:tc>
          <w:tcPr>
            <w:tcW w:w="1685" w:type="dxa"/>
          </w:tcPr>
          <w:p w14:paraId="26919335"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3.5 per person per month</w:t>
            </w:r>
          </w:p>
        </w:tc>
        <w:tc>
          <w:tcPr>
            <w:tcW w:w="1685" w:type="dxa"/>
          </w:tcPr>
          <w:p w14:paraId="39C92A9A"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4.0</w:t>
            </w:r>
          </w:p>
        </w:tc>
        <w:tc>
          <w:tcPr>
            <w:tcW w:w="1862" w:type="dxa"/>
          </w:tcPr>
          <w:p w14:paraId="75742152"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3.6</w:t>
            </w:r>
          </w:p>
        </w:tc>
      </w:tr>
      <w:tr w:rsidR="00576BC9" w:rsidRPr="00576BC9" w14:paraId="3E98C344" w14:textId="77777777" w:rsidTr="00576BC9">
        <w:tc>
          <w:tcPr>
            <w:tcW w:w="3015" w:type="dxa"/>
            <w:vAlign w:val="center"/>
          </w:tcPr>
          <w:p w14:paraId="4636A1DE" w14:textId="77777777" w:rsidR="00D739EC" w:rsidRPr="00576BC9" w:rsidRDefault="00576BC9">
            <w:pPr>
              <w:rPr>
                <w:sz w:val="20"/>
                <w:szCs w:val="20"/>
              </w:rPr>
            </w:pPr>
            <w:r w:rsidRPr="00576BC9">
              <w:rPr>
                <w:b/>
                <w:i/>
                <w:sz w:val="20"/>
                <w:szCs w:val="20"/>
              </w:rPr>
              <w:t xml:space="preserve">Child Health: </w:t>
            </w:r>
            <w:r w:rsidRPr="00576BC9">
              <w:rPr>
                <w:sz w:val="20"/>
                <w:szCs w:val="20"/>
              </w:rPr>
              <w:t>Infant Mortality</w:t>
            </w:r>
            <w:r w:rsidRPr="00576BC9">
              <w:rPr>
                <w:sz w:val="20"/>
                <w:szCs w:val="20"/>
              </w:rPr>
              <w:tab/>
              <w:t xml:space="preserve"> </w:t>
            </w:r>
          </w:p>
        </w:tc>
        <w:tc>
          <w:tcPr>
            <w:tcW w:w="1453" w:type="dxa"/>
          </w:tcPr>
          <w:p w14:paraId="38EC9B44"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3.8</w:t>
            </w:r>
          </w:p>
        </w:tc>
        <w:tc>
          <w:tcPr>
            <w:tcW w:w="1426" w:type="dxa"/>
          </w:tcPr>
          <w:p w14:paraId="680D5379"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6.6</w:t>
            </w:r>
          </w:p>
        </w:tc>
        <w:tc>
          <w:tcPr>
            <w:tcW w:w="1834" w:type="dxa"/>
          </w:tcPr>
          <w:p w14:paraId="624825A4"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9.9</w:t>
            </w:r>
          </w:p>
        </w:tc>
        <w:tc>
          <w:tcPr>
            <w:tcW w:w="1685" w:type="dxa"/>
          </w:tcPr>
          <w:p w14:paraId="04D8F8DF"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6.8 per 1,000 live births</w:t>
            </w:r>
          </w:p>
        </w:tc>
        <w:tc>
          <w:tcPr>
            <w:tcW w:w="1685" w:type="dxa"/>
          </w:tcPr>
          <w:p w14:paraId="12D032E5"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10.2</w:t>
            </w:r>
          </w:p>
        </w:tc>
        <w:tc>
          <w:tcPr>
            <w:tcW w:w="1862" w:type="dxa"/>
          </w:tcPr>
          <w:p w14:paraId="583D314A"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6.1</w:t>
            </w:r>
          </w:p>
        </w:tc>
      </w:tr>
      <w:tr w:rsidR="00576BC9" w:rsidRPr="00576BC9" w14:paraId="13599AF7" w14:textId="77777777" w:rsidTr="00576BC9">
        <w:tc>
          <w:tcPr>
            <w:tcW w:w="3015" w:type="dxa"/>
            <w:vAlign w:val="center"/>
          </w:tcPr>
          <w:p w14:paraId="0587EA50" w14:textId="77777777" w:rsidR="00D739EC" w:rsidRPr="00576BC9" w:rsidRDefault="00576BC9">
            <w:pPr>
              <w:rPr>
                <w:sz w:val="20"/>
                <w:szCs w:val="20"/>
              </w:rPr>
            </w:pPr>
            <w:r w:rsidRPr="00576BC9">
              <w:rPr>
                <w:b/>
                <w:i/>
                <w:sz w:val="20"/>
                <w:szCs w:val="20"/>
              </w:rPr>
              <w:t xml:space="preserve">Community Characteristics: </w:t>
            </w:r>
            <w:r w:rsidRPr="00576BC9">
              <w:rPr>
                <w:sz w:val="20"/>
                <w:szCs w:val="20"/>
              </w:rPr>
              <w:t>Grocery Store Availability</w:t>
            </w:r>
          </w:p>
        </w:tc>
        <w:tc>
          <w:tcPr>
            <w:tcW w:w="1453" w:type="dxa"/>
          </w:tcPr>
          <w:p w14:paraId="4A34B409"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0.84</w:t>
            </w:r>
          </w:p>
        </w:tc>
        <w:tc>
          <w:tcPr>
            <w:tcW w:w="1426" w:type="dxa"/>
          </w:tcPr>
          <w:p w14:paraId="62EBA737"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0.33</w:t>
            </w:r>
          </w:p>
        </w:tc>
        <w:tc>
          <w:tcPr>
            <w:tcW w:w="1834" w:type="dxa"/>
          </w:tcPr>
          <w:p w14:paraId="057AE30B"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0.21</w:t>
            </w:r>
          </w:p>
        </w:tc>
        <w:tc>
          <w:tcPr>
            <w:tcW w:w="1685" w:type="dxa"/>
          </w:tcPr>
          <w:p w14:paraId="5664CC5A"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0.21 per 1000</w:t>
            </w:r>
          </w:p>
        </w:tc>
        <w:tc>
          <w:tcPr>
            <w:tcW w:w="1685" w:type="dxa"/>
          </w:tcPr>
          <w:p w14:paraId="74006ABD"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0.16</w:t>
            </w:r>
          </w:p>
        </w:tc>
        <w:tc>
          <w:tcPr>
            <w:tcW w:w="1862" w:type="dxa"/>
          </w:tcPr>
          <w:p w14:paraId="4F0BD0E4"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0.21</w:t>
            </w:r>
          </w:p>
        </w:tc>
      </w:tr>
      <w:tr w:rsidR="00576BC9" w:rsidRPr="00576BC9" w14:paraId="5A2635E4" w14:textId="77777777" w:rsidTr="00576BC9">
        <w:tc>
          <w:tcPr>
            <w:tcW w:w="3015" w:type="dxa"/>
            <w:vAlign w:val="center"/>
          </w:tcPr>
          <w:p w14:paraId="6F9AAAED" w14:textId="77777777" w:rsidR="00D739EC" w:rsidRPr="00576BC9" w:rsidRDefault="00576BC9">
            <w:pPr>
              <w:rPr>
                <w:sz w:val="20"/>
                <w:szCs w:val="20"/>
              </w:rPr>
            </w:pPr>
            <w:r w:rsidRPr="00576BC9">
              <w:rPr>
                <w:b/>
                <w:i/>
                <w:sz w:val="20"/>
                <w:szCs w:val="20"/>
              </w:rPr>
              <w:t>Quality of Care:</w:t>
            </w:r>
            <w:r w:rsidRPr="00576BC9">
              <w:rPr>
                <w:sz w:val="20"/>
                <w:szCs w:val="20"/>
              </w:rPr>
              <w:t xml:space="preserve"> Mammogram Screenings  </w:t>
            </w:r>
          </w:p>
        </w:tc>
        <w:tc>
          <w:tcPr>
            <w:tcW w:w="1453" w:type="dxa"/>
          </w:tcPr>
          <w:p w14:paraId="1B9C44F4"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61%</w:t>
            </w:r>
          </w:p>
        </w:tc>
        <w:tc>
          <w:tcPr>
            <w:tcW w:w="1426" w:type="dxa"/>
          </w:tcPr>
          <w:p w14:paraId="550E0C0C"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52%</w:t>
            </w:r>
          </w:p>
        </w:tc>
        <w:tc>
          <w:tcPr>
            <w:tcW w:w="1834" w:type="dxa"/>
          </w:tcPr>
          <w:p w14:paraId="16F1062C"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62</w:t>
            </w:r>
          </w:p>
        </w:tc>
        <w:tc>
          <w:tcPr>
            <w:tcW w:w="1685" w:type="dxa"/>
          </w:tcPr>
          <w:p w14:paraId="37868959"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67%</w:t>
            </w:r>
          </w:p>
        </w:tc>
        <w:tc>
          <w:tcPr>
            <w:tcW w:w="1685" w:type="dxa"/>
          </w:tcPr>
          <w:p w14:paraId="3F4FDA1F"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58%</w:t>
            </w:r>
          </w:p>
        </w:tc>
        <w:tc>
          <w:tcPr>
            <w:tcW w:w="1862" w:type="dxa"/>
          </w:tcPr>
          <w:p w14:paraId="756FB957"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62</w:t>
            </w:r>
          </w:p>
        </w:tc>
      </w:tr>
      <w:tr w:rsidR="00576BC9" w:rsidRPr="00576BC9" w14:paraId="7F7FFD7F" w14:textId="77777777" w:rsidTr="00576BC9">
        <w:tc>
          <w:tcPr>
            <w:tcW w:w="3015" w:type="dxa"/>
            <w:vAlign w:val="center"/>
          </w:tcPr>
          <w:p w14:paraId="06EE4C44" w14:textId="77777777" w:rsidR="00D739EC" w:rsidRPr="00576BC9" w:rsidRDefault="00576BC9">
            <w:pPr>
              <w:rPr>
                <w:sz w:val="20"/>
                <w:szCs w:val="20"/>
              </w:rPr>
            </w:pPr>
            <w:r w:rsidRPr="00576BC9">
              <w:rPr>
                <w:b/>
                <w:i/>
                <w:sz w:val="20"/>
                <w:szCs w:val="20"/>
              </w:rPr>
              <w:t xml:space="preserve">Social Determinants: </w:t>
            </w:r>
            <w:r w:rsidRPr="00576BC9">
              <w:rPr>
                <w:sz w:val="20"/>
                <w:szCs w:val="20"/>
              </w:rPr>
              <w:t xml:space="preserve">Median Household Income  </w:t>
            </w:r>
          </w:p>
        </w:tc>
        <w:tc>
          <w:tcPr>
            <w:tcW w:w="1453" w:type="dxa"/>
          </w:tcPr>
          <w:p w14:paraId="7EF07769"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75,459</w:t>
            </w:r>
          </w:p>
        </w:tc>
        <w:tc>
          <w:tcPr>
            <w:tcW w:w="1426" w:type="dxa"/>
          </w:tcPr>
          <w:p w14:paraId="6A21E583"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$50,069</w:t>
            </w:r>
          </w:p>
        </w:tc>
        <w:tc>
          <w:tcPr>
            <w:tcW w:w="1834" w:type="dxa"/>
          </w:tcPr>
          <w:p w14:paraId="316EC1DC"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48,973</w:t>
            </w:r>
          </w:p>
        </w:tc>
        <w:tc>
          <w:tcPr>
            <w:tcW w:w="1685" w:type="dxa"/>
          </w:tcPr>
          <w:p w14:paraId="010FE4A6"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57,369 USD</w:t>
            </w:r>
          </w:p>
        </w:tc>
        <w:tc>
          <w:tcPr>
            <w:tcW w:w="1685" w:type="dxa"/>
          </w:tcPr>
          <w:p w14:paraId="59C371F8"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46,484</w:t>
            </w:r>
          </w:p>
        </w:tc>
        <w:tc>
          <w:tcPr>
            <w:tcW w:w="1862" w:type="dxa"/>
          </w:tcPr>
          <w:p w14:paraId="39F823BE"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56,135</w:t>
            </w:r>
          </w:p>
        </w:tc>
      </w:tr>
      <w:tr w:rsidR="00576BC9" w:rsidRPr="00576BC9" w14:paraId="665356D4" w14:textId="77777777" w:rsidTr="00576BC9">
        <w:tc>
          <w:tcPr>
            <w:tcW w:w="3015" w:type="dxa"/>
            <w:vAlign w:val="center"/>
          </w:tcPr>
          <w:p w14:paraId="6C2CEA4B" w14:textId="77777777" w:rsidR="00D739EC" w:rsidRPr="00576BC9" w:rsidRDefault="00576BC9">
            <w:pPr>
              <w:rPr>
                <w:sz w:val="20"/>
                <w:szCs w:val="20"/>
              </w:rPr>
            </w:pPr>
            <w:r w:rsidRPr="00576BC9">
              <w:rPr>
                <w:b/>
                <w:i/>
                <w:sz w:val="20"/>
                <w:szCs w:val="20"/>
              </w:rPr>
              <w:t xml:space="preserve">Social Determinants: </w:t>
            </w:r>
            <w:r w:rsidRPr="00576BC9">
              <w:rPr>
                <w:sz w:val="20"/>
                <w:szCs w:val="20"/>
              </w:rPr>
              <w:t xml:space="preserve">Poverty  </w:t>
            </w:r>
          </w:p>
        </w:tc>
        <w:tc>
          <w:tcPr>
            <w:tcW w:w="1453" w:type="dxa"/>
          </w:tcPr>
          <w:p w14:paraId="12253483"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17.7</w:t>
            </w:r>
          </w:p>
        </w:tc>
        <w:tc>
          <w:tcPr>
            <w:tcW w:w="1426" w:type="dxa"/>
          </w:tcPr>
          <w:p w14:paraId="385C4368"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12.4%</w:t>
            </w:r>
          </w:p>
        </w:tc>
        <w:tc>
          <w:tcPr>
            <w:tcW w:w="1834" w:type="dxa"/>
          </w:tcPr>
          <w:p w14:paraId="4692C100"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17.6</w:t>
            </w:r>
          </w:p>
        </w:tc>
        <w:tc>
          <w:tcPr>
            <w:tcW w:w="1685" w:type="dxa"/>
          </w:tcPr>
          <w:p w14:paraId="0702FD23"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10.5 %</w:t>
            </w:r>
          </w:p>
        </w:tc>
        <w:tc>
          <w:tcPr>
            <w:tcW w:w="1685" w:type="dxa"/>
          </w:tcPr>
          <w:p w14:paraId="18B5DCEB"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15</w:t>
            </w:r>
          </w:p>
        </w:tc>
        <w:tc>
          <w:tcPr>
            <w:tcW w:w="1862" w:type="dxa"/>
          </w:tcPr>
          <w:p w14:paraId="13E8D580"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15.6</w:t>
            </w:r>
          </w:p>
        </w:tc>
      </w:tr>
      <w:tr w:rsidR="00576BC9" w:rsidRPr="00576BC9" w14:paraId="4FFEB413" w14:textId="77777777" w:rsidTr="00576BC9">
        <w:tc>
          <w:tcPr>
            <w:tcW w:w="3015" w:type="dxa"/>
            <w:vAlign w:val="center"/>
          </w:tcPr>
          <w:p w14:paraId="26370039" w14:textId="77777777" w:rsidR="00D739EC" w:rsidRPr="00576BC9" w:rsidRDefault="00576BC9">
            <w:pPr>
              <w:rPr>
                <w:sz w:val="20"/>
                <w:szCs w:val="20"/>
              </w:rPr>
            </w:pPr>
            <w:r w:rsidRPr="00576BC9">
              <w:rPr>
                <w:b/>
                <w:i/>
                <w:sz w:val="20"/>
                <w:szCs w:val="20"/>
              </w:rPr>
              <w:t xml:space="preserve">Social Determinants: </w:t>
            </w:r>
            <w:r w:rsidRPr="00576BC9">
              <w:rPr>
                <w:sz w:val="20"/>
                <w:szCs w:val="20"/>
              </w:rPr>
              <w:t xml:space="preserve">Education   </w:t>
            </w:r>
          </w:p>
        </w:tc>
        <w:tc>
          <w:tcPr>
            <w:tcW w:w="1453" w:type="dxa"/>
          </w:tcPr>
          <w:p w14:paraId="27105231"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83.0</w:t>
            </w:r>
          </w:p>
        </w:tc>
        <w:tc>
          <w:tcPr>
            <w:tcW w:w="1426" w:type="dxa"/>
          </w:tcPr>
          <w:p w14:paraId="382DE038"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22.2%</w:t>
            </w:r>
          </w:p>
        </w:tc>
        <w:tc>
          <w:tcPr>
            <w:tcW w:w="1834" w:type="dxa"/>
          </w:tcPr>
          <w:p w14:paraId="52FF8395"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68.8</w:t>
            </w:r>
          </w:p>
        </w:tc>
        <w:tc>
          <w:tcPr>
            <w:tcW w:w="1685" w:type="dxa"/>
          </w:tcPr>
          <w:p w14:paraId="2F67D0A8"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53.3 %</w:t>
            </w:r>
          </w:p>
        </w:tc>
        <w:tc>
          <w:tcPr>
            <w:tcW w:w="1685" w:type="dxa"/>
          </w:tcPr>
          <w:p w14:paraId="3CBC9B97"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42.5</w:t>
            </w:r>
          </w:p>
        </w:tc>
        <w:tc>
          <w:tcPr>
            <w:tcW w:w="1862" w:type="dxa"/>
          </w:tcPr>
          <w:p w14:paraId="2AA9D28A"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63.3</w:t>
            </w:r>
          </w:p>
        </w:tc>
      </w:tr>
      <w:tr w:rsidR="00576BC9" w:rsidRPr="00576BC9" w14:paraId="03AB1DE0" w14:textId="77777777" w:rsidTr="00576BC9">
        <w:tc>
          <w:tcPr>
            <w:tcW w:w="3015" w:type="dxa"/>
            <w:vAlign w:val="center"/>
          </w:tcPr>
          <w:p w14:paraId="794F22BA" w14:textId="77777777" w:rsidR="00D739EC" w:rsidRPr="00576BC9" w:rsidRDefault="00576BC9">
            <w:pPr>
              <w:rPr>
                <w:sz w:val="20"/>
                <w:szCs w:val="20"/>
              </w:rPr>
            </w:pPr>
            <w:r w:rsidRPr="00576BC9">
              <w:rPr>
                <w:b/>
                <w:i/>
                <w:sz w:val="20"/>
                <w:szCs w:val="20"/>
              </w:rPr>
              <w:t xml:space="preserve">Health Care Systems: </w:t>
            </w:r>
            <w:r w:rsidRPr="00576BC9">
              <w:rPr>
                <w:sz w:val="20"/>
                <w:szCs w:val="20"/>
              </w:rPr>
              <w:t xml:space="preserve">Uninsured Population </w:t>
            </w:r>
          </w:p>
        </w:tc>
        <w:tc>
          <w:tcPr>
            <w:tcW w:w="1453" w:type="dxa"/>
          </w:tcPr>
          <w:p w14:paraId="6BF43400"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10.9</w:t>
            </w:r>
          </w:p>
        </w:tc>
        <w:tc>
          <w:tcPr>
            <w:tcW w:w="1426" w:type="dxa"/>
          </w:tcPr>
          <w:p w14:paraId="127BDCB6"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24.2%</w:t>
            </w:r>
          </w:p>
        </w:tc>
        <w:tc>
          <w:tcPr>
            <w:tcW w:w="1834" w:type="dxa"/>
          </w:tcPr>
          <w:p w14:paraId="34CEFD92"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13.2</w:t>
            </w:r>
          </w:p>
        </w:tc>
        <w:tc>
          <w:tcPr>
            <w:tcW w:w="1685" w:type="dxa"/>
          </w:tcPr>
          <w:p w14:paraId="03E2A083"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14.0 %</w:t>
            </w:r>
          </w:p>
        </w:tc>
        <w:tc>
          <w:tcPr>
            <w:tcW w:w="1685" w:type="dxa"/>
          </w:tcPr>
          <w:p w14:paraId="2834663B"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14.3</w:t>
            </w:r>
          </w:p>
        </w:tc>
        <w:tc>
          <w:tcPr>
            <w:tcW w:w="1862" w:type="dxa"/>
          </w:tcPr>
          <w:p w14:paraId="7D42B873"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16.8%</w:t>
            </w:r>
          </w:p>
        </w:tc>
      </w:tr>
      <w:tr w:rsidR="00576BC9" w:rsidRPr="00576BC9" w14:paraId="47B74784" w14:textId="77777777" w:rsidTr="00576BC9">
        <w:tc>
          <w:tcPr>
            <w:tcW w:w="3015" w:type="dxa"/>
            <w:vAlign w:val="center"/>
          </w:tcPr>
          <w:p w14:paraId="56A5C4DC" w14:textId="77777777" w:rsidR="00D739EC" w:rsidRPr="00576BC9" w:rsidRDefault="00576BC9">
            <w:pPr>
              <w:rPr>
                <w:sz w:val="20"/>
                <w:szCs w:val="20"/>
              </w:rPr>
            </w:pPr>
            <w:r w:rsidRPr="00576BC9">
              <w:rPr>
                <w:b/>
                <w:i/>
                <w:sz w:val="20"/>
                <w:szCs w:val="20"/>
              </w:rPr>
              <w:t xml:space="preserve">Health Care Systems: </w:t>
            </w:r>
            <w:r w:rsidRPr="00576BC9">
              <w:rPr>
                <w:sz w:val="20"/>
                <w:szCs w:val="20"/>
              </w:rPr>
              <w:t xml:space="preserve">Primary Care Physicians </w:t>
            </w:r>
          </w:p>
        </w:tc>
        <w:tc>
          <w:tcPr>
            <w:tcW w:w="1453" w:type="dxa"/>
          </w:tcPr>
          <w:p w14:paraId="307E0563"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137.0</w:t>
            </w:r>
          </w:p>
        </w:tc>
        <w:tc>
          <w:tcPr>
            <w:tcW w:w="1426" w:type="dxa"/>
          </w:tcPr>
          <w:p w14:paraId="6DA17C28"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32.2</w:t>
            </w:r>
          </w:p>
        </w:tc>
        <w:tc>
          <w:tcPr>
            <w:tcW w:w="1834" w:type="dxa"/>
          </w:tcPr>
          <w:p w14:paraId="6724F886"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104.2</w:t>
            </w:r>
          </w:p>
        </w:tc>
        <w:tc>
          <w:tcPr>
            <w:tcW w:w="1685" w:type="dxa"/>
          </w:tcPr>
          <w:p w14:paraId="105F1F66"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74.6 per 100,000</w:t>
            </w:r>
          </w:p>
        </w:tc>
        <w:tc>
          <w:tcPr>
            <w:tcW w:w="1685" w:type="dxa"/>
          </w:tcPr>
          <w:p w14:paraId="2C44430E"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29.4</w:t>
            </w:r>
          </w:p>
        </w:tc>
        <w:tc>
          <w:tcPr>
            <w:tcW w:w="1862" w:type="dxa"/>
          </w:tcPr>
          <w:p w14:paraId="51CD3000"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75.6</w:t>
            </w:r>
          </w:p>
        </w:tc>
      </w:tr>
      <w:tr w:rsidR="00576BC9" w:rsidRPr="00576BC9" w14:paraId="1EA09820" w14:textId="77777777" w:rsidTr="00576BC9">
        <w:tc>
          <w:tcPr>
            <w:tcW w:w="3015" w:type="dxa"/>
            <w:vAlign w:val="center"/>
          </w:tcPr>
          <w:p w14:paraId="5D3F72C9" w14:textId="77777777" w:rsidR="00D739EC" w:rsidRPr="00576BC9" w:rsidRDefault="00576BC9">
            <w:pPr>
              <w:rPr>
                <w:sz w:val="20"/>
                <w:szCs w:val="20"/>
              </w:rPr>
            </w:pPr>
            <w:r w:rsidRPr="00576BC9">
              <w:rPr>
                <w:b/>
                <w:i/>
                <w:sz w:val="20"/>
                <w:szCs w:val="20"/>
              </w:rPr>
              <w:t xml:space="preserve">Choose 2 additional measures along with their values for the chosen county only (for Q2) </w:t>
            </w:r>
          </w:p>
        </w:tc>
        <w:tc>
          <w:tcPr>
            <w:tcW w:w="1453" w:type="dxa"/>
          </w:tcPr>
          <w:p w14:paraId="66236F12" w14:textId="77777777" w:rsidR="00D739EC" w:rsidRPr="00576BC9" w:rsidRDefault="00D739EC">
            <w:pPr>
              <w:rPr>
                <w:rFonts w:ascii="Times New Roman" w:eastAsia="Times New Roman" w:hAnsi="Times New Roman" w:cs="Times New Roman"/>
              </w:rPr>
            </w:pPr>
          </w:p>
          <w:p w14:paraId="7868EE83" w14:textId="77777777" w:rsidR="00D739EC" w:rsidRPr="00576BC9" w:rsidRDefault="00D739EC">
            <w:pPr>
              <w:rPr>
                <w:rFonts w:ascii="Times New Roman" w:eastAsia="Times New Roman" w:hAnsi="Times New Roman" w:cs="Times New Roman"/>
              </w:rPr>
            </w:pPr>
          </w:p>
        </w:tc>
        <w:tc>
          <w:tcPr>
            <w:tcW w:w="1426" w:type="dxa"/>
          </w:tcPr>
          <w:p w14:paraId="6C9303C9"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Adult Obesity Prevalence: 28.2%</w:t>
            </w:r>
          </w:p>
        </w:tc>
        <w:tc>
          <w:tcPr>
            <w:tcW w:w="1834" w:type="dxa"/>
          </w:tcPr>
          <w:p w14:paraId="5F051AF2" w14:textId="77777777"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Percentage of Adults with at Least a High School Diploma: 88.6</w:t>
            </w:r>
          </w:p>
        </w:tc>
        <w:tc>
          <w:tcPr>
            <w:tcW w:w="1685" w:type="dxa"/>
          </w:tcPr>
          <w:p w14:paraId="61E7A987" w14:textId="77777777" w:rsidR="00D739EC" w:rsidRPr="00576BC9" w:rsidRDefault="00D739EC">
            <w:pPr>
              <w:rPr>
                <w:rFonts w:ascii="Times New Roman" w:eastAsia="Times New Roman" w:hAnsi="Times New Roman" w:cs="Times New Roman"/>
              </w:rPr>
            </w:pPr>
          </w:p>
        </w:tc>
        <w:tc>
          <w:tcPr>
            <w:tcW w:w="1685" w:type="dxa"/>
          </w:tcPr>
          <w:p w14:paraId="0F5F844D" w14:textId="43FD4659" w:rsidR="00D739EC" w:rsidRPr="00576BC9" w:rsidRDefault="00576BC9">
            <w:pPr>
              <w:rPr>
                <w:rFonts w:ascii="Times New Roman" w:eastAsia="Times New Roman" w:hAnsi="Times New Roman" w:cs="Times New Roman"/>
              </w:rPr>
            </w:pPr>
            <w:r w:rsidRPr="00576BC9">
              <w:rPr>
                <w:rFonts w:ascii="Times New Roman" w:eastAsia="Times New Roman" w:hAnsi="Times New Roman" w:cs="Times New Roman"/>
              </w:rPr>
              <w:t xml:space="preserve">HIV </w:t>
            </w:r>
            <w:r w:rsidR="00C8515B" w:rsidRPr="00576BC9">
              <w:rPr>
                <w:rFonts w:ascii="Times New Roman" w:eastAsia="Times New Roman" w:hAnsi="Times New Roman" w:cs="Times New Roman"/>
              </w:rPr>
              <w:t>Prevalence</w:t>
            </w:r>
            <w:r w:rsidRPr="00576BC9">
              <w:rPr>
                <w:rFonts w:ascii="Times New Roman" w:eastAsia="Times New Roman" w:hAnsi="Times New Roman" w:cs="Times New Roman"/>
              </w:rPr>
              <w:t xml:space="preserve"> 48.9</w:t>
            </w:r>
          </w:p>
        </w:tc>
        <w:tc>
          <w:tcPr>
            <w:tcW w:w="1862" w:type="dxa"/>
          </w:tcPr>
          <w:p w14:paraId="5E6332CC" w14:textId="77777777" w:rsidR="00D739EC" w:rsidRPr="00576BC9" w:rsidRDefault="00D739EC">
            <w:pPr>
              <w:rPr>
                <w:rFonts w:ascii="Times New Roman" w:eastAsia="Times New Roman" w:hAnsi="Times New Roman" w:cs="Times New Roman"/>
              </w:rPr>
            </w:pPr>
          </w:p>
        </w:tc>
      </w:tr>
    </w:tbl>
    <w:p w14:paraId="46318FF5" w14:textId="77777777" w:rsidR="00EF1D7F" w:rsidRDefault="00EF1D7F" w:rsidP="00EF1D7F">
      <w:pPr>
        <w:shd w:val="clear" w:color="auto" w:fill="FFFFFF"/>
        <w:spacing w:before="280" w:after="0" w:line="240" w:lineRule="auto"/>
        <w:rPr>
          <w:rFonts w:ascii="Lato" w:eastAsia="Lato" w:hAnsi="Lato" w:cs="Lato"/>
          <w:sz w:val="24"/>
          <w:szCs w:val="24"/>
        </w:rPr>
      </w:pPr>
    </w:p>
    <w:p w14:paraId="62678FFC" w14:textId="4956277D" w:rsidR="00EF1D7F" w:rsidRPr="002A6448" w:rsidRDefault="00EF1D7F" w:rsidP="00EF1D7F">
      <w:pPr>
        <w:shd w:val="clear" w:color="auto" w:fill="FFFFFF"/>
        <w:spacing w:before="280" w:after="0" w:line="240" w:lineRule="auto"/>
        <w:rPr>
          <w:rFonts w:ascii="Lato" w:eastAsia="Lato" w:hAnsi="Lato" w:cs="Lato"/>
          <w:b/>
          <w:bCs/>
          <w:sz w:val="24"/>
          <w:szCs w:val="24"/>
        </w:rPr>
      </w:pPr>
      <w:r w:rsidRPr="002A6448">
        <w:rPr>
          <w:rFonts w:ascii="Lato" w:eastAsia="Lato" w:hAnsi="Lato" w:cs="Lato"/>
          <w:b/>
          <w:bCs/>
          <w:sz w:val="24"/>
          <w:szCs w:val="24"/>
        </w:rPr>
        <w:t>Recommendation 1: Implementing Smoking Regulations</w:t>
      </w:r>
    </w:p>
    <w:p w14:paraId="6897F8AB" w14:textId="1D7A516D" w:rsidR="00EF1D7F" w:rsidRPr="00EF1D7F" w:rsidRDefault="00EF1D7F" w:rsidP="00EF1D7F">
      <w:pPr>
        <w:shd w:val="clear" w:color="auto" w:fill="FFFFFF"/>
        <w:spacing w:before="280" w:after="0" w:line="240" w:lineRule="auto"/>
        <w:rPr>
          <w:rFonts w:ascii="Lato" w:eastAsia="Lato" w:hAnsi="Lato" w:cs="Lato"/>
          <w:sz w:val="24"/>
          <w:szCs w:val="24"/>
        </w:rPr>
      </w:pPr>
      <w:r w:rsidRPr="00226F3A">
        <w:rPr>
          <w:rFonts w:ascii="Lato" w:eastAsia="Lato" w:hAnsi="Lato" w:cs="Lato"/>
          <w:b/>
          <w:bCs/>
          <w:sz w:val="24"/>
          <w:szCs w:val="24"/>
        </w:rPr>
        <w:t>Issue:</w:t>
      </w:r>
      <w:r w:rsidRPr="00EF1D7F">
        <w:rPr>
          <w:rFonts w:ascii="Lato" w:eastAsia="Lato" w:hAnsi="Lato" w:cs="Lato"/>
          <w:sz w:val="24"/>
          <w:szCs w:val="24"/>
        </w:rPr>
        <w:t xml:space="preserve"> Smoking rates are notably higher in some counties within the United States, such as Holmes County, Ohio, which has a higher smoking prevalence compared to the national average. Smoking during pregnancy can lead to reduced birth weight and increased infant mortality rates.</w:t>
      </w:r>
    </w:p>
    <w:p w14:paraId="0C6AE3EA" w14:textId="3A373B56" w:rsidR="00EF1D7F" w:rsidRDefault="00EF1D7F" w:rsidP="00EF1D7F">
      <w:pPr>
        <w:shd w:val="clear" w:color="auto" w:fill="FFFFFF"/>
        <w:spacing w:before="280" w:after="0" w:line="240" w:lineRule="auto"/>
        <w:rPr>
          <w:rFonts w:ascii="Lato" w:eastAsia="Lato" w:hAnsi="Lato" w:cs="Lato"/>
          <w:sz w:val="24"/>
          <w:szCs w:val="24"/>
        </w:rPr>
      </w:pPr>
      <w:r w:rsidRPr="00226F3A">
        <w:rPr>
          <w:rFonts w:ascii="Lato" w:eastAsia="Lato" w:hAnsi="Lato" w:cs="Lato"/>
          <w:b/>
          <w:bCs/>
          <w:sz w:val="24"/>
          <w:szCs w:val="24"/>
        </w:rPr>
        <w:t>Change</w:t>
      </w:r>
      <w:r w:rsidRPr="00EF1D7F">
        <w:rPr>
          <w:rFonts w:ascii="Lato" w:eastAsia="Lato" w:hAnsi="Lato" w:cs="Lato"/>
          <w:sz w:val="24"/>
          <w:szCs w:val="24"/>
        </w:rPr>
        <w:t xml:space="preserve"> </w:t>
      </w:r>
      <w:r w:rsidRPr="00226F3A">
        <w:rPr>
          <w:rFonts w:ascii="Lato" w:eastAsia="Lato" w:hAnsi="Lato" w:cs="Lato"/>
          <w:b/>
          <w:bCs/>
          <w:sz w:val="24"/>
          <w:szCs w:val="24"/>
        </w:rPr>
        <w:t>Needed:</w:t>
      </w:r>
      <w:r w:rsidRPr="00EF1D7F">
        <w:rPr>
          <w:rFonts w:ascii="Lato" w:eastAsia="Lato" w:hAnsi="Lato" w:cs="Lato"/>
          <w:sz w:val="24"/>
          <w:szCs w:val="24"/>
        </w:rPr>
        <w:t xml:space="preserve"> Statewide regulations should be enacted to raise cigarette taxes and promote the use of educational materials highlighting the adverse health effects of smoking. </w:t>
      </w:r>
      <w:r w:rsidR="002A6448" w:rsidRPr="00EF1D7F">
        <w:rPr>
          <w:rFonts w:ascii="Lato" w:eastAsia="Lato" w:hAnsi="Lato" w:cs="Lato"/>
          <w:sz w:val="24"/>
          <w:szCs w:val="24"/>
        </w:rPr>
        <w:t>Like</w:t>
      </w:r>
      <w:r w:rsidRPr="00EF1D7F">
        <w:rPr>
          <w:rFonts w:ascii="Lato" w:eastAsia="Lato" w:hAnsi="Lato" w:cs="Lato"/>
          <w:sz w:val="24"/>
          <w:szCs w:val="24"/>
        </w:rPr>
        <w:t xml:space="preserve"> strategies employed in other countries, incorporating graphic images depicting the consequences of smoking on packaging could deter certain segments of the population from purchasing cigarettes.</w:t>
      </w:r>
    </w:p>
    <w:p w14:paraId="2DBF4F70" w14:textId="77777777" w:rsidR="00226F3A" w:rsidRPr="00EF1D7F" w:rsidRDefault="00226F3A" w:rsidP="00EF1D7F">
      <w:pPr>
        <w:shd w:val="clear" w:color="auto" w:fill="FFFFFF"/>
        <w:spacing w:before="280" w:after="0" w:line="240" w:lineRule="auto"/>
        <w:rPr>
          <w:rFonts w:ascii="Lato" w:eastAsia="Lato" w:hAnsi="Lato" w:cs="Lato"/>
          <w:sz w:val="24"/>
          <w:szCs w:val="24"/>
        </w:rPr>
      </w:pPr>
    </w:p>
    <w:p w14:paraId="1B313D68" w14:textId="0D5027A5" w:rsidR="00EF1D7F" w:rsidRPr="002422CB" w:rsidRDefault="00EF1D7F" w:rsidP="00EF1D7F">
      <w:pPr>
        <w:shd w:val="clear" w:color="auto" w:fill="FFFFFF"/>
        <w:spacing w:before="280" w:after="0" w:line="240" w:lineRule="auto"/>
        <w:rPr>
          <w:rFonts w:ascii="Lato" w:eastAsia="Lato" w:hAnsi="Lato" w:cs="Lato"/>
          <w:b/>
          <w:bCs/>
          <w:sz w:val="24"/>
          <w:szCs w:val="24"/>
        </w:rPr>
      </w:pPr>
      <w:r w:rsidRPr="002422CB">
        <w:rPr>
          <w:rFonts w:ascii="Lato" w:eastAsia="Lato" w:hAnsi="Lato" w:cs="Lato"/>
          <w:b/>
          <w:bCs/>
          <w:sz w:val="24"/>
          <w:szCs w:val="24"/>
        </w:rPr>
        <w:t>Recommendation 2: Investing in Education</w:t>
      </w:r>
    </w:p>
    <w:p w14:paraId="6279EAE2" w14:textId="3199C631" w:rsidR="00EF1D7F" w:rsidRPr="00EF1D7F" w:rsidRDefault="00EF1D7F" w:rsidP="00EF1D7F">
      <w:pPr>
        <w:shd w:val="clear" w:color="auto" w:fill="FFFFFF"/>
        <w:spacing w:before="280" w:after="0" w:line="240" w:lineRule="auto"/>
        <w:rPr>
          <w:rFonts w:ascii="Lato" w:eastAsia="Lato" w:hAnsi="Lato" w:cs="Lato"/>
          <w:sz w:val="24"/>
          <w:szCs w:val="24"/>
        </w:rPr>
      </w:pPr>
      <w:r w:rsidRPr="00226F3A">
        <w:rPr>
          <w:rFonts w:ascii="Lato" w:eastAsia="Lato" w:hAnsi="Lato" w:cs="Lato"/>
          <w:b/>
          <w:bCs/>
          <w:sz w:val="24"/>
          <w:szCs w:val="24"/>
        </w:rPr>
        <w:t>Issue:</w:t>
      </w:r>
      <w:r w:rsidRPr="00EF1D7F">
        <w:rPr>
          <w:rFonts w:ascii="Lato" w:eastAsia="Lato" w:hAnsi="Lato" w:cs="Lato"/>
          <w:sz w:val="24"/>
          <w:szCs w:val="24"/>
        </w:rPr>
        <w:t xml:space="preserve"> Counties with lower levels of education, like Hamilton County, Ohio, tend to have higher uninsured populations. Education is associated with improved health literacy, lower disease incidence, and the ability to make informed health decisions.</w:t>
      </w:r>
      <w:r w:rsidR="000C2A33">
        <w:rPr>
          <w:rFonts w:ascii="Lato" w:eastAsia="Lato" w:hAnsi="Lato" w:cs="Lato"/>
          <w:sz w:val="24"/>
          <w:szCs w:val="24"/>
        </w:rPr>
        <w:t xml:space="preserve"> </w:t>
      </w:r>
      <w:r w:rsidR="001A6BF3" w:rsidRPr="00576BC9">
        <w:rPr>
          <w:rFonts w:ascii="Lato" w:eastAsia="Lato" w:hAnsi="Lato" w:cs="Lato"/>
          <w:sz w:val="24"/>
          <w:szCs w:val="24"/>
        </w:rPr>
        <w:t>Counties</w:t>
      </w:r>
      <w:r w:rsidR="000C2A33" w:rsidRPr="00576BC9">
        <w:rPr>
          <w:rFonts w:ascii="Lato" w:eastAsia="Lato" w:hAnsi="Lato" w:cs="Lato"/>
          <w:sz w:val="24"/>
          <w:szCs w:val="24"/>
        </w:rPr>
        <w:t xml:space="preserve"> that have a higher education (NY = 83%, Holmes County = 68.8% versus overall US education level of 63%) have a lower percentage of uninsured population (10. 9% and 13.2 % versus the overall US rate of 16.8%). Counties with lower education levels had a greater percentage of uninsured population (Hamilton County OH had an education level of 22% and an uninsured rate of 24.2%, the highest uninsured among the counties we studied</w:t>
      </w:r>
      <w:r w:rsidR="004F26B0">
        <w:rPr>
          <w:rFonts w:ascii="Lato" w:eastAsia="Lato" w:hAnsi="Lato" w:cs="Lato"/>
          <w:sz w:val="24"/>
          <w:szCs w:val="24"/>
        </w:rPr>
        <w:t>.</w:t>
      </w:r>
      <w:r w:rsidR="004F26B0" w:rsidRPr="004F26B0">
        <w:rPr>
          <w:rFonts w:ascii="Lato" w:eastAsia="Lato" w:hAnsi="Lato" w:cs="Lato"/>
          <w:sz w:val="24"/>
          <w:szCs w:val="24"/>
        </w:rPr>
        <w:t xml:space="preserve"> </w:t>
      </w:r>
      <w:r w:rsidR="001A6BF3">
        <w:rPr>
          <w:rFonts w:ascii="Lato" w:eastAsia="Lato" w:hAnsi="Lato" w:cs="Lato"/>
          <w:sz w:val="24"/>
          <w:szCs w:val="24"/>
        </w:rPr>
        <w:t xml:space="preserve">Also, </w:t>
      </w:r>
      <w:r w:rsidR="004F26B0" w:rsidRPr="004F26B0">
        <w:rPr>
          <w:rFonts w:ascii="Lato" w:eastAsia="Lato" w:hAnsi="Lato" w:cs="Lato"/>
          <w:sz w:val="24"/>
          <w:szCs w:val="24"/>
        </w:rPr>
        <w:t>Obesity is correlated to lower income (less resources) and lower levels of education.</w:t>
      </w:r>
    </w:p>
    <w:p w14:paraId="54B9D99E" w14:textId="70022FE8" w:rsidR="00EF1D7F" w:rsidRDefault="00EF1D7F" w:rsidP="00EF1D7F">
      <w:pPr>
        <w:shd w:val="clear" w:color="auto" w:fill="FFFFFF"/>
        <w:spacing w:before="280" w:after="0" w:line="240" w:lineRule="auto"/>
        <w:rPr>
          <w:rFonts w:ascii="Lato" w:eastAsia="Lato" w:hAnsi="Lato" w:cs="Lato"/>
          <w:sz w:val="24"/>
          <w:szCs w:val="24"/>
        </w:rPr>
      </w:pPr>
      <w:r w:rsidRPr="00226F3A">
        <w:rPr>
          <w:rFonts w:ascii="Lato" w:eastAsia="Lato" w:hAnsi="Lato" w:cs="Lato"/>
          <w:b/>
          <w:bCs/>
          <w:sz w:val="24"/>
          <w:szCs w:val="24"/>
        </w:rPr>
        <w:t>Change Needed</w:t>
      </w:r>
      <w:r w:rsidR="001A6BF3" w:rsidRPr="00226F3A">
        <w:rPr>
          <w:rFonts w:ascii="Lato" w:eastAsia="Lato" w:hAnsi="Lato" w:cs="Lato"/>
          <w:b/>
          <w:bCs/>
          <w:sz w:val="24"/>
          <w:szCs w:val="24"/>
        </w:rPr>
        <w:t>:</w:t>
      </w:r>
      <w:r w:rsidR="001A6BF3">
        <w:rPr>
          <w:rFonts w:ascii="Lato" w:eastAsia="Lato" w:hAnsi="Lato" w:cs="Lato"/>
          <w:sz w:val="24"/>
          <w:szCs w:val="24"/>
        </w:rPr>
        <w:t xml:space="preserve"> </w:t>
      </w:r>
      <w:r w:rsidR="00077331" w:rsidRPr="00E54297">
        <w:rPr>
          <w:rFonts w:ascii="Lato" w:eastAsia="Lato" w:hAnsi="Lato" w:cs="Lato"/>
          <w:sz w:val="24"/>
          <w:szCs w:val="24"/>
        </w:rPr>
        <w:t xml:space="preserve">Health education regarding nutrition may be helpful for reducing adult obesity rates, specifically for Holmes County, as it has the worst education level among those of the listed counties. We would recommend health education at the school level, as well as county wide awareness programs. Nutrition checks and screenings can be implemented at regularly scheduled annual physicals. </w:t>
      </w:r>
      <w:r w:rsidR="00077331" w:rsidRPr="00576BC9">
        <w:rPr>
          <w:rFonts w:ascii="Lato" w:eastAsia="Lato" w:hAnsi="Lato" w:cs="Lato"/>
          <w:sz w:val="24"/>
          <w:szCs w:val="24"/>
        </w:rPr>
        <w:t>Education is associated with greater health literacy, lower incidences of disease and premature death and ability to make informed decisions about health</w:t>
      </w:r>
      <w:r w:rsidR="001A6BF3">
        <w:rPr>
          <w:rFonts w:ascii="Lato" w:eastAsia="Lato" w:hAnsi="Lato" w:cs="Lato"/>
          <w:sz w:val="24"/>
          <w:szCs w:val="24"/>
        </w:rPr>
        <w:t>.</w:t>
      </w:r>
      <w:r w:rsidR="001A6BF3" w:rsidRPr="00EF1D7F">
        <w:rPr>
          <w:rFonts w:ascii="Lato" w:eastAsia="Lato" w:hAnsi="Lato" w:cs="Lato"/>
          <w:sz w:val="24"/>
          <w:szCs w:val="24"/>
        </w:rPr>
        <w:t xml:space="preserve"> To attract more educators and improve education outcomes, salaries for teachers should be increased to align with other professions. This would </w:t>
      </w:r>
      <w:r w:rsidR="001A6BF3" w:rsidRPr="00EF1D7F">
        <w:rPr>
          <w:rFonts w:ascii="Lato" w:eastAsia="Lato" w:hAnsi="Lato" w:cs="Lato"/>
          <w:sz w:val="24"/>
          <w:szCs w:val="24"/>
        </w:rPr>
        <w:lastRenderedPageBreak/>
        <w:t>contribute to a more educated population, potentially leading to lower rates of uninsured individuals and better overall health.</w:t>
      </w:r>
    </w:p>
    <w:p w14:paraId="7EB3933A" w14:textId="77777777" w:rsidR="002A6448" w:rsidRPr="00EF1D7F" w:rsidRDefault="002A6448" w:rsidP="00EF1D7F">
      <w:pPr>
        <w:shd w:val="clear" w:color="auto" w:fill="FFFFFF"/>
        <w:spacing w:before="280" w:after="0" w:line="240" w:lineRule="auto"/>
        <w:rPr>
          <w:rFonts w:ascii="Lato" w:eastAsia="Lato" w:hAnsi="Lato" w:cs="Lato"/>
          <w:sz w:val="24"/>
          <w:szCs w:val="24"/>
        </w:rPr>
      </w:pPr>
    </w:p>
    <w:p w14:paraId="068DD5F0" w14:textId="376BF438" w:rsidR="00EF1D7F" w:rsidRPr="002422CB" w:rsidRDefault="00EF1D7F" w:rsidP="00EF1D7F">
      <w:pPr>
        <w:shd w:val="clear" w:color="auto" w:fill="FFFFFF"/>
        <w:spacing w:before="280" w:after="0" w:line="240" w:lineRule="auto"/>
        <w:rPr>
          <w:rFonts w:ascii="Lato" w:eastAsia="Lato" w:hAnsi="Lato" w:cs="Lato"/>
          <w:b/>
          <w:bCs/>
          <w:sz w:val="24"/>
          <w:szCs w:val="24"/>
        </w:rPr>
      </w:pPr>
      <w:r w:rsidRPr="002422CB">
        <w:rPr>
          <w:rFonts w:ascii="Lato" w:eastAsia="Lato" w:hAnsi="Lato" w:cs="Lato"/>
          <w:b/>
          <w:bCs/>
          <w:sz w:val="24"/>
          <w:szCs w:val="24"/>
        </w:rPr>
        <w:t>Recommendation 3: Expanding Public Transportation</w:t>
      </w:r>
    </w:p>
    <w:p w14:paraId="7C4E432F" w14:textId="58ED09FF" w:rsidR="00EF1D7F" w:rsidRPr="00EF1D7F" w:rsidRDefault="00EF1D7F" w:rsidP="00EF1D7F">
      <w:pPr>
        <w:shd w:val="clear" w:color="auto" w:fill="FFFFFF"/>
        <w:spacing w:before="280" w:after="0" w:line="240" w:lineRule="auto"/>
        <w:rPr>
          <w:rFonts w:ascii="Lato" w:eastAsia="Lato" w:hAnsi="Lato" w:cs="Lato"/>
          <w:sz w:val="24"/>
          <w:szCs w:val="24"/>
        </w:rPr>
      </w:pPr>
      <w:r w:rsidRPr="00226F3A">
        <w:rPr>
          <w:rFonts w:ascii="Lato" w:eastAsia="Lato" w:hAnsi="Lato" w:cs="Lato"/>
          <w:b/>
          <w:bCs/>
          <w:sz w:val="24"/>
          <w:szCs w:val="24"/>
        </w:rPr>
        <w:t>Issue:</w:t>
      </w:r>
      <w:r w:rsidRPr="00EF1D7F">
        <w:rPr>
          <w:rFonts w:ascii="Lato" w:eastAsia="Lato" w:hAnsi="Lato" w:cs="Lato"/>
          <w:sz w:val="24"/>
          <w:szCs w:val="24"/>
        </w:rPr>
        <w:t xml:space="preserve"> New York County has a lower percentage of physically inactive adults compared to other counties and the national average, potentially due to the presence of an extensive public transportation system, like the Metro</w:t>
      </w:r>
      <w:r w:rsidR="00416D98" w:rsidRPr="00576BC9">
        <w:rPr>
          <w:rFonts w:ascii="Lato" w:eastAsia="Lato" w:hAnsi="Lato" w:cs="Lato"/>
          <w:sz w:val="24"/>
          <w:szCs w:val="24"/>
        </w:rPr>
        <w:t>. We see how NY has the least physical inactivity percent (17.6%) vs other counties and the US (23.1%), potentially due to the presence of a public transportation system like the Metro.</w:t>
      </w:r>
    </w:p>
    <w:p w14:paraId="48C2D15A" w14:textId="630B2B31" w:rsidR="00EF1D7F" w:rsidRDefault="00226F3A" w:rsidP="00EF1D7F">
      <w:pPr>
        <w:shd w:val="clear" w:color="auto" w:fill="FFFFFF"/>
        <w:spacing w:before="280" w:after="0" w:line="240" w:lineRule="auto"/>
        <w:rPr>
          <w:rFonts w:ascii="Lato" w:eastAsia="Lato" w:hAnsi="Lato" w:cs="Lato"/>
          <w:sz w:val="24"/>
          <w:szCs w:val="24"/>
        </w:rPr>
      </w:pPr>
      <w:r w:rsidRPr="00226F3A">
        <w:rPr>
          <w:rFonts w:ascii="Lato" w:eastAsia="Lato" w:hAnsi="Lato" w:cs="Lato"/>
          <w:b/>
          <w:bCs/>
          <w:sz w:val="24"/>
          <w:szCs w:val="24"/>
        </w:rPr>
        <w:t>Changes</w:t>
      </w:r>
      <w:r w:rsidR="00EF1D7F" w:rsidRPr="00EF1D7F">
        <w:rPr>
          <w:rFonts w:ascii="Lato" w:eastAsia="Lato" w:hAnsi="Lato" w:cs="Lato"/>
          <w:sz w:val="24"/>
          <w:szCs w:val="24"/>
        </w:rPr>
        <w:t xml:space="preserve"> </w:t>
      </w:r>
      <w:r w:rsidR="00EF1D7F" w:rsidRPr="00226F3A">
        <w:rPr>
          <w:rFonts w:ascii="Lato" w:eastAsia="Lato" w:hAnsi="Lato" w:cs="Lato"/>
          <w:b/>
          <w:bCs/>
          <w:sz w:val="24"/>
          <w:szCs w:val="24"/>
        </w:rPr>
        <w:t>Needed:</w:t>
      </w:r>
      <w:r w:rsidR="00EF1D7F" w:rsidRPr="00EF1D7F">
        <w:rPr>
          <w:rFonts w:ascii="Lato" w:eastAsia="Lato" w:hAnsi="Lato" w:cs="Lato"/>
          <w:sz w:val="24"/>
          <w:szCs w:val="24"/>
        </w:rPr>
        <w:t xml:space="preserve"> To encourage physical activity, reduce car dependency, and improve air quality, counties should consider investing in comprehensive public transportation systems. Expanding such systems can promote healthier lifestyles and reduce air pollution, benefiting overall community health.</w:t>
      </w:r>
    </w:p>
    <w:p w14:paraId="1E1149DA" w14:textId="77777777" w:rsidR="00226F3A" w:rsidRPr="00EF1D7F" w:rsidRDefault="00226F3A" w:rsidP="00EF1D7F">
      <w:pPr>
        <w:shd w:val="clear" w:color="auto" w:fill="FFFFFF"/>
        <w:spacing w:before="280" w:after="0" w:line="240" w:lineRule="auto"/>
        <w:rPr>
          <w:rFonts w:ascii="Lato" w:eastAsia="Lato" w:hAnsi="Lato" w:cs="Lato"/>
          <w:sz w:val="24"/>
          <w:szCs w:val="24"/>
        </w:rPr>
      </w:pPr>
    </w:p>
    <w:p w14:paraId="3ED9A60A" w14:textId="375506FB" w:rsidR="00EF1D7F" w:rsidRPr="002B4B10" w:rsidRDefault="00EF1D7F" w:rsidP="00EF1D7F">
      <w:pPr>
        <w:shd w:val="clear" w:color="auto" w:fill="FFFFFF"/>
        <w:spacing w:before="280" w:after="0" w:line="240" w:lineRule="auto"/>
        <w:rPr>
          <w:rFonts w:ascii="Lato" w:eastAsia="Lato" w:hAnsi="Lato" w:cs="Lato"/>
          <w:b/>
          <w:bCs/>
          <w:sz w:val="24"/>
          <w:szCs w:val="24"/>
        </w:rPr>
      </w:pPr>
      <w:r w:rsidRPr="002B4B10">
        <w:rPr>
          <w:rFonts w:ascii="Lato" w:eastAsia="Lato" w:hAnsi="Lato" w:cs="Lato"/>
          <w:b/>
          <w:bCs/>
          <w:sz w:val="24"/>
          <w:szCs w:val="24"/>
        </w:rPr>
        <w:t>Recommendation 4: Enhancing Maternal Care Accessibility</w:t>
      </w:r>
    </w:p>
    <w:p w14:paraId="72952348" w14:textId="00EC2894" w:rsidR="00EF1D7F" w:rsidRPr="00EF1D7F" w:rsidRDefault="00EF1D7F" w:rsidP="00EF1D7F">
      <w:pPr>
        <w:shd w:val="clear" w:color="auto" w:fill="FFFFFF"/>
        <w:spacing w:before="280" w:after="0" w:line="240" w:lineRule="auto"/>
        <w:rPr>
          <w:rFonts w:ascii="Lato" w:eastAsia="Lato" w:hAnsi="Lato" w:cs="Lato"/>
          <w:sz w:val="24"/>
          <w:szCs w:val="24"/>
        </w:rPr>
      </w:pPr>
      <w:r w:rsidRPr="00226F3A">
        <w:rPr>
          <w:rFonts w:ascii="Lato" w:eastAsia="Lato" w:hAnsi="Lato" w:cs="Lato"/>
          <w:b/>
          <w:bCs/>
          <w:sz w:val="24"/>
          <w:szCs w:val="24"/>
        </w:rPr>
        <w:t>Issue:</w:t>
      </w:r>
      <w:r w:rsidRPr="00EF1D7F">
        <w:rPr>
          <w:rFonts w:ascii="Lato" w:eastAsia="Lato" w:hAnsi="Lato" w:cs="Lato"/>
          <w:sz w:val="24"/>
          <w:szCs w:val="24"/>
        </w:rPr>
        <w:t xml:space="preserve"> Hamilton County, Ohio, has one of the highest rates of infant mortality in the study. Improving maternal care accessibility is crucial for addressing this issue.</w:t>
      </w:r>
    </w:p>
    <w:p w14:paraId="1433A650" w14:textId="45EE0FC8" w:rsidR="00226F3A" w:rsidRDefault="00226F3A" w:rsidP="00EF1D7F">
      <w:pPr>
        <w:shd w:val="clear" w:color="auto" w:fill="FFFFFF"/>
        <w:spacing w:before="280" w:after="0" w:line="240" w:lineRule="auto"/>
        <w:rPr>
          <w:rFonts w:ascii="Lato" w:eastAsia="Lato" w:hAnsi="Lato" w:cs="Lato"/>
          <w:sz w:val="24"/>
          <w:szCs w:val="24"/>
        </w:rPr>
      </w:pPr>
      <w:r w:rsidRPr="00226F3A">
        <w:rPr>
          <w:rFonts w:ascii="Lato" w:eastAsia="Lato" w:hAnsi="Lato" w:cs="Lato"/>
          <w:b/>
          <w:bCs/>
          <w:sz w:val="24"/>
          <w:szCs w:val="24"/>
        </w:rPr>
        <w:t>Changes</w:t>
      </w:r>
      <w:r w:rsidR="00EF1D7F" w:rsidRPr="00EF1D7F">
        <w:rPr>
          <w:rFonts w:ascii="Lato" w:eastAsia="Lato" w:hAnsi="Lato" w:cs="Lato"/>
          <w:sz w:val="24"/>
          <w:szCs w:val="24"/>
        </w:rPr>
        <w:t xml:space="preserve"> </w:t>
      </w:r>
      <w:r w:rsidR="00EF1D7F" w:rsidRPr="00226F3A">
        <w:rPr>
          <w:rFonts w:ascii="Lato" w:eastAsia="Lato" w:hAnsi="Lato" w:cs="Lato"/>
          <w:b/>
          <w:bCs/>
          <w:sz w:val="24"/>
          <w:szCs w:val="24"/>
        </w:rPr>
        <w:t>Needed:</w:t>
      </w:r>
      <w:r w:rsidR="00EF1D7F" w:rsidRPr="00EF1D7F">
        <w:rPr>
          <w:rFonts w:ascii="Lato" w:eastAsia="Lato" w:hAnsi="Lato" w:cs="Lato"/>
          <w:sz w:val="24"/>
          <w:szCs w:val="24"/>
        </w:rPr>
        <w:t xml:space="preserve"> To reduce infant mortality rates, investments should be made to increase access to maternal care services in Hamilton County. This includes establishing additional healthcare facilities, providing support for at-risk pregnant women, and ensuring affordable prenatal care options.</w:t>
      </w:r>
    </w:p>
    <w:p w14:paraId="7E83FEC0" w14:textId="77777777" w:rsidR="00226F3A" w:rsidRPr="00EF1D7F" w:rsidRDefault="00226F3A" w:rsidP="00EF1D7F">
      <w:pPr>
        <w:shd w:val="clear" w:color="auto" w:fill="FFFFFF"/>
        <w:spacing w:before="280" w:after="0" w:line="240" w:lineRule="auto"/>
        <w:rPr>
          <w:rFonts w:ascii="Lato" w:eastAsia="Lato" w:hAnsi="Lato" w:cs="Lato"/>
          <w:sz w:val="24"/>
          <w:szCs w:val="24"/>
        </w:rPr>
      </w:pPr>
    </w:p>
    <w:p w14:paraId="749DDD48" w14:textId="1C1F1647" w:rsidR="00EF1D7F" w:rsidRPr="00416D98" w:rsidRDefault="00EF1D7F" w:rsidP="00EF1D7F">
      <w:pPr>
        <w:shd w:val="clear" w:color="auto" w:fill="FFFFFF"/>
        <w:spacing w:before="280" w:after="0" w:line="240" w:lineRule="auto"/>
        <w:rPr>
          <w:rFonts w:ascii="Lato" w:eastAsia="Lato" w:hAnsi="Lato" w:cs="Lato"/>
          <w:b/>
          <w:bCs/>
          <w:sz w:val="24"/>
          <w:szCs w:val="24"/>
        </w:rPr>
      </w:pPr>
      <w:r w:rsidRPr="00416D98">
        <w:rPr>
          <w:rFonts w:ascii="Lato" w:eastAsia="Lato" w:hAnsi="Lato" w:cs="Lato"/>
          <w:b/>
          <w:bCs/>
          <w:sz w:val="24"/>
          <w:szCs w:val="24"/>
        </w:rPr>
        <w:t>Recommendation 5: Sexual and Reproductive Education Programs</w:t>
      </w:r>
    </w:p>
    <w:p w14:paraId="673EFDB4" w14:textId="5C303D95" w:rsidR="00EF1D7F" w:rsidRPr="00EF1D7F" w:rsidRDefault="00EF1D7F" w:rsidP="00EF1D7F">
      <w:pPr>
        <w:shd w:val="clear" w:color="auto" w:fill="FFFFFF"/>
        <w:spacing w:before="280" w:after="0" w:line="240" w:lineRule="auto"/>
        <w:rPr>
          <w:rFonts w:ascii="Lato" w:eastAsia="Lato" w:hAnsi="Lato" w:cs="Lato"/>
          <w:sz w:val="24"/>
          <w:szCs w:val="24"/>
        </w:rPr>
      </w:pPr>
      <w:r w:rsidRPr="00226F3A">
        <w:rPr>
          <w:rFonts w:ascii="Lato" w:eastAsia="Lato" w:hAnsi="Lato" w:cs="Lato"/>
          <w:b/>
          <w:bCs/>
          <w:sz w:val="24"/>
          <w:szCs w:val="24"/>
        </w:rPr>
        <w:lastRenderedPageBreak/>
        <w:t>Issue:</w:t>
      </w:r>
      <w:r w:rsidRPr="00EF1D7F">
        <w:rPr>
          <w:rFonts w:ascii="Lato" w:eastAsia="Lato" w:hAnsi="Lato" w:cs="Lato"/>
          <w:sz w:val="24"/>
          <w:szCs w:val="24"/>
        </w:rPr>
        <w:t xml:space="preserve"> High rates of chlamydia infections in Hamilton County, Ohio, and New York County underscore the need for improved sexual and reproductive education.</w:t>
      </w:r>
    </w:p>
    <w:p w14:paraId="66EBC1FE" w14:textId="3128BA2C" w:rsidR="002A6448" w:rsidRDefault="00EF1D7F" w:rsidP="00EF1D7F">
      <w:pPr>
        <w:shd w:val="clear" w:color="auto" w:fill="FFFFFF"/>
        <w:spacing w:before="280" w:after="0" w:line="240" w:lineRule="auto"/>
        <w:rPr>
          <w:rFonts w:ascii="Lato" w:eastAsia="Lato" w:hAnsi="Lato" w:cs="Lato"/>
          <w:sz w:val="24"/>
          <w:szCs w:val="24"/>
        </w:rPr>
      </w:pPr>
      <w:r w:rsidRPr="00226F3A">
        <w:rPr>
          <w:rFonts w:ascii="Lato" w:eastAsia="Lato" w:hAnsi="Lato" w:cs="Lato"/>
          <w:b/>
          <w:bCs/>
          <w:sz w:val="24"/>
          <w:szCs w:val="24"/>
        </w:rPr>
        <w:t>Change</w:t>
      </w:r>
      <w:r w:rsidRPr="00EF1D7F">
        <w:rPr>
          <w:rFonts w:ascii="Lato" w:eastAsia="Lato" w:hAnsi="Lato" w:cs="Lato"/>
          <w:sz w:val="24"/>
          <w:szCs w:val="24"/>
        </w:rPr>
        <w:t xml:space="preserve"> </w:t>
      </w:r>
      <w:r w:rsidRPr="00226F3A">
        <w:rPr>
          <w:rFonts w:ascii="Lato" w:eastAsia="Lato" w:hAnsi="Lato" w:cs="Lato"/>
          <w:b/>
          <w:bCs/>
          <w:sz w:val="24"/>
          <w:szCs w:val="24"/>
        </w:rPr>
        <w:t>Needed:</w:t>
      </w:r>
      <w:r w:rsidRPr="00EF1D7F">
        <w:rPr>
          <w:rFonts w:ascii="Lato" w:eastAsia="Lato" w:hAnsi="Lato" w:cs="Lato"/>
          <w:sz w:val="24"/>
          <w:szCs w:val="24"/>
        </w:rPr>
        <w:t xml:space="preserve"> Implementing comprehensive sexual and reproductive education programs in high schools can help reduce the incidence of sexually transmitted infections. These programs should cover topics such as safe sex practices, contraception options, and the importance of regular screenings and check-ups.</w:t>
      </w:r>
    </w:p>
    <w:p w14:paraId="4123EBCB" w14:textId="77777777" w:rsidR="00226F3A" w:rsidRPr="00EF1D7F" w:rsidRDefault="00226F3A" w:rsidP="00EF1D7F">
      <w:pPr>
        <w:shd w:val="clear" w:color="auto" w:fill="FFFFFF"/>
        <w:spacing w:before="280" w:after="0" w:line="240" w:lineRule="auto"/>
        <w:rPr>
          <w:rFonts w:ascii="Lato" w:eastAsia="Lato" w:hAnsi="Lato" w:cs="Lato"/>
          <w:sz w:val="24"/>
          <w:szCs w:val="24"/>
        </w:rPr>
      </w:pPr>
    </w:p>
    <w:p w14:paraId="6459F022" w14:textId="1DEF890C" w:rsidR="00D739EC" w:rsidRDefault="00EF1D7F" w:rsidP="004F26B0">
      <w:pPr>
        <w:shd w:val="clear" w:color="auto" w:fill="FFFFFF"/>
        <w:spacing w:before="280" w:after="0" w:line="240" w:lineRule="auto"/>
        <w:rPr>
          <w:rFonts w:ascii="Lato" w:eastAsia="Lato" w:hAnsi="Lato" w:cs="Lato"/>
          <w:sz w:val="24"/>
          <w:szCs w:val="24"/>
        </w:rPr>
      </w:pPr>
      <w:r w:rsidRPr="00EF1D7F">
        <w:rPr>
          <w:rFonts w:ascii="Lato" w:eastAsia="Lato" w:hAnsi="Lato" w:cs="Lato"/>
          <w:sz w:val="24"/>
          <w:szCs w:val="24"/>
        </w:rPr>
        <w:t>In summary, addressing these recommendations would involve enacting policy changes, investing in education and healthcare infrastructure, and promoting healthier lifestyle choices. These changes can have a positive impact on the health and well-being of populations in the studied counties, addressing disparities in health indicators and promoting overall community health.</w:t>
      </w:r>
    </w:p>
    <w:p w14:paraId="5F0BEB21" w14:textId="1D5D4499" w:rsidR="003D08B5" w:rsidRDefault="003D08B5" w:rsidP="004F26B0">
      <w:pPr>
        <w:shd w:val="clear" w:color="auto" w:fill="FFFFFF"/>
        <w:spacing w:before="280" w:after="0" w:line="240" w:lineRule="auto"/>
        <w:rPr>
          <w:rFonts w:ascii="Lato" w:eastAsia="Lato" w:hAnsi="Lato" w:cs="Lato"/>
          <w:sz w:val="24"/>
          <w:szCs w:val="24"/>
        </w:rPr>
      </w:pPr>
      <w:r>
        <w:rPr>
          <w:rFonts w:ascii="Lato" w:eastAsia="Lato" w:hAnsi="Lato" w:cs="Lato"/>
          <w:sz w:val="24"/>
          <w:szCs w:val="24"/>
        </w:rPr>
        <w:t>References:</w:t>
      </w:r>
    </w:p>
    <w:p w14:paraId="6A37855F" w14:textId="63F6E746" w:rsidR="003D08B5" w:rsidRPr="003D08B5" w:rsidRDefault="003D08B5" w:rsidP="003D08B5">
      <w:pPr>
        <w:pStyle w:val="ListParagraph"/>
        <w:numPr>
          <w:ilvl w:val="0"/>
          <w:numId w:val="6"/>
        </w:numPr>
        <w:shd w:val="clear" w:color="auto" w:fill="FFFFFF"/>
        <w:spacing w:before="280"/>
        <w:rPr>
          <w:rFonts w:ascii="Lato" w:eastAsia="Lato" w:hAnsi="Lato" w:cs="Lato"/>
        </w:rPr>
      </w:pPr>
      <w:hyperlink r:id="rId8" w:history="1">
        <w:r>
          <w:rPr>
            <w:rStyle w:val="Hyperlink"/>
          </w:rPr>
          <w:t xml:space="preserve">City-to-County Finder: </w:t>
        </w:r>
        <w:proofErr w:type="spellStart"/>
        <w:r>
          <w:rPr>
            <w:rStyle w:val="Hyperlink"/>
          </w:rPr>
          <w:t>StatsAmerica</w:t>
        </w:r>
        <w:proofErr w:type="spellEnd"/>
      </w:hyperlink>
    </w:p>
    <w:p w14:paraId="183146DC" w14:textId="3DDC6B1F" w:rsidR="003D08B5" w:rsidRPr="00092528" w:rsidRDefault="003D08B5" w:rsidP="00092528">
      <w:pPr>
        <w:pStyle w:val="ListParagraph"/>
        <w:numPr>
          <w:ilvl w:val="0"/>
          <w:numId w:val="6"/>
        </w:numPr>
        <w:shd w:val="clear" w:color="auto" w:fill="FFFFFF"/>
        <w:spacing w:before="280"/>
        <w:rPr>
          <w:rFonts w:ascii="Lato" w:eastAsia="Lato" w:hAnsi="Lato" w:cs="Lato"/>
        </w:rPr>
      </w:pPr>
      <w:hyperlink r:id="rId9" w:history="1">
        <w:r>
          <w:rPr>
            <w:rStyle w:val="Hyperlink"/>
          </w:rPr>
          <w:t>https://healthinappalachia.org/disparities-report/interactive-report/ Links to an external site.</w:t>
        </w:r>
      </w:hyperlink>
    </w:p>
    <w:sectPr w:rsidR="003D08B5" w:rsidRPr="00092528">
      <w:headerReference w:type="default" r:id="rId10"/>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4C810" w14:textId="77777777" w:rsidR="00576BC9" w:rsidRDefault="00576BC9">
      <w:pPr>
        <w:spacing w:after="0" w:line="240" w:lineRule="auto"/>
      </w:pPr>
      <w:r>
        <w:separator/>
      </w:r>
    </w:p>
  </w:endnote>
  <w:endnote w:type="continuationSeparator" w:id="0">
    <w:p w14:paraId="68358E67" w14:textId="77777777" w:rsidR="00576BC9" w:rsidRDefault="0057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3525" w14:textId="77777777" w:rsidR="00576BC9" w:rsidRDefault="00576BC9">
      <w:pPr>
        <w:spacing w:after="0" w:line="240" w:lineRule="auto"/>
      </w:pPr>
      <w:r>
        <w:separator/>
      </w:r>
    </w:p>
  </w:footnote>
  <w:footnote w:type="continuationSeparator" w:id="0">
    <w:p w14:paraId="032138B0" w14:textId="77777777" w:rsidR="00576BC9" w:rsidRDefault="00576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7929" w14:textId="77777777" w:rsidR="00D739EC" w:rsidRDefault="00D739E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0BA7"/>
    <w:multiLevelType w:val="multilevel"/>
    <w:tmpl w:val="933E1CC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24ED569A"/>
    <w:multiLevelType w:val="multilevel"/>
    <w:tmpl w:val="34202E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CE76578"/>
    <w:multiLevelType w:val="hybridMultilevel"/>
    <w:tmpl w:val="7BE6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D26A5"/>
    <w:multiLevelType w:val="multilevel"/>
    <w:tmpl w:val="85FA44A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691815FD"/>
    <w:multiLevelType w:val="multilevel"/>
    <w:tmpl w:val="971A398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77D04141"/>
    <w:multiLevelType w:val="multilevel"/>
    <w:tmpl w:val="46DA937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16cid:durableId="1998339003">
    <w:abstractNumId w:val="1"/>
  </w:num>
  <w:num w:numId="2" w16cid:durableId="485324239">
    <w:abstractNumId w:val="4"/>
  </w:num>
  <w:num w:numId="3" w16cid:durableId="843320787">
    <w:abstractNumId w:val="0"/>
  </w:num>
  <w:num w:numId="4" w16cid:durableId="215817684">
    <w:abstractNumId w:val="5"/>
  </w:num>
  <w:num w:numId="5" w16cid:durableId="945694953">
    <w:abstractNumId w:val="3"/>
  </w:num>
  <w:num w:numId="6" w16cid:durableId="1486584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9EC"/>
    <w:rsid w:val="00077331"/>
    <w:rsid w:val="00092528"/>
    <w:rsid w:val="000C2A33"/>
    <w:rsid w:val="001A6BF3"/>
    <w:rsid w:val="00226F3A"/>
    <w:rsid w:val="002422CB"/>
    <w:rsid w:val="00280069"/>
    <w:rsid w:val="002A6448"/>
    <w:rsid w:val="002B4B10"/>
    <w:rsid w:val="003D08B5"/>
    <w:rsid w:val="00416D98"/>
    <w:rsid w:val="004B2F77"/>
    <w:rsid w:val="004F26B0"/>
    <w:rsid w:val="00576BC9"/>
    <w:rsid w:val="00745A11"/>
    <w:rsid w:val="008939DD"/>
    <w:rsid w:val="00897DAB"/>
    <w:rsid w:val="00947E3D"/>
    <w:rsid w:val="00A0631D"/>
    <w:rsid w:val="00C8515B"/>
    <w:rsid w:val="00D739EC"/>
    <w:rsid w:val="00DC41BC"/>
    <w:rsid w:val="00E54297"/>
    <w:rsid w:val="00EA4623"/>
    <w:rsid w:val="00EF1D7F"/>
    <w:rsid w:val="00FF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7C13"/>
  <w15:docId w15:val="{55CC3F59-119E-4C51-A68A-BB09CE3B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5118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4027B"/>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40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7B"/>
  </w:style>
  <w:style w:type="paragraph" w:styleId="Footer">
    <w:name w:val="footer"/>
    <w:basedOn w:val="Normal"/>
    <w:link w:val="FooterChar"/>
    <w:uiPriority w:val="99"/>
    <w:unhideWhenUsed/>
    <w:rsid w:val="00240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7B"/>
  </w:style>
  <w:style w:type="character" w:styleId="CommentReference">
    <w:name w:val="annotation reference"/>
    <w:basedOn w:val="DefaultParagraphFont"/>
    <w:uiPriority w:val="99"/>
    <w:semiHidden/>
    <w:unhideWhenUsed/>
    <w:rsid w:val="00984C17"/>
    <w:rPr>
      <w:sz w:val="16"/>
      <w:szCs w:val="16"/>
    </w:rPr>
  </w:style>
  <w:style w:type="paragraph" w:styleId="CommentText">
    <w:name w:val="annotation text"/>
    <w:basedOn w:val="Normal"/>
    <w:link w:val="CommentTextChar"/>
    <w:uiPriority w:val="99"/>
    <w:unhideWhenUsed/>
    <w:rsid w:val="00984C17"/>
    <w:pPr>
      <w:spacing w:line="240" w:lineRule="auto"/>
    </w:pPr>
    <w:rPr>
      <w:sz w:val="20"/>
      <w:szCs w:val="20"/>
    </w:rPr>
  </w:style>
  <w:style w:type="character" w:customStyle="1" w:styleId="CommentTextChar">
    <w:name w:val="Comment Text Char"/>
    <w:basedOn w:val="DefaultParagraphFont"/>
    <w:link w:val="CommentText"/>
    <w:uiPriority w:val="99"/>
    <w:rsid w:val="00984C17"/>
    <w:rPr>
      <w:sz w:val="20"/>
      <w:szCs w:val="20"/>
    </w:rPr>
  </w:style>
  <w:style w:type="paragraph" w:styleId="CommentSubject">
    <w:name w:val="annotation subject"/>
    <w:basedOn w:val="CommentText"/>
    <w:next w:val="CommentText"/>
    <w:link w:val="CommentSubjectChar"/>
    <w:uiPriority w:val="99"/>
    <w:semiHidden/>
    <w:unhideWhenUsed/>
    <w:rsid w:val="00984C17"/>
    <w:rPr>
      <w:b/>
      <w:bCs/>
    </w:rPr>
  </w:style>
  <w:style w:type="character" w:customStyle="1" w:styleId="CommentSubjectChar">
    <w:name w:val="Comment Subject Char"/>
    <w:basedOn w:val="CommentTextChar"/>
    <w:link w:val="CommentSubject"/>
    <w:uiPriority w:val="99"/>
    <w:semiHidden/>
    <w:rsid w:val="00984C17"/>
    <w:rPr>
      <w:b/>
      <w:bCs/>
      <w:sz w:val="20"/>
      <w:szCs w:val="20"/>
    </w:rPr>
  </w:style>
  <w:style w:type="paragraph" w:styleId="BalloonText">
    <w:name w:val="Balloon Text"/>
    <w:basedOn w:val="Normal"/>
    <w:link w:val="BalloonTextChar"/>
    <w:uiPriority w:val="99"/>
    <w:semiHidden/>
    <w:unhideWhenUsed/>
    <w:rsid w:val="00984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C17"/>
    <w:rPr>
      <w:rFonts w:ascii="Segoe UI" w:hAnsi="Segoe UI" w:cs="Segoe UI"/>
      <w:sz w:val="18"/>
      <w:szCs w:val="18"/>
    </w:rPr>
  </w:style>
  <w:style w:type="character" w:customStyle="1" w:styleId="Heading2Char">
    <w:name w:val="Heading 2 Char"/>
    <w:basedOn w:val="DefaultParagraphFont"/>
    <w:link w:val="Heading2"/>
    <w:uiPriority w:val="9"/>
    <w:rsid w:val="005118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18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21C4"/>
    <w:rPr>
      <w:color w:val="0563C1" w:themeColor="hyperlink"/>
      <w:u w:val="single"/>
    </w:rPr>
  </w:style>
  <w:style w:type="character" w:customStyle="1" w:styleId="UnresolvedMention1">
    <w:name w:val="Unresolved Mention1"/>
    <w:basedOn w:val="DefaultParagraphFont"/>
    <w:uiPriority w:val="99"/>
    <w:semiHidden/>
    <w:unhideWhenUsed/>
    <w:rsid w:val="00E021C4"/>
    <w:rPr>
      <w:color w:val="605E5C"/>
      <w:shd w:val="clear" w:color="auto" w:fill="E1DFDD"/>
    </w:rPr>
  </w:style>
  <w:style w:type="character" w:styleId="FollowedHyperlink">
    <w:name w:val="FollowedHyperlink"/>
    <w:basedOn w:val="DefaultParagraphFont"/>
    <w:uiPriority w:val="99"/>
    <w:semiHidden/>
    <w:unhideWhenUsed/>
    <w:rsid w:val="0057530D"/>
    <w:rPr>
      <w:color w:val="954F72" w:themeColor="followedHyperlink"/>
      <w:u w:val="single"/>
    </w:rPr>
  </w:style>
  <w:style w:type="table" w:styleId="TableGrid">
    <w:name w:val="Table Grid"/>
    <w:basedOn w:val="TableNormal"/>
    <w:uiPriority w:val="39"/>
    <w:rsid w:val="00346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520F3"/>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tatsamerica.org/CityCountyFin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althinappalachia.org/disparities-report/interactive-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7tlWbPrBr5VPS7eEIZ1gdgrySQ==">AMUW2mW/CwV7F0kNKYrharQRgG0vSNNwkSLMG/4PEm48bWG1wgu+vWxiJaJCiatEJSdWXBiBDN/MQzX+wBFvXR965gQhXYDsuCU8wTK2oOQeLffCQFErn7g=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L. Anthony</dc:creator>
  <cp:lastModifiedBy>Shah, Preksha Kamleshkumar</cp:lastModifiedBy>
  <cp:revision>26</cp:revision>
  <dcterms:created xsi:type="dcterms:W3CDTF">2023-10-06T21:10:00Z</dcterms:created>
  <dcterms:modified xsi:type="dcterms:W3CDTF">2023-10-06T22:32:00Z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40cf2d8fa87101722c2b7ebb334e08064cf585a62720508b115c125f978457ec</vt:lpwstr>
  </property>
</Properties>
</file>