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9B14" w14:textId="1D22D68D" w:rsidR="00D42CD3" w:rsidRPr="00D42CD3" w:rsidRDefault="00D42CD3" w:rsidP="00D42CD3">
      <w:pPr>
        <w:shd w:val="clear" w:color="auto" w:fill="FFFFFF"/>
        <w:spacing w:before="180" w:after="180" w:line="240" w:lineRule="auto"/>
        <w:rPr>
          <w:rFonts w:eastAsia="Times New Roman"/>
          <w:b/>
          <w:bCs/>
          <w:color w:val="000000"/>
          <w:lang w:val="en-US"/>
        </w:rPr>
      </w:pPr>
      <w:r w:rsidRPr="00D42CD3">
        <w:rPr>
          <w:rFonts w:eastAsia="Times New Roman"/>
          <w:b/>
          <w:bCs/>
          <w:color w:val="000000"/>
          <w:lang w:val="en-US"/>
        </w:rPr>
        <w:t>Learning Goals &amp; Objectives:</w:t>
      </w:r>
    </w:p>
    <w:p w14:paraId="05E53CCA" w14:textId="676EBB62" w:rsidR="00D42CD3" w:rsidRPr="00D42CD3" w:rsidRDefault="00D42CD3" w:rsidP="00D42CD3">
      <w:pPr>
        <w:numPr>
          <w:ilvl w:val="0"/>
          <w:numId w:val="4"/>
        </w:numPr>
        <w:shd w:val="clear" w:color="auto" w:fill="FFFFFF"/>
        <w:spacing w:before="100" w:beforeAutospacing="1" w:after="100" w:afterAutospacing="1" w:line="240" w:lineRule="auto"/>
        <w:ind w:left="1095"/>
        <w:rPr>
          <w:rFonts w:eastAsia="Times New Roman"/>
          <w:color w:val="000000"/>
          <w:lang w:val="en-US"/>
        </w:rPr>
      </w:pPr>
      <w:r w:rsidRPr="00D42CD3">
        <w:rPr>
          <w:rFonts w:eastAsia="Times New Roman"/>
          <w:color w:val="000000"/>
          <w:lang w:val="en-US"/>
        </w:rPr>
        <w:t xml:space="preserve">Define and apply insurance </w:t>
      </w:r>
      <w:r w:rsidRPr="00D42CD3">
        <w:rPr>
          <w:rFonts w:eastAsia="Times New Roman"/>
          <w:color w:val="000000"/>
          <w:lang w:val="en-US"/>
        </w:rPr>
        <w:t>terms.</w:t>
      </w:r>
    </w:p>
    <w:p w14:paraId="4659C1C9" w14:textId="77777777" w:rsidR="00D42CD3" w:rsidRPr="00D42CD3" w:rsidRDefault="00D42CD3" w:rsidP="00D42CD3">
      <w:pPr>
        <w:numPr>
          <w:ilvl w:val="0"/>
          <w:numId w:val="4"/>
        </w:numPr>
        <w:shd w:val="clear" w:color="auto" w:fill="FFFFFF"/>
        <w:spacing w:before="100" w:beforeAutospacing="1" w:after="100" w:afterAutospacing="1" w:line="240" w:lineRule="auto"/>
        <w:ind w:left="1095"/>
        <w:rPr>
          <w:rFonts w:eastAsia="Times New Roman"/>
          <w:color w:val="000000"/>
          <w:lang w:val="en-US"/>
        </w:rPr>
      </w:pPr>
      <w:r w:rsidRPr="00D42CD3">
        <w:rPr>
          <w:rFonts w:eastAsia="Times New Roman"/>
          <w:color w:val="000000"/>
          <w:lang w:val="en-US"/>
        </w:rPr>
        <w:t>Apply understanding of private health insurance features to a specific individual case</w:t>
      </w:r>
    </w:p>
    <w:p w14:paraId="7C6C22E5" w14:textId="77777777" w:rsidR="00D42CD3" w:rsidRPr="00D42CD3" w:rsidRDefault="00D42CD3" w:rsidP="00D42CD3">
      <w:pPr>
        <w:numPr>
          <w:ilvl w:val="0"/>
          <w:numId w:val="4"/>
        </w:numPr>
        <w:shd w:val="clear" w:color="auto" w:fill="FFFFFF"/>
        <w:spacing w:before="100" w:beforeAutospacing="1" w:after="100" w:afterAutospacing="1" w:line="240" w:lineRule="auto"/>
        <w:ind w:left="1095"/>
        <w:rPr>
          <w:rFonts w:eastAsia="Times New Roman"/>
          <w:color w:val="000000"/>
          <w:lang w:val="en-US"/>
        </w:rPr>
      </w:pPr>
      <w:r w:rsidRPr="00D42CD3">
        <w:rPr>
          <w:rFonts w:eastAsia="Times New Roman"/>
          <w:color w:val="000000"/>
          <w:lang w:val="en-US"/>
        </w:rPr>
        <w:t>Evaluate tradeoffs of different types of insurance for an individual case</w:t>
      </w:r>
    </w:p>
    <w:p w14:paraId="0610E395" w14:textId="77777777" w:rsidR="00D42CD3" w:rsidRDefault="00D42CD3" w:rsidP="0039759D">
      <w:pPr>
        <w:pStyle w:val="NoSpacing"/>
      </w:pPr>
    </w:p>
    <w:p w14:paraId="75FB6617" w14:textId="4631D3B8" w:rsidR="00570726" w:rsidRDefault="003C013E" w:rsidP="0039759D">
      <w:pPr>
        <w:pStyle w:val="NoSpacing"/>
      </w:pPr>
      <w:r>
        <w:t>A case study</w:t>
      </w:r>
      <w:r w:rsidR="00683E25">
        <w:t xml:space="preserve">: </w:t>
      </w:r>
      <w:r>
        <w:t>Y</w:t>
      </w:r>
      <w:r w:rsidR="00683E25">
        <w:t>ou are a</w:t>
      </w:r>
      <w:r w:rsidR="00683E25">
        <w:rPr>
          <w:b/>
        </w:rPr>
        <w:t xml:space="preserve"> 45-year-old </w:t>
      </w:r>
      <w:r w:rsidR="00683E25">
        <w:t>college graduate, who is married with</w:t>
      </w:r>
      <w:r w:rsidR="00683E25">
        <w:rPr>
          <w:b/>
        </w:rPr>
        <w:t xml:space="preserve"> two young children,</w:t>
      </w:r>
      <w:r w:rsidR="00683E25">
        <w:t xml:space="preserve"> and who has just started a new job. You are earning $110,000/year (about $6,415 take-home per month) and your job comes with benefits, including employer-sponsored health insurance (3 different plans, see on back) that is subsidized by the employer ($1395/month employer contribution toward premium for the family plan).  Your oldest child has cystic fibrosis, which on average costs about $15,000/year in medical expenses. Your spouse is not employed outside the home.</w:t>
      </w:r>
    </w:p>
    <w:p w14:paraId="64FDF977" w14:textId="77777777" w:rsidR="001834D8" w:rsidRDefault="001834D8" w:rsidP="0039759D">
      <w:pPr>
        <w:pStyle w:val="NoSpacing"/>
      </w:pPr>
    </w:p>
    <w:p w14:paraId="1A82E924" w14:textId="14E6847F" w:rsidR="001834D8" w:rsidRDefault="00EA37DB" w:rsidP="0039759D">
      <w:pPr>
        <w:pStyle w:val="NoSpacing"/>
      </w:pPr>
      <w:r w:rsidRPr="00EA37DB">
        <w:drawing>
          <wp:inline distT="0" distB="0" distL="0" distR="0" wp14:anchorId="6A75C7AA" wp14:editId="6EB7B66B">
            <wp:extent cx="5067300" cy="4280677"/>
            <wp:effectExtent l="0" t="0" r="0" b="5715"/>
            <wp:docPr id="172977784" name="Picture 1" descr="A tabl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7784" name="Picture 1" descr="A table with text and numbers&#10;&#10;Description automatically generated with medium confidence"/>
                    <pic:cNvPicPr/>
                  </pic:nvPicPr>
                  <pic:blipFill>
                    <a:blip r:embed="rId7"/>
                    <a:stretch>
                      <a:fillRect/>
                    </a:stretch>
                  </pic:blipFill>
                  <pic:spPr>
                    <a:xfrm>
                      <a:off x="0" y="0"/>
                      <a:ext cx="5070052" cy="4283002"/>
                    </a:xfrm>
                    <a:prstGeom prst="rect">
                      <a:avLst/>
                    </a:prstGeom>
                  </pic:spPr>
                </pic:pic>
              </a:graphicData>
            </a:graphic>
          </wp:inline>
        </w:drawing>
      </w:r>
    </w:p>
    <w:p w14:paraId="39D5D562" w14:textId="77777777" w:rsidR="004C2D8A" w:rsidRDefault="004C2D8A" w:rsidP="0039759D">
      <w:pPr>
        <w:pStyle w:val="NoSpacing"/>
      </w:pPr>
    </w:p>
    <w:p w14:paraId="3A617CFC" w14:textId="4FA80B28" w:rsidR="0024334A" w:rsidRDefault="0038449F" w:rsidP="0039759D">
      <w:pPr>
        <w:pStyle w:val="NoSpacing"/>
        <w:rPr>
          <w:b/>
        </w:rPr>
      </w:pPr>
      <w:r>
        <w:rPr>
          <w:b/>
        </w:rPr>
        <w:t>Assessing plans and providing feedback</w:t>
      </w:r>
    </w:p>
    <w:p w14:paraId="567DF536" w14:textId="77777777" w:rsidR="001B410A" w:rsidRPr="0024334A" w:rsidRDefault="001B410A" w:rsidP="0039759D">
      <w:pPr>
        <w:pStyle w:val="NoSpacing"/>
        <w:rPr>
          <w:b/>
        </w:rPr>
      </w:pPr>
    </w:p>
    <w:p w14:paraId="49049E4C" w14:textId="3FD06D9E" w:rsidR="0024334A" w:rsidRPr="0024334A" w:rsidRDefault="0024334A" w:rsidP="0039759D">
      <w:pPr>
        <w:pStyle w:val="NoSpacing"/>
        <w:rPr>
          <w:b/>
        </w:rPr>
      </w:pPr>
      <w:r w:rsidRPr="0024334A">
        <w:rPr>
          <w:b/>
        </w:rPr>
        <w:t>Plan Alternatives:</w:t>
      </w:r>
    </w:p>
    <w:p w14:paraId="51399FC7" w14:textId="77777777" w:rsidR="0024334A" w:rsidRPr="0024334A" w:rsidRDefault="0024334A" w:rsidP="0039759D">
      <w:pPr>
        <w:pStyle w:val="NoSpacing"/>
        <w:rPr>
          <w:b/>
        </w:rPr>
      </w:pPr>
      <w:r w:rsidRPr="0024334A">
        <w:rPr>
          <w:b/>
        </w:rPr>
        <w:t>1. Open Access Plan:</w:t>
      </w:r>
    </w:p>
    <w:p w14:paraId="2AB36ACA" w14:textId="77777777" w:rsidR="0024334A" w:rsidRPr="0038449F" w:rsidRDefault="0024334A" w:rsidP="0039759D">
      <w:pPr>
        <w:pStyle w:val="NoSpacing"/>
        <w:rPr>
          <w:bCs/>
        </w:rPr>
      </w:pPr>
      <w:r w:rsidRPr="0038449F">
        <w:rPr>
          <w:bCs/>
        </w:rPr>
        <w:t xml:space="preserve">   - Total Annual Premium Cost: $26,340</w:t>
      </w:r>
    </w:p>
    <w:p w14:paraId="40148486" w14:textId="77777777" w:rsidR="0024334A" w:rsidRPr="0038449F" w:rsidRDefault="0024334A" w:rsidP="0039759D">
      <w:pPr>
        <w:pStyle w:val="NoSpacing"/>
        <w:rPr>
          <w:bCs/>
        </w:rPr>
      </w:pPr>
      <w:r w:rsidRPr="0038449F">
        <w:rPr>
          <w:bCs/>
        </w:rPr>
        <w:t xml:space="preserve">   - Annual Premium Cost (% of pre-tax income with employer subsidy): 8.7%</w:t>
      </w:r>
    </w:p>
    <w:p w14:paraId="6E2CEAE8" w14:textId="77777777" w:rsidR="0024334A" w:rsidRPr="0038449F" w:rsidRDefault="0024334A" w:rsidP="0039759D">
      <w:pPr>
        <w:pStyle w:val="NoSpacing"/>
        <w:rPr>
          <w:bCs/>
        </w:rPr>
      </w:pPr>
      <w:r w:rsidRPr="0038449F">
        <w:rPr>
          <w:bCs/>
        </w:rPr>
        <w:t xml:space="preserve">   - Estimated Out-of-Pocket Health Care Costs: $6,000</w:t>
      </w:r>
    </w:p>
    <w:p w14:paraId="4C3CCB81" w14:textId="77777777" w:rsidR="0024334A" w:rsidRPr="0038449F" w:rsidRDefault="0024334A" w:rsidP="0039759D">
      <w:pPr>
        <w:pStyle w:val="NoSpacing"/>
        <w:rPr>
          <w:bCs/>
        </w:rPr>
      </w:pPr>
      <w:r w:rsidRPr="0038449F">
        <w:rPr>
          <w:bCs/>
        </w:rPr>
        <w:lastRenderedPageBreak/>
        <w:t xml:space="preserve">   - Total Annual Out-of-Pocket Costs: $32,340</w:t>
      </w:r>
    </w:p>
    <w:p w14:paraId="5357EC34" w14:textId="77777777" w:rsidR="0024334A" w:rsidRPr="0038449F" w:rsidRDefault="0024334A" w:rsidP="0039759D">
      <w:pPr>
        <w:pStyle w:val="NoSpacing"/>
        <w:rPr>
          <w:bCs/>
        </w:rPr>
      </w:pPr>
      <w:r w:rsidRPr="0038449F">
        <w:rPr>
          <w:bCs/>
        </w:rPr>
        <w:t xml:space="preserve">   - Total Annual Out-of-Pocket Costs (% of pre-tax income): 29.4%</w:t>
      </w:r>
    </w:p>
    <w:p w14:paraId="6F0D66A5" w14:textId="77777777" w:rsidR="0024334A" w:rsidRPr="0038449F" w:rsidRDefault="0024334A" w:rsidP="0039759D">
      <w:pPr>
        <w:pStyle w:val="NoSpacing"/>
        <w:rPr>
          <w:bCs/>
        </w:rPr>
      </w:pPr>
    </w:p>
    <w:p w14:paraId="7027CD63" w14:textId="77777777" w:rsidR="0024334A" w:rsidRPr="0024334A" w:rsidRDefault="0024334A" w:rsidP="0039759D">
      <w:pPr>
        <w:pStyle w:val="NoSpacing"/>
        <w:rPr>
          <w:b/>
        </w:rPr>
      </w:pPr>
      <w:r w:rsidRPr="0024334A">
        <w:rPr>
          <w:b/>
        </w:rPr>
        <w:t>2. Preferred Provider Plan:</w:t>
      </w:r>
    </w:p>
    <w:p w14:paraId="41FF3C23" w14:textId="77777777" w:rsidR="0024334A" w:rsidRPr="0039759D" w:rsidRDefault="0024334A" w:rsidP="0039759D">
      <w:pPr>
        <w:pStyle w:val="NoSpacing"/>
        <w:rPr>
          <w:bCs/>
        </w:rPr>
      </w:pPr>
      <w:r w:rsidRPr="0039759D">
        <w:rPr>
          <w:bCs/>
        </w:rPr>
        <w:t xml:space="preserve">   - Total Annual Premium Cost: $24,480</w:t>
      </w:r>
    </w:p>
    <w:p w14:paraId="77B2D737" w14:textId="77777777" w:rsidR="0024334A" w:rsidRPr="0039759D" w:rsidRDefault="0024334A" w:rsidP="0039759D">
      <w:pPr>
        <w:pStyle w:val="NoSpacing"/>
        <w:rPr>
          <w:bCs/>
        </w:rPr>
      </w:pPr>
      <w:r w:rsidRPr="0039759D">
        <w:rPr>
          <w:bCs/>
        </w:rPr>
        <w:t xml:space="preserve">   - Annual Premium Cost (% of pre-tax income with employer subsidy): 7.0%</w:t>
      </w:r>
    </w:p>
    <w:p w14:paraId="22F74448" w14:textId="77777777" w:rsidR="0024334A" w:rsidRPr="0039759D" w:rsidRDefault="0024334A" w:rsidP="0039759D">
      <w:pPr>
        <w:pStyle w:val="NoSpacing"/>
        <w:rPr>
          <w:bCs/>
        </w:rPr>
      </w:pPr>
      <w:r w:rsidRPr="0039759D">
        <w:rPr>
          <w:bCs/>
        </w:rPr>
        <w:t xml:space="preserve">   - Estimated Out-of-Pocket Health Care Costs: $4,000</w:t>
      </w:r>
    </w:p>
    <w:p w14:paraId="030335D5" w14:textId="77777777" w:rsidR="0024334A" w:rsidRPr="0039759D" w:rsidRDefault="0024334A" w:rsidP="0039759D">
      <w:pPr>
        <w:pStyle w:val="NoSpacing"/>
        <w:rPr>
          <w:bCs/>
        </w:rPr>
      </w:pPr>
      <w:r w:rsidRPr="0039759D">
        <w:rPr>
          <w:bCs/>
        </w:rPr>
        <w:t xml:space="preserve">   - Total Annual Out-of-Pocket Costs: $28,480</w:t>
      </w:r>
    </w:p>
    <w:p w14:paraId="2D34DE48" w14:textId="77777777" w:rsidR="0024334A" w:rsidRPr="0039759D" w:rsidRDefault="0024334A" w:rsidP="0039759D">
      <w:pPr>
        <w:pStyle w:val="NoSpacing"/>
        <w:rPr>
          <w:bCs/>
        </w:rPr>
      </w:pPr>
      <w:r w:rsidRPr="0039759D">
        <w:rPr>
          <w:bCs/>
        </w:rPr>
        <w:t xml:space="preserve">   - Total Annual Out-of-Pocket Costs (% of pre-tax income): 25.9%</w:t>
      </w:r>
    </w:p>
    <w:p w14:paraId="604048F2" w14:textId="77777777" w:rsidR="0024334A" w:rsidRPr="0024334A" w:rsidRDefault="0024334A" w:rsidP="0039759D">
      <w:pPr>
        <w:pStyle w:val="NoSpacing"/>
        <w:rPr>
          <w:b/>
        </w:rPr>
      </w:pPr>
    </w:p>
    <w:p w14:paraId="1D3B6620" w14:textId="77777777" w:rsidR="0024334A" w:rsidRPr="0024334A" w:rsidRDefault="0024334A" w:rsidP="0039759D">
      <w:pPr>
        <w:pStyle w:val="NoSpacing"/>
        <w:rPr>
          <w:b/>
        </w:rPr>
      </w:pPr>
      <w:r w:rsidRPr="0024334A">
        <w:rPr>
          <w:b/>
        </w:rPr>
        <w:t>3. High Deductible Plan + Health Savings Account:</w:t>
      </w:r>
    </w:p>
    <w:p w14:paraId="0AC996EB" w14:textId="77777777" w:rsidR="0024334A" w:rsidRPr="0039759D" w:rsidRDefault="0024334A" w:rsidP="0039759D">
      <w:pPr>
        <w:pStyle w:val="NoSpacing"/>
        <w:rPr>
          <w:bCs/>
        </w:rPr>
      </w:pPr>
      <w:r w:rsidRPr="0024334A">
        <w:rPr>
          <w:b/>
        </w:rPr>
        <w:t xml:space="preserve">   </w:t>
      </w:r>
      <w:r w:rsidRPr="0039759D">
        <w:rPr>
          <w:bCs/>
        </w:rPr>
        <w:t>- Total Annual Premium Cost: $6,000</w:t>
      </w:r>
    </w:p>
    <w:p w14:paraId="72AF7F2C" w14:textId="77777777" w:rsidR="0024334A" w:rsidRPr="0039759D" w:rsidRDefault="0024334A" w:rsidP="0039759D">
      <w:pPr>
        <w:pStyle w:val="NoSpacing"/>
        <w:rPr>
          <w:bCs/>
        </w:rPr>
      </w:pPr>
      <w:r w:rsidRPr="0039759D">
        <w:rPr>
          <w:bCs/>
        </w:rPr>
        <w:t xml:space="preserve">   - Annual Premium Cost (% of pre-tax income with employer subsidy): 0%</w:t>
      </w:r>
    </w:p>
    <w:p w14:paraId="51AEB7F7" w14:textId="77777777" w:rsidR="0024334A" w:rsidRPr="0039759D" w:rsidRDefault="0024334A" w:rsidP="0039759D">
      <w:pPr>
        <w:pStyle w:val="NoSpacing"/>
        <w:rPr>
          <w:bCs/>
        </w:rPr>
      </w:pPr>
      <w:r w:rsidRPr="0039759D">
        <w:rPr>
          <w:bCs/>
        </w:rPr>
        <w:t xml:space="preserve">   - Estimated Out-of-Pocket Health Care Costs: $6,500 (or $5,500 if HSA is used in its entirety)</w:t>
      </w:r>
    </w:p>
    <w:p w14:paraId="36D457AC" w14:textId="77777777" w:rsidR="0024334A" w:rsidRPr="0039759D" w:rsidRDefault="0024334A" w:rsidP="0039759D">
      <w:pPr>
        <w:pStyle w:val="NoSpacing"/>
        <w:rPr>
          <w:bCs/>
        </w:rPr>
      </w:pPr>
      <w:r w:rsidRPr="0039759D">
        <w:rPr>
          <w:bCs/>
        </w:rPr>
        <w:t xml:space="preserve">   - Total Annual Out-of-Pocket Costs: $6,500 (or $5,500 if HSA is used in its entirety)</w:t>
      </w:r>
    </w:p>
    <w:p w14:paraId="0B342C44" w14:textId="77777777" w:rsidR="0024334A" w:rsidRPr="0039759D" w:rsidRDefault="0024334A" w:rsidP="0039759D">
      <w:pPr>
        <w:pStyle w:val="NoSpacing"/>
        <w:rPr>
          <w:bCs/>
        </w:rPr>
      </w:pPr>
      <w:r w:rsidRPr="0039759D">
        <w:rPr>
          <w:bCs/>
        </w:rPr>
        <w:t xml:space="preserve">   - Total Annual Out-of-Pocket Costs (% of pre-tax income): 5.9% (or 5% if HSA is used in its entirety)</w:t>
      </w:r>
    </w:p>
    <w:p w14:paraId="6B92EAD1" w14:textId="77777777" w:rsidR="0024334A" w:rsidRPr="0024334A" w:rsidRDefault="0024334A" w:rsidP="0039759D">
      <w:pPr>
        <w:pStyle w:val="NoSpacing"/>
        <w:rPr>
          <w:b/>
        </w:rPr>
      </w:pPr>
    </w:p>
    <w:p w14:paraId="7E474404" w14:textId="1B945C8E" w:rsidR="0024334A" w:rsidRPr="0024334A" w:rsidRDefault="0024334A" w:rsidP="0039759D">
      <w:pPr>
        <w:pStyle w:val="NoSpacing"/>
        <w:rPr>
          <w:b/>
        </w:rPr>
      </w:pPr>
      <w:r w:rsidRPr="0024334A">
        <w:rPr>
          <w:b/>
        </w:rPr>
        <w:t>Assumptions about Health Care Needs:</w:t>
      </w:r>
    </w:p>
    <w:p w14:paraId="0F094378" w14:textId="77777777" w:rsidR="0024334A" w:rsidRPr="0039759D" w:rsidRDefault="0024334A" w:rsidP="0039759D">
      <w:pPr>
        <w:pStyle w:val="NoSpacing"/>
        <w:rPr>
          <w:bCs/>
        </w:rPr>
      </w:pPr>
      <w:r w:rsidRPr="0039759D">
        <w:rPr>
          <w:bCs/>
        </w:rPr>
        <w:t>- Family includes the primary subscriber, a spouse, and two children.</w:t>
      </w:r>
    </w:p>
    <w:p w14:paraId="716E095D" w14:textId="77777777" w:rsidR="0024334A" w:rsidRPr="0039759D" w:rsidRDefault="0024334A" w:rsidP="0039759D">
      <w:pPr>
        <w:pStyle w:val="NoSpacing"/>
        <w:rPr>
          <w:bCs/>
        </w:rPr>
      </w:pPr>
      <w:r w:rsidRPr="0039759D">
        <w:rPr>
          <w:bCs/>
        </w:rPr>
        <w:t>- Family income: $110,000/year with the spouse not employed.</w:t>
      </w:r>
    </w:p>
    <w:p w14:paraId="256A2C86" w14:textId="77777777" w:rsidR="0024334A" w:rsidRPr="0039759D" w:rsidRDefault="0024334A" w:rsidP="0039759D">
      <w:pPr>
        <w:pStyle w:val="NoSpacing"/>
        <w:rPr>
          <w:bCs/>
        </w:rPr>
      </w:pPr>
      <w:r w:rsidRPr="0039759D">
        <w:rPr>
          <w:bCs/>
        </w:rPr>
        <w:t>- One child has higher medical expenses than average, including higher care and medication costs with frequent specialist visits.</w:t>
      </w:r>
    </w:p>
    <w:p w14:paraId="753ACE58" w14:textId="77777777" w:rsidR="0024334A" w:rsidRPr="0039759D" w:rsidRDefault="0024334A" w:rsidP="0039759D">
      <w:pPr>
        <w:pStyle w:val="NoSpacing"/>
        <w:rPr>
          <w:bCs/>
        </w:rPr>
      </w:pPr>
      <w:r w:rsidRPr="0039759D">
        <w:rPr>
          <w:bCs/>
        </w:rPr>
        <w:t>- Deductible for any plan selected will be met due to high medical costs of at least $15,000 per year.</w:t>
      </w:r>
    </w:p>
    <w:p w14:paraId="6C0AF29D" w14:textId="77777777" w:rsidR="0024334A" w:rsidRPr="0039759D" w:rsidRDefault="0024334A" w:rsidP="0039759D">
      <w:pPr>
        <w:pStyle w:val="NoSpacing"/>
        <w:rPr>
          <w:bCs/>
        </w:rPr>
      </w:pPr>
      <w:r w:rsidRPr="0039759D">
        <w:rPr>
          <w:bCs/>
        </w:rPr>
        <w:t>- Other family members are relatively healthy but require preventive medical care.</w:t>
      </w:r>
    </w:p>
    <w:p w14:paraId="7B0A598F" w14:textId="77777777" w:rsidR="0024334A" w:rsidRPr="0039759D" w:rsidRDefault="0024334A" w:rsidP="0039759D">
      <w:pPr>
        <w:pStyle w:val="NoSpacing"/>
        <w:rPr>
          <w:bCs/>
        </w:rPr>
      </w:pPr>
      <w:r w:rsidRPr="0039759D">
        <w:rPr>
          <w:bCs/>
        </w:rPr>
        <w:t>- Primary subscriber's job is secure throughout the year.</w:t>
      </w:r>
    </w:p>
    <w:p w14:paraId="571AABC6" w14:textId="78A3D0CA" w:rsidR="0024334A" w:rsidRPr="0024334A" w:rsidRDefault="0024334A" w:rsidP="0039759D">
      <w:pPr>
        <w:pStyle w:val="NoSpacing"/>
        <w:rPr>
          <w:b/>
        </w:rPr>
      </w:pPr>
      <w:r w:rsidRPr="0039759D">
        <w:rPr>
          <w:bCs/>
        </w:rPr>
        <w:t>- Child's cystic fibrosis specialist is in-networ</w:t>
      </w:r>
      <w:r w:rsidR="0039759D">
        <w:rPr>
          <w:bCs/>
        </w:rPr>
        <w:t>k.</w:t>
      </w:r>
    </w:p>
    <w:p w14:paraId="353CA944" w14:textId="77777777" w:rsidR="0024334A" w:rsidRPr="0024334A" w:rsidRDefault="0024334A" w:rsidP="0039759D">
      <w:pPr>
        <w:pStyle w:val="NoSpacing"/>
        <w:rPr>
          <w:b/>
        </w:rPr>
      </w:pPr>
    </w:p>
    <w:p w14:paraId="7336637A" w14:textId="397826B1" w:rsidR="0024334A" w:rsidRPr="0024334A" w:rsidRDefault="0024334A" w:rsidP="0039759D">
      <w:pPr>
        <w:pStyle w:val="NoSpacing"/>
        <w:rPr>
          <w:b/>
        </w:rPr>
      </w:pPr>
      <w:r w:rsidRPr="0024334A">
        <w:rPr>
          <w:b/>
        </w:rPr>
        <w:t>Estimated Out-of-Pocket Costs for Health Care Services (Assuming the Child's Specialist is In-Network):</w:t>
      </w:r>
    </w:p>
    <w:p w14:paraId="08932DFE" w14:textId="77777777" w:rsidR="0024334A" w:rsidRPr="0039759D" w:rsidRDefault="0024334A" w:rsidP="0039759D">
      <w:pPr>
        <w:pStyle w:val="NoSpacing"/>
        <w:rPr>
          <w:bCs/>
        </w:rPr>
      </w:pPr>
      <w:r w:rsidRPr="0039759D">
        <w:rPr>
          <w:bCs/>
        </w:rPr>
        <w:t>- Open Access Plan: $6,000</w:t>
      </w:r>
    </w:p>
    <w:p w14:paraId="115827B1" w14:textId="77777777" w:rsidR="0024334A" w:rsidRPr="0039759D" w:rsidRDefault="0024334A" w:rsidP="0039759D">
      <w:pPr>
        <w:pStyle w:val="NoSpacing"/>
        <w:rPr>
          <w:bCs/>
        </w:rPr>
      </w:pPr>
      <w:r w:rsidRPr="0039759D">
        <w:rPr>
          <w:bCs/>
        </w:rPr>
        <w:t>- Preferred Provider Plan: $4,000</w:t>
      </w:r>
    </w:p>
    <w:p w14:paraId="7DF77089" w14:textId="77777777" w:rsidR="0024334A" w:rsidRPr="0039759D" w:rsidRDefault="0024334A" w:rsidP="0039759D">
      <w:pPr>
        <w:pStyle w:val="NoSpacing"/>
        <w:rPr>
          <w:bCs/>
        </w:rPr>
      </w:pPr>
      <w:r w:rsidRPr="0039759D">
        <w:rPr>
          <w:bCs/>
        </w:rPr>
        <w:t>- High Deductible Plan + Health Savings Account: $6,500 (or $5,500 if HSA is used in its entirety)</w:t>
      </w:r>
    </w:p>
    <w:p w14:paraId="18A543AA" w14:textId="77777777" w:rsidR="0024334A" w:rsidRPr="0039759D" w:rsidRDefault="0024334A" w:rsidP="0039759D">
      <w:pPr>
        <w:pStyle w:val="NoSpacing"/>
        <w:rPr>
          <w:bCs/>
        </w:rPr>
      </w:pPr>
    </w:p>
    <w:p w14:paraId="17218908" w14:textId="44749D25" w:rsidR="0024334A" w:rsidRPr="0024334A" w:rsidRDefault="0024334A" w:rsidP="0039759D">
      <w:pPr>
        <w:pStyle w:val="NoSpacing"/>
        <w:rPr>
          <w:b/>
        </w:rPr>
      </w:pPr>
      <w:r w:rsidRPr="0024334A">
        <w:rPr>
          <w:b/>
        </w:rPr>
        <w:t>Total Annual Out-of-Pocket Costs Per Plan (Including Premiums and Health Care Costs):</w:t>
      </w:r>
    </w:p>
    <w:p w14:paraId="7C92BB30" w14:textId="77777777" w:rsidR="0024334A" w:rsidRPr="0039759D" w:rsidRDefault="0024334A" w:rsidP="0039759D">
      <w:pPr>
        <w:pStyle w:val="NoSpacing"/>
        <w:rPr>
          <w:bCs/>
        </w:rPr>
      </w:pPr>
      <w:r w:rsidRPr="0039759D">
        <w:rPr>
          <w:bCs/>
        </w:rPr>
        <w:t>- Open Access Plan: $32,340</w:t>
      </w:r>
    </w:p>
    <w:p w14:paraId="242424FD" w14:textId="77777777" w:rsidR="0024334A" w:rsidRPr="0039759D" w:rsidRDefault="0024334A" w:rsidP="0039759D">
      <w:pPr>
        <w:pStyle w:val="NoSpacing"/>
        <w:rPr>
          <w:bCs/>
        </w:rPr>
      </w:pPr>
      <w:r w:rsidRPr="0039759D">
        <w:rPr>
          <w:bCs/>
        </w:rPr>
        <w:t>- Preferred Provider Plan: $28,480</w:t>
      </w:r>
    </w:p>
    <w:p w14:paraId="19ABBDD4" w14:textId="77777777" w:rsidR="0024334A" w:rsidRPr="0039759D" w:rsidRDefault="0024334A" w:rsidP="0039759D">
      <w:pPr>
        <w:pStyle w:val="NoSpacing"/>
        <w:rPr>
          <w:bCs/>
        </w:rPr>
      </w:pPr>
      <w:r w:rsidRPr="0039759D">
        <w:rPr>
          <w:bCs/>
        </w:rPr>
        <w:t>- High Deductible Plan + Health Savings Account: $6,500 (or $5,500 if HSA is used in its entirety)</w:t>
      </w:r>
    </w:p>
    <w:p w14:paraId="6C9E1F2B" w14:textId="77777777" w:rsidR="0024334A" w:rsidRPr="0039759D" w:rsidRDefault="0024334A" w:rsidP="0039759D">
      <w:pPr>
        <w:pStyle w:val="NoSpacing"/>
        <w:rPr>
          <w:bCs/>
        </w:rPr>
      </w:pPr>
    </w:p>
    <w:p w14:paraId="091E9475" w14:textId="062C1395" w:rsidR="0024334A" w:rsidRPr="0024334A" w:rsidRDefault="0024334A" w:rsidP="0039759D">
      <w:pPr>
        <w:pStyle w:val="NoSpacing"/>
        <w:rPr>
          <w:b/>
        </w:rPr>
      </w:pPr>
      <w:r w:rsidRPr="0024334A">
        <w:rPr>
          <w:b/>
        </w:rPr>
        <w:t>Total Annual Out-of-Pocket Costs as a Percentage of Pre-Tax Income:</w:t>
      </w:r>
    </w:p>
    <w:p w14:paraId="75320C44" w14:textId="77777777" w:rsidR="0024334A" w:rsidRPr="0039759D" w:rsidRDefault="0024334A" w:rsidP="0039759D">
      <w:pPr>
        <w:pStyle w:val="NoSpacing"/>
        <w:rPr>
          <w:bCs/>
        </w:rPr>
      </w:pPr>
      <w:r w:rsidRPr="0039759D">
        <w:rPr>
          <w:bCs/>
        </w:rPr>
        <w:t>- Open Access Plan: 29.4%</w:t>
      </w:r>
    </w:p>
    <w:p w14:paraId="1C0D7CA6" w14:textId="77777777" w:rsidR="0024334A" w:rsidRPr="0039759D" w:rsidRDefault="0024334A" w:rsidP="0039759D">
      <w:pPr>
        <w:pStyle w:val="NoSpacing"/>
        <w:rPr>
          <w:bCs/>
        </w:rPr>
      </w:pPr>
      <w:r w:rsidRPr="0039759D">
        <w:rPr>
          <w:bCs/>
        </w:rPr>
        <w:t>- Preferred Provider Plan: 25.9%</w:t>
      </w:r>
    </w:p>
    <w:p w14:paraId="4C73AE2B" w14:textId="77777777" w:rsidR="0024334A" w:rsidRPr="0039759D" w:rsidRDefault="0024334A" w:rsidP="0039759D">
      <w:pPr>
        <w:pStyle w:val="NoSpacing"/>
        <w:rPr>
          <w:bCs/>
        </w:rPr>
      </w:pPr>
      <w:r w:rsidRPr="0039759D">
        <w:rPr>
          <w:bCs/>
        </w:rPr>
        <w:t>- High Deductible Plan + Health Savings Account: 5.9% (or 5% if HSA is used in its entirety)</w:t>
      </w:r>
    </w:p>
    <w:p w14:paraId="0CED7480" w14:textId="77777777" w:rsidR="0024334A" w:rsidRPr="0039759D" w:rsidRDefault="0024334A" w:rsidP="0039759D">
      <w:pPr>
        <w:pStyle w:val="NoSpacing"/>
        <w:rPr>
          <w:bCs/>
        </w:rPr>
      </w:pPr>
    </w:p>
    <w:p w14:paraId="75FB663B" w14:textId="0C9B13EA" w:rsidR="00570726" w:rsidRDefault="0024334A" w:rsidP="0039759D">
      <w:pPr>
        <w:pStyle w:val="NoSpacing"/>
        <w:rPr>
          <w:bCs/>
        </w:rPr>
      </w:pPr>
      <w:r w:rsidRPr="0039759D">
        <w:rPr>
          <w:bCs/>
        </w:rPr>
        <w:t xml:space="preserve">These calculations provide an overview of the potential costs for each health insurance plan, taking into account premium costs, out-of-pocket health care costs, and their percentage of the family's pre-tax income, based on the given assumptions. The High Deductible Plan with an HSA appears to have the lowest overall cost as a percentage of income, but it also comes with </w:t>
      </w:r>
      <w:r w:rsidRPr="0039759D">
        <w:rPr>
          <w:bCs/>
        </w:rPr>
        <w:lastRenderedPageBreak/>
        <w:t>a higher potential out-of-pocket expense if the HSA is not utilized fully. The choice of plan should consider both cost and risk tolerance.</w:t>
      </w:r>
    </w:p>
    <w:p w14:paraId="37AF0870" w14:textId="77777777" w:rsidR="001B410A" w:rsidRPr="0039759D" w:rsidRDefault="001B410A" w:rsidP="0039759D">
      <w:pPr>
        <w:pStyle w:val="NoSpacing"/>
        <w:rPr>
          <w:bCs/>
        </w:rPr>
      </w:pPr>
    </w:p>
    <w:tbl>
      <w:tblPr>
        <w:tblStyle w:val="a"/>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160"/>
        <w:gridCol w:w="2340"/>
        <w:gridCol w:w="2625"/>
      </w:tblGrid>
      <w:tr w:rsidR="00570726" w14:paraId="75FB6640" w14:textId="77777777">
        <w:tc>
          <w:tcPr>
            <w:tcW w:w="2520" w:type="dxa"/>
            <w:shd w:val="clear" w:color="auto" w:fill="auto"/>
            <w:tcMar>
              <w:top w:w="100" w:type="dxa"/>
              <w:left w:w="100" w:type="dxa"/>
              <w:bottom w:w="100" w:type="dxa"/>
              <w:right w:w="100" w:type="dxa"/>
            </w:tcMar>
          </w:tcPr>
          <w:p w14:paraId="75FB663C" w14:textId="77777777" w:rsidR="00570726" w:rsidRDefault="00570726" w:rsidP="0039759D">
            <w:pPr>
              <w:pStyle w:val="NoSpacing"/>
            </w:pPr>
          </w:p>
        </w:tc>
        <w:tc>
          <w:tcPr>
            <w:tcW w:w="2160" w:type="dxa"/>
            <w:shd w:val="clear" w:color="auto" w:fill="auto"/>
            <w:tcMar>
              <w:top w:w="100" w:type="dxa"/>
              <w:left w:w="100" w:type="dxa"/>
              <w:bottom w:w="100" w:type="dxa"/>
              <w:right w:w="100" w:type="dxa"/>
            </w:tcMar>
          </w:tcPr>
          <w:p w14:paraId="75FB663D" w14:textId="77777777" w:rsidR="00570726" w:rsidRDefault="00683E25" w:rsidP="0039759D">
            <w:pPr>
              <w:pStyle w:val="NoSpacing"/>
            </w:pPr>
            <w:r>
              <w:t>Open Access Plan</w:t>
            </w:r>
          </w:p>
        </w:tc>
        <w:tc>
          <w:tcPr>
            <w:tcW w:w="2340" w:type="dxa"/>
            <w:shd w:val="clear" w:color="auto" w:fill="auto"/>
            <w:tcMar>
              <w:top w:w="100" w:type="dxa"/>
              <w:left w:w="100" w:type="dxa"/>
              <w:bottom w:w="100" w:type="dxa"/>
              <w:right w:w="100" w:type="dxa"/>
            </w:tcMar>
          </w:tcPr>
          <w:p w14:paraId="75FB663E" w14:textId="77777777" w:rsidR="00570726" w:rsidRDefault="00683E25" w:rsidP="0039759D">
            <w:pPr>
              <w:pStyle w:val="NoSpacing"/>
            </w:pPr>
            <w:r>
              <w:t>Preferred Provider Plan</w:t>
            </w:r>
          </w:p>
        </w:tc>
        <w:tc>
          <w:tcPr>
            <w:tcW w:w="2625" w:type="dxa"/>
            <w:shd w:val="clear" w:color="auto" w:fill="auto"/>
            <w:tcMar>
              <w:top w:w="100" w:type="dxa"/>
              <w:left w:w="100" w:type="dxa"/>
              <w:bottom w:w="100" w:type="dxa"/>
              <w:right w:w="100" w:type="dxa"/>
            </w:tcMar>
          </w:tcPr>
          <w:p w14:paraId="75FB663F" w14:textId="77777777" w:rsidR="00570726" w:rsidRDefault="00683E25" w:rsidP="0039759D">
            <w:pPr>
              <w:pStyle w:val="NoSpacing"/>
            </w:pPr>
            <w:r>
              <w:t xml:space="preserve">High Deductible Plan + Health Savings Account </w:t>
            </w:r>
          </w:p>
        </w:tc>
      </w:tr>
      <w:tr w:rsidR="00570726" w14:paraId="75FB6646" w14:textId="77777777">
        <w:tc>
          <w:tcPr>
            <w:tcW w:w="2520" w:type="dxa"/>
            <w:shd w:val="clear" w:color="auto" w:fill="auto"/>
            <w:tcMar>
              <w:top w:w="100" w:type="dxa"/>
              <w:left w:w="100" w:type="dxa"/>
              <w:bottom w:w="100" w:type="dxa"/>
              <w:right w:w="100" w:type="dxa"/>
            </w:tcMar>
          </w:tcPr>
          <w:p w14:paraId="75FB6641" w14:textId="77777777" w:rsidR="00570726" w:rsidRDefault="00683E25" w:rsidP="0039759D">
            <w:pPr>
              <w:pStyle w:val="NoSpacing"/>
            </w:pPr>
            <w:r>
              <w:t>Total Annual Premium</w:t>
            </w:r>
          </w:p>
          <w:p w14:paraId="75FB6642" w14:textId="77777777" w:rsidR="00570726" w:rsidRDefault="00683E25" w:rsidP="0039759D">
            <w:pPr>
              <w:pStyle w:val="NoSpacing"/>
            </w:pPr>
            <w:r>
              <w:t xml:space="preserve">(with employer subsidy) </w:t>
            </w:r>
          </w:p>
        </w:tc>
        <w:tc>
          <w:tcPr>
            <w:tcW w:w="2160" w:type="dxa"/>
            <w:shd w:val="clear" w:color="auto" w:fill="auto"/>
            <w:tcMar>
              <w:top w:w="100" w:type="dxa"/>
              <w:left w:w="100" w:type="dxa"/>
              <w:bottom w:w="100" w:type="dxa"/>
              <w:right w:w="100" w:type="dxa"/>
            </w:tcMar>
          </w:tcPr>
          <w:p w14:paraId="75FB6643" w14:textId="77777777" w:rsidR="00570726" w:rsidRDefault="00683E25" w:rsidP="0039759D">
            <w:pPr>
              <w:pStyle w:val="NoSpacing"/>
            </w:pPr>
            <w:r>
              <w:t>$9,600</w:t>
            </w:r>
          </w:p>
        </w:tc>
        <w:tc>
          <w:tcPr>
            <w:tcW w:w="2340" w:type="dxa"/>
            <w:shd w:val="clear" w:color="auto" w:fill="auto"/>
            <w:tcMar>
              <w:top w:w="100" w:type="dxa"/>
              <w:left w:w="100" w:type="dxa"/>
              <w:bottom w:w="100" w:type="dxa"/>
              <w:right w:w="100" w:type="dxa"/>
            </w:tcMar>
          </w:tcPr>
          <w:p w14:paraId="75FB6644" w14:textId="77777777" w:rsidR="00570726" w:rsidRDefault="00683E25" w:rsidP="0039759D">
            <w:pPr>
              <w:pStyle w:val="NoSpacing"/>
            </w:pPr>
            <w:r>
              <w:t>$7,740</w:t>
            </w:r>
          </w:p>
        </w:tc>
        <w:tc>
          <w:tcPr>
            <w:tcW w:w="2625" w:type="dxa"/>
            <w:shd w:val="clear" w:color="auto" w:fill="auto"/>
            <w:tcMar>
              <w:top w:w="100" w:type="dxa"/>
              <w:left w:w="100" w:type="dxa"/>
              <w:bottom w:w="100" w:type="dxa"/>
              <w:right w:w="100" w:type="dxa"/>
            </w:tcMar>
          </w:tcPr>
          <w:p w14:paraId="75FB6645" w14:textId="77777777" w:rsidR="00570726" w:rsidRDefault="00683E25" w:rsidP="0039759D">
            <w:pPr>
              <w:pStyle w:val="NoSpacing"/>
            </w:pPr>
            <w:r>
              <w:t>$0</w:t>
            </w:r>
          </w:p>
        </w:tc>
      </w:tr>
      <w:tr w:rsidR="00570726" w14:paraId="75FB664B" w14:textId="77777777">
        <w:tc>
          <w:tcPr>
            <w:tcW w:w="2520" w:type="dxa"/>
            <w:shd w:val="clear" w:color="auto" w:fill="auto"/>
            <w:tcMar>
              <w:top w:w="100" w:type="dxa"/>
              <w:left w:w="100" w:type="dxa"/>
              <w:bottom w:w="100" w:type="dxa"/>
              <w:right w:w="100" w:type="dxa"/>
            </w:tcMar>
          </w:tcPr>
          <w:p w14:paraId="75FB6647" w14:textId="77777777" w:rsidR="00570726" w:rsidRDefault="00683E25" w:rsidP="0039759D">
            <w:pPr>
              <w:pStyle w:val="NoSpacing"/>
            </w:pPr>
            <w:r>
              <w:t xml:space="preserve">Annual premium as percentage of total pre-tax income </w:t>
            </w:r>
          </w:p>
        </w:tc>
        <w:tc>
          <w:tcPr>
            <w:tcW w:w="2160" w:type="dxa"/>
            <w:shd w:val="clear" w:color="auto" w:fill="auto"/>
            <w:tcMar>
              <w:top w:w="100" w:type="dxa"/>
              <w:left w:w="100" w:type="dxa"/>
              <w:bottom w:w="100" w:type="dxa"/>
              <w:right w:w="100" w:type="dxa"/>
            </w:tcMar>
          </w:tcPr>
          <w:p w14:paraId="75FB6648" w14:textId="77777777" w:rsidR="00570726" w:rsidRDefault="00683E25" w:rsidP="0039759D">
            <w:pPr>
              <w:pStyle w:val="NoSpacing"/>
            </w:pPr>
            <w:r>
              <w:t>8.7%</w:t>
            </w:r>
          </w:p>
        </w:tc>
        <w:tc>
          <w:tcPr>
            <w:tcW w:w="2340" w:type="dxa"/>
            <w:shd w:val="clear" w:color="auto" w:fill="auto"/>
            <w:tcMar>
              <w:top w:w="100" w:type="dxa"/>
              <w:left w:w="100" w:type="dxa"/>
              <w:bottom w:w="100" w:type="dxa"/>
              <w:right w:w="100" w:type="dxa"/>
            </w:tcMar>
          </w:tcPr>
          <w:p w14:paraId="75FB6649" w14:textId="77777777" w:rsidR="00570726" w:rsidRDefault="00683E25" w:rsidP="0039759D">
            <w:pPr>
              <w:pStyle w:val="NoSpacing"/>
            </w:pPr>
            <w:r>
              <w:t>7.0%</w:t>
            </w:r>
          </w:p>
        </w:tc>
        <w:tc>
          <w:tcPr>
            <w:tcW w:w="2625" w:type="dxa"/>
            <w:shd w:val="clear" w:color="auto" w:fill="auto"/>
            <w:tcMar>
              <w:top w:w="100" w:type="dxa"/>
              <w:left w:w="100" w:type="dxa"/>
              <w:bottom w:w="100" w:type="dxa"/>
              <w:right w:w="100" w:type="dxa"/>
            </w:tcMar>
          </w:tcPr>
          <w:p w14:paraId="75FB664A" w14:textId="77777777" w:rsidR="00570726" w:rsidRDefault="00683E25" w:rsidP="0039759D">
            <w:pPr>
              <w:pStyle w:val="NoSpacing"/>
            </w:pPr>
            <w:r>
              <w:t>0%</w:t>
            </w:r>
          </w:p>
        </w:tc>
      </w:tr>
      <w:tr w:rsidR="00570726" w14:paraId="75FB6654" w14:textId="77777777">
        <w:tc>
          <w:tcPr>
            <w:tcW w:w="2520" w:type="dxa"/>
            <w:shd w:val="clear" w:color="auto" w:fill="auto"/>
            <w:tcMar>
              <w:top w:w="100" w:type="dxa"/>
              <w:left w:w="100" w:type="dxa"/>
              <w:bottom w:w="100" w:type="dxa"/>
              <w:right w:w="100" w:type="dxa"/>
            </w:tcMar>
          </w:tcPr>
          <w:p w14:paraId="75FB664C" w14:textId="77777777" w:rsidR="00570726" w:rsidRDefault="00683E25" w:rsidP="0039759D">
            <w:pPr>
              <w:pStyle w:val="NoSpacing"/>
            </w:pPr>
            <w:r>
              <w:t xml:space="preserve">Estimated out-of-pocket cost </w:t>
            </w:r>
          </w:p>
        </w:tc>
        <w:tc>
          <w:tcPr>
            <w:tcW w:w="2160" w:type="dxa"/>
            <w:shd w:val="clear" w:color="auto" w:fill="auto"/>
            <w:tcMar>
              <w:top w:w="100" w:type="dxa"/>
              <w:left w:w="100" w:type="dxa"/>
              <w:bottom w:w="100" w:type="dxa"/>
              <w:right w:w="100" w:type="dxa"/>
            </w:tcMar>
          </w:tcPr>
          <w:p w14:paraId="75FB664D" w14:textId="77777777" w:rsidR="00570726" w:rsidRDefault="00683E25" w:rsidP="0039759D">
            <w:pPr>
              <w:pStyle w:val="NoSpacing"/>
            </w:pPr>
            <w:r>
              <w:t>$6,000</w:t>
            </w:r>
          </w:p>
        </w:tc>
        <w:tc>
          <w:tcPr>
            <w:tcW w:w="2340" w:type="dxa"/>
            <w:shd w:val="clear" w:color="auto" w:fill="auto"/>
            <w:tcMar>
              <w:top w:w="100" w:type="dxa"/>
              <w:left w:w="100" w:type="dxa"/>
              <w:bottom w:w="100" w:type="dxa"/>
              <w:right w:w="100" w:type="dxa"/>
            </w:tcMar>
          </w:tcPr>
          <w:p w14:paraId="75FB664E" w14:textId="77777777" w:rsidR="00570726" w:rsidRDefault="00683E25" w:rsidP="0039759D">
            <w:pPr>
              <w:pStyle w:val="NoSpacing"/>
            </w:pPr>
            <w:r>
              <w:rPr>
                <w:b/>
              </w:rPr>
              <w:t xml:space="preserve">IN: </w:t>
            </w:r>
            <w:r>
              <w:t xml:space="preserve">$4,000 </w:t>
            </w:r>
          </w:p>
          <w:p w14:paraId="75FB664F" w14:textId="77777777" w:rsidR="00570726" w:rsidRDefault="00683E25" w:rsidP="0039759D">
            <w:pPr>
              <w:pStyle w:val="NoSpacing"/>
            </w:pPr>
            <w:r>
              <w:rPr>
                <w:b/>
              </w:rPr>
              <w:t>OUT</w:t>
            </w:r>
            <w:r>
              <w:t xml:space="preserve">: $6,000 </w:t>
            </w:r>
          </w:p>
        </w:tc>
        <w:tc>
          <w:tcPr>
            <w:tcW w:w="2625" w:type="dxa"/>
            <w:shd w:val="clear" w:color="auto" w:fill="auto"/>
            <w:tcMar>
              <w:top w:w="100" w:type="dxa"/>
              <w:left w:w="100" w:type="dxa"/>
              <w:bottom w:w="100" w:type="dxa"/>
              <w:right w:w="100" w:type="dxa"/>
            </w:tcMar>
          </w:tcPr>
          <w:p w14:paraId="75FB6650" w14:textId="77777777" w:rsidR="00570726" w:rsidRDefault="00683E25" w:rsidP="0039759D">
            <w:pPr>
              <w:pStyle w:val="NoSpacing"/>
            </w:pPr>
            <w:r>
              <w:rPr>
                <w:b/>
              </w:rPr>
              <w:t xml:space="preserve">IN: </w:t>
            </w:r>
            <w:r>
              <w:t>$6,500</w:t>
            </w:r>
          </w:p>
          <w:p w14:paraId="75FB6651" w14:textId="77777777" w:rsidR="00570726" w:rsidRDefault="00683E25" w:rsidP="0039759D">
            <w:pPr>
              <w:pStyle w:val="NoSpacing"/>
            </w:pPr>
            <w:r>
              <w:t>($5,500 if HSA is used in its entirety)</w:t>
            </w:r>
          </w:p>
          <w:p w14:paraId="75FB6652" w14:textId="77777777" w:rsidR="00570726" w:rsidRDefault="00683E25" w:rsidP="0039759D">
            <w:pPr>
              <w:pStyle w:val="NoSpacing"/>
            </w:pPr>
            <w:r>
              <w:rPr>
                <w:b/>
              </w:rPr>
              <w:t xml:space="preserve">OUT: </w:t>
            </w:r>
            <w:r>
              <w:t>$9,500</w:t>
            </w:r>
          </w:p>
          <w:p w14:paraId="75FB6653" w14:textId="77777777" w:rsidR="00570726" w:rsidRDefault="00683E25" w:rsidP="0039759D">
            <w:pPr>
              <w:pStyle w:val="NoSpacing"/>
            </w:pPr>
            <w:r>
              <w:t>($8,500 if HSA is used in its entirety)</w:t>
            </w:r>
          </w:p>
        </w:tc>
      </w:tr>
      <w:tr w:rsidR="00570726" w14:paraId="75FB665D" w14:textId="77777777">
        <w:tc>
          <w:tcPr>
            <w:tcW w:w="2520" w:type="dxa"/>
            <w:shd w:val="clear" w:color="auto" w:fill="auto"/>
            <w:tcMar>
              <w:top w:w="100" w:type="dxa"/>
              <w:left w:w="100" w:type="dxa"/>
              <w:bottom w:w="100" w:type="dxa"/>
              <w:right w:w="100" w:type="dxa"/>
            </w:tcMar>
          </w:tcPr>
          <w:p w14:paraId="75FB6655" w14:textId="77777777" w:rsidR="00570726" w:rsidRDefault="00683E25" w:rsidP="0039759D">
            <w:pPr>
              <w:pStyle w:val="NoSpacing"/>
            </w:pPr>
            <w:r>
              <w:t>Total annual out-of-pocket costs per plan</w:t>
            </w:r>
          </w:p>
        </w:tc>
        <w:tc>
          <w:tcPr>
            <w:tcW w:w="2160" w:type="dxa"/>
            <w:shd w:val="clear" w:color="auto" w:fill="auto"/>
            <w:tcMar>
              <w:top w:w="100" w:type="dxa"/>
              <w:left w:w="100" w:type="dxa"/>
              <w:bottom w:w="100" w:type="dxa"/>
              <w:right w:w="100" w:type="dxa"/>
            </w:tcMar>
          </w:tcPr>
          <w:p w14:paraId="75FB6656" w14:textId="77777777" w:rsidR="00570726" w:rsidRDefault="00683E25" w:rsidP="0039759D">
            <w:pPr>
              <w:pStyle w:val="NoSpacing"/>
            </w:pPr>
            <w:r>
              <w:t>$15,600</w:t>
            </w:r>
          </w:p>
        </w:tc>
        <w:tc>
          <w:tcPr>
            <w:tcW w:w="2340" w:type="dxa"/>
            <w:shd w:val="clear" w:color="auto" w:fill="auto"/>
            <w:tcMar>
              <w:top w:w="100" w:type="dxa"/>
              <w:left w:w="100" w:type="dxa"/>
              <w:bottom w:w="100" w:type="dxa"/>
              <w:right w:w="100" w:type="dxa"/>
            </w:tcMar>
          </w:tcPr>
          <w:p w14:paraId="75FB6657" w14:textId="77777777" w:rsidR="00570726" w:rsidRDefault="00683E25" w:rsidP="0039759D">
            <w:pPr>
              <w:pStyle w:val="NoSpacing"/>
            </w:pPr>
            <w:r>
              <w:rPr>
                <w:b/>
              </w:rPr>
              <w:t>IN:</w:t>
            </w:r>
            <w:r>
              <w:t xml:space="preserve"> $11,740</w:t>
            </w:r>
          </w:p>
          <w:p w14:paraId="75FB6658" w14:textId="77777777" w:rsidR="00570726" w:rsidRDefault="00683E25" w:rsidP="0039759D">
            <w:pPr>
              <w:pStyle w:val="NoSpacing"/>
            </w:pPr>
            <w:r>
              <w:rPr>
                <w:b/>
              </w:rPr>
              <w:t>OUT</w:t>
            </w:r>
            <w:r>
              <w:t>: $13,740</w:t>
            </w:r>
          </w:p>
        </w:tc>
        <w:tc>
          <w:tcPr>
            <w:tcW w:w="2625" w:type="dxa"/>
            <w:shd w:val="clear" w:color="auto" w:fill="auto"/>
            <w:tcMar>
              <w:top w:w="100" w:type="dxa"/>
              <w:left w:w="100" w:type="dxa"/>
              <w:bottom w:w="100" w:type="dxa"/>
              <w:right w:w="100" w:type="dxa"/>
            </w:tcMar>
          </w:tcPr>
          <w:p w14:paraId="75FB6659" w14:textId="77777777" w:rsidR="00570726" w:rsidRDefault="00683E25" w:rsidP="0039759D">
            <w:pPr>
              <w:pStyle w:val="NoSpacing"/>
            </w:pPr>
            <w:r>
              <w:rPr>
                <w:b/>
              </w:rPr>
              <w:t>IN</w:t>
            </w:r>
            <w:r>
              <w:t>: $6,500</w:t>
            </w:r>
          </w:p>
          <w:p w14:paraId="75FB665A" w14:textId="77777777" w:rsidR="00570726" w:rsidRDefault="00683E25" w:rsidP="0039759D">
            <w:pPr>
              <w:pStyle w:val="NoSpacing"/>
            </w:pPr>
            <w:r>
              <w:t>($5,500 if HSA is used in its entirety)</w:t>
            </w:r>
          </w:p>
          <w:p w14:paraId="75FB665B" w14:textId="77777777" w:rsidR="00570726" w:rsidRDefault="00683E25" w:rsidP="0039759D">
            <w:pPr>
              <w:pStyle w:val="NoSpacing"/>
            </w:pPr>
            <w:r>
              <w:rPr>
                <w:b/>
              </w:rPr>
              <w:t>OUT:</w:t>
            </w:r>
            <w:r>
              <w:t xml:space="preserve"> $9,500</w:t>
            </w:r>
          </w:p>
          <w:p w14:paraId="75FB665C" w14:textId="77777777" w:rsidR="00570726" w:rsidRDefault="00683E25" w:rsidP="0039759D">
            <w:pPr>
              <w:pStyle w:val="NoSpacing"/>
            </w:pPr>
            <w:r>
              <w:t>($8,500 if HSA is used in its entirety)</w:t>
            </w:r>
          </w:p>
        </w:tc>
      </w:tr>
      <w:tr w:rsidR="00570726" w14:paraId="75FB6665" w14:textId="77777777">
        <w:trPr>
          <w:trHeight w:val="1369"/>
        </w:trPr>
        <w:tc>
          <w:tcPr>
            <w:tcW w:w="2520" w:type="dxa"/>
            <w:shd w:val="clear" w:color="auto" w:fill="auto"/>
            <w:tcMar>
              <w:top w:w="100" w:type="dxa"/>
              <w:left w:w="100" w:type="dxa"/>
              <w:bottom w:w="100" w:type="dxa"/>
              <w:right w:w="100" w:type="dxa"/>
            </w:tcMar>
          </w:tcPr>
          <w:p w14:paraId="75FB665E" w14:textId="77777777" w:rsidR="00570726" w:rsidRDefault="00683E25" w:rsidP="0039759D">
            <w:pPr>
              <w:pStyle w:val="NoSpacing"/>
            </w:pPr>
            <w:r>
              <w:t xml:space="preserve">Total annual out-of-pocket costs as a percentage of pre-tax income </w:t>
            </w:r>
          </w:p>
        </w:tc>
        <w:tc>
          <w:tcPr>
            <w:tcW w:w="2160" w:type="dxa"/>
            <w:shd w:val="clear" w:color="auto" w:fill="auto"/>
            <w:tcMar>
              <w:top w:w="100" w:type="dxa"/>
              <w:left w:w="100" w:type="dxa"/>
              <w:bottom w:w="100" w:type="dxa"/>
              <w:right w:w="100" w:type="dxa"/>
            </w:tcMar>
          </w:tcPr>
          <w:p w14:paraId="75FB665F" w14:textId="77777777" w:rsidR="00570726" w:rsidRDefault="00683E25" w:rsidP="0039759D">
            <w:pPr>
              <w:pStyle w:val="NoSpacing"/>
            </w:pPr>
            <w:r>
              <w:t>14.1%</w:t>
            </w:r>
          </w:p>
        </w:tc>
        <w:tc>
          <w:tcPr>
            <w:tcW w:w="2340" w:type="dxa"/>
            <w:shd w:val="clear" w:color="auto" w:fill="auto"/>
            <w:tcMar>
              <w:top w:w="100" w:type="dxa"/>
              <w:left w:w="100" w:type="dxa"/>
              <w:bottom w:w="100" w:type="dxa"/>
              <w:right w:w="100" w:type="dxa"/>
            </w:tcMar>
          </w:tcPr>
          <w:p w14:paraId="75FB6660" w14:textId="77777777" w:rsidR="00570726" w:rsidRDefault="00683E25" w:rsidP="0039759D">
            <w:pPr>
              <w:pStyle w:val="NoSpacing"/>
            </w:pPr>
            <w:r>
              <w:rPr>
                <w:b/>
              </w:rPr>
              <w:t>IN</w:t>
            </w:r>
            <w:r>
              <w:t>: 10.6%</w:t>
            </w:r>
          </w:p>
          <w:p w14:paraId="75FB6661" w14:textId="77777777" w:rsidR="00570726" w:rsidRDefault="00683E25" w:rsidP="0039759D">
            <w:pPr>
              <w:pStyle w:val="NoSpacing"/>
            </w:pPr>
            <w:r>
              <w:rPr>
                <w:b/>
              </w:rPr>
              <w:t>OUT</w:t>
            </w:r>
            <w:r>
              <w:t>: 12.5%</w:t>
            </w:r>
          </w:p>
        </w:tc>
        <w:tc>
          <w:tcPr>
            <w:tcW w:w="2625" w:type="dxa"/>
            <w:shd w:val="clear" w:color="auto" w:fill="auto"/>
            <w:tcMar>
              <w:top w:w="100" w:type="dxa"/>
              <w:left w:w="100" w:type="dxa"/>
              <w:bottom w:w="100" w:type="dxa"/>
              <w:right w:w="100" w:type="dxa"/>
            </w:tcMar>
          </w:tcPr>
          <w:p w14:paraId="75FB6662" w14:textId="77777777" w:rsidR="00570726" w:rsidRDefault="00683E25" w:rsidP="0039759D">
            <w:pPr>
              <w:pStyle w:val="NoSpacing"/>
            </w:pPr>
            <w:r>
              <w:rPr>
                <w:b/>
              </w:rPr>
              <w:t>IN</w:t>
            </w:r>
            <w:r>
              <w:t>: 5.9% (5% if HSA is used in its entirety)</w:t>
            </w:r>
          </w:p>
          <w:p w14:paraId="75FB6663" w14:textId="77777777" w:rsidR="00570726" w:rsidRDefault="00683E25" w:rsidP="0039759D">
            <w:pPr>
              <w:pStyle w:val="NoSpacing"/>
            </w:pPr>
            <w:r>
              <w:rPr>
                <w:b/>
              </w:rPr>
              <w:t>OUT</w:t>
            </w:r>
            <w:r>
              <w:t>: 8.6% (7.7% if HSA is used in its entirety)</w:t>
            </w:r>
          </w:p>
          <w:p w14:paraId="75FB6664" w14:textId="77777777" w:rsidR="00570726" w:rsidRDefault="00570726" w:rsidP="0039759D">
            <w:pPr>
              <w:pStyle w:val="NoSpacing"/>
            </w:pPr>
          </w:p>
        </w:tc>
      </w:tr>
    </w:tbl>
    <w:p w14:paraId="75FB6666" w14:textId="77777777" w:rsidR="00570726" w:rsidRDefault="00570726" w:rsidP="0039759D">
      <w:pPr>
        <w:pStyle w:val="NoSpacing"/>
      </w:pPr>
    </w:p>
    <w:p w14:paraId="09CA8C0F" w14:textId="77777777" w:rsidR="006150FC" w:rsidRDefault="006150FC" w:rsidP="006150FC">
      <w:pPr>
        <w:pStyle w:val="NoSpacing"/>
      </w:pPr>
    </w:p>
    <w:p w14:paraId="581BA72B" w14:textId="77777777" w:rsidR="006150FC" w:rsidRDefault="006150FC" w:rsidP="006150FC">
      <w:pPr>
        <w:pStyle w:val="NoSpacing"/>
      </w:pPr>
    </w:p>
    <w:p w14:paraId="12ECAC24" w14:textId="7A4288F0" w:rsidR="006150FC" w:rsidRPr="006150FC" w:rsidRDefault="006150FC" w:rsidP="006150FC">
      <w:pPr>
        <w:pStyle w:val="NoSpacing"/>
        <w:rPr>
          <w:b/>
          <w:bCs/>
        </w:rPr>
      </w:pPr>
      <w:r w:rsidRPr="006150FC">
        <w:rPr>
          <w:b/>
          <w:bCs/>
        </w:rPr>
        <w:t>Tradeoffs Between Plans:</w:t>
      </w:r>
    </w:p>
    <w:p w14:paraId="1C94AEDB" w14:textId="77777777" w:rsidR="006150FC" w:rsidRDefault="006150FC" w:rsidP="006150FC">
      <w:pPr>
        <w:pStyle w:val="NoSpacing"/>
      </w:pPr>
    </w:p>
    <w:p w14:paraId="0F04CFDE" w14:textId="1953B915" w:rsidR="006150FC" w:rsidRDefault="006150FC" w:rsidP="006150FC">
      <w:pPr>
        <w:pStyle w:val="NoSpacing"/>
      </w:pPr>
      <w:r>
        <w:t>1. Premium Costs: The Open Access Plan has the highest premium costs, followed by the Preferred Provider Plan, while the High Deductible Plan has the lowest premiums.</w:t>
      </w:r>
    </w:p>
    <w:p w14:paraId="46A735FD" w14:textId="77777777" w:rsidR="006150FC" w:rsidRDefault="006150FC" w:rsidP="006150FC">
      <w:pPr>
        <w:pStyle w:val="NoSpacing"/>
      </w:pPr>
    </w:p>
    <w:p w14:paraId="17CF098C" w14:textId="63C720A7" w:rsidR="006150FC" w:rsidRDefault="006150FC" w:rsidP="006150FC">
      <w:pPr>
        <w:pStyle w:val="NoSpacing"/>
      </w:pPr>
      <w:r>
        <w:t>2. Health Care Services Covered: All plans cover the same types of medical services, and given the assumption that the child with cystic fibrosis will accrue at least $15,000 in medical costs, all plans are likely to meet their deductibles and out-of-pocket maximums.</w:t>
      </w:r>
    </w:p>
    <w:p w14:paraId="7CAE0324" w14:textId="77777777" w:rsidR="006150FC" w:rsidRDefault="006150FC" w:rsidP="006150FC">
      <w:pPr>
        <w:pStyle w:val="NoSpacing"/>
      </w:pPr>
    </w:p>
    <w:p w14:paraId="3ABB80A0" w14:textId="6F1E0202" w:rsidR="006150FC" w:rsidRDefault="006150FC" w:rsidP="006150FC">
      <w:pPr>
        <w:pStyle w:val="NoSpacing"/>
      </w:pPr>
      <w:r>
        <w:t>3. Overall Access to Health Care Services: All plans provide access to the same network of providers and services once the deductible or out-of-pocket maximum is met. Therefore, there is no significant difference in terms of access to care among the plans.</w:t>
      </w:r>
    </w:p>
    <w:p w14:paraId="46426067" w14:textId="77777777" w:rsidR="006150FC" w:rsidRDefault="006150FC" w:rsidP="006150FC">
      <w:pPr>
        <w:pStyle w:val="NoSpacing"/>
      </w:pPr>
    </w:p>
    <w:p w14:paraId="7B7926EE" w14:textId="64D8524B" w:rsidR="006150FC" w:rsidRPr="006150FC" w:rsidRDefault="006150FC" w:rsidP="006150FC">
      <w:pPr>
        <w:pStyle w:val="NoSpacing"/>
        <w:rPr>
          <w:b/>
          <w:bCs/>
        </w:rPr>
      </w:pPr>
      <w:r w:rsidRPr="006150FC">
        <w:rPr>
          <w:b/>
          <w:bCs/>
        </w:rPr>
        <w:t>Decision on the Best Plan:</w:t>
      </w:r>
    </w:p>
    <w:p w14:paraId="71D77EA8" w14:textId="77777777" w:rsidR="006150FC" w:rsidRDefault="006150FC" w:rsidP="006150FC">
      <w:pPr>
        <w:pStyle w:val="NoSpacing"/>
      </w:pPr>
    </w:p>
    <w:p w14:paraId="7322D928" w14:textId="77777777" w:rsidR="006150FC" w:rsidRDefault="006150FC" w:rsidP="006150FC">
      <w:pPr>
        <w:pStyle w:val="NoSpacing"/>
      </w:pPr>
      <w:r>
        <w:lastRenderedPageBreak/>
        <w:t xml:space="preserve">Based on the analysis, the </w:t>
      </w:r>
      <w:r w:rsidRPr="00440ED5">
        <w:rPr>
          <w:b/>
          <w:bCs/>
        </w:rPr>
        <w:t>High Deductible Plan with a Health Savings Account (HSA)</w:t>
      </w:r>
      <w:r>
        <w:t xml:space="preserve"> seems to be the best choice for this person for several reasons:</w:t>
      </w:r>
    </w:p>
    <w:p w14:paraId="1AF1C38D" w14:textId="77777777" w:rsidR="006150FC" w:rsidRDefault="006150FC" w:rsidP="006150FC">
      <w:pPr>
        <w:pStyle w:val="NoSpacing"/>
      </w:pPr>
    </w:p>
    <w:p w14:paraId="47E7C0FA" w14:textId="616B904B" w:rsidR="006150FC" w:rsidRDefault="006150FC" w:rsidP="006150FC">
      <w:pPr>
        <w:pStyle w:val="NoSpacing"/>
      </w:pPr>
      <w:r>
        <w:t>1. Lower Total Cost: The High Deductible Plan has the lowest total annual out-of-pocket cost when accounting for both premiums and estimated health care expenses.</w:t>
      </w:r>
    </w:p>
    <w:p w14:paraId="20E31EF9" w14:textId="77777777" w:rsidR="006150FC" w:rsidRDefault="006150FC" w:rsidP="006150FC">
      <w:pPr>
        <w:pStyle w:val="NoSpacing"/>
      </w:pPr>
    </w:p>
    <w:p w14:paraId="4427FC5D" w14:textId="363558F8" w:rsidR="006150FC" w:rsidRDefault="006150FC" w:rsidP="006150FC">
      <w:pPr>
        <w:pStyle w:val="NoSpacing"/>
      </w:pPr>
      <w:r>
        <w:t>2. HSA Benefits: The HSA allows for pre-tax contributions, and since the family is likely to meet their deductible and out-of-pocket maximum, they can use the HSA to cover a significant portion of their expenses with tax advantages.</w:t>
      </w:r>
    </w:p>
    <w:p w14:paraId="4D0967AE" w14:textId="77777777" w:rsidR="006150FC" w:rsidRDefault="006150FC" w:rsidP="006150FC">
      <w:pPr>
        <w:pStyle w:val="NoSpacing"/>
      </w:pPr>
    </w:p>
    <w:p w14:paraId="7CDB6DA0" w14:textId="63E5FC64" w:rsidR="006150FC" w:rsidRDefault="006150FC" w:rsidP="006150FC">
      <w:pPr>
        <w:pStyle w:val="NoSpacing"/>
      </w:pPr>
      <w:r>
        <w:t>3. Flexibility: Even if the child's cystic fibrosis specialist is out of network, the High Deductible Plan remains the cheapest option. While there are limitations on HSA contributions, it can still help reduce overall costs.</w:t>
      </w:r>
    </w:p>
    <w:p w14:paraId="09099727" w14:textId="77777777" w:rsidR="006150FC" w:rsidRDefault="006150FC" w:rsidP="006150FC">
      <w:pPr>
        <w:pStyle w:val="NoSpacing"/>
      </w:pPr>
    </w:p>
    <w:p w14:paraId="4FF868BE" w14:textId="7EA15942" w:rsidR="006150FC" w:rsidRPr="006150FC" w:rsidRDefault="006150FC" w:rsidP="006150FC">
      <w:pPr>
        <w:pStyle w:val="NoSpacing"/>
        <w:rPr>
          <w:b/>
          <w:bCs/>
        </w:rPr>
      </w:pPr>
      <w:r w:rsidRPr="006150FC">
        <w:rPr>
          <w:b/>
          <w:bCs/>
        </w:rPr>
        <w:t>Additional Information Needed:</w:t>
      </w:r>
    </w:p>
    <w:p w14:paraId="07D715FF" w14:textId="77777777" w:rsidR="006150FC" w:rsidRDefault="006150FC" w:rsidP="006150FC">
      <w:pPr>
        <w:pStyle w:val="NoSpacing"/>
      </w:pPr>
    </w:p>
    <w:p w14:paraId="61738A5D" w14:textId="77777777" w:rsidR="006150FC" w:rsidRDefault="006150FC" w:rsidP="006150FC">
      <w:pPr>
        <w:pStyle w:val="NoSpacing"/>
      </w:pPr>
      <w:r>
        <w:t>To make a more informed decision, the following additional information would be helpful:</w:t>
      </w:r>
    </w:p>
    <w:p w14:paraId="288FEA81" w14:textId="77777777" w:rsidR="006150FC" w:rsidRDefault="006150FC" w:rsidP="006150FC">
      <w:pPr>
        <w:pStyle w:val="NoSpacing"/>
      </w:pPr>
    </w:p>
    <w:p w14:paraId="34240CBD" w14:textId="74245A3F" w:rsidR="006150FC" w:rsidRDefault="006150FC" w:rsidP="006150FC">
      <w:pPr>
        <w:pStyle w:val="NoSpacing"/>
      </w:pPr>
      <w:r>
        <w:t>1. Specialist Visits: Knowing the exact number of specialist visits required for the child with cystic fibrosis would help refine cost estimates.</w:t>
      </w:r>
    </w:p>
    <w:p w14:paraId="66097923" w14:textId="77777777" w:rsidR="006150FC" w:rsidRDefault="006150FC" w:rsidP="006150FC">
      <w:pPr>
        <w:pStyle w:val="NoSpacing"/>
      </w:pPr>
    </w:p>
    <w:p w14:paraId="147922B0" w14:textId="483D3CDE" w:rsidR="006150FC" w:rsidRDefault="006150FC" w:rsidP="006150FC">
      <w:pPr>
        <w:pStyle w:val="NoSpacing"/>
      </w:pPr>
      <w:r>
        <w:t>2. Level of Care: Understanding the criticality of the child's condition and the level of care needed during each visit can influence the choice of plan.</w:t>
      </w:r>
    </w:p>
    <w:p w14:paraId="06346DCB" w14:textId="77777777" w:rsidR="006150FC" w:rsidRDefault="006150FC" w:rsidP="006150FC">
      <w:pPr>
        <w:pStyle w:val="NoSpacing"/>
      </w:pPr>
    </w:p>
    <w:p w14:paraId="2464AC89" w14:textId="4E6D6C35" w:rsidR="006150FC" w:rsidRDefault="006150FC" w:rsidP="006150FC">
      <w:pPr>
        <w:pStyle w:val="NoSpacing"/>
      </w:pPr>
      <w:r>
        <w:t>3. In-Network Specialist: Assessing the feasibility of finding an in-network specialist for cystic fibrosis is crucial, as it can affect costs and access to care.</w:t>
      </w:r>
    </w:p>
    <w:p w14:paraId="453BC88E" w14:textId="77777777" w:rsidR="006150FC" w:rsidRDefault="006150FC" w:rsidP="006150FC">
      <w:pPr>
        <w:pStyle w:val="NoSpacing"/>
      </w:pPr>
    </w:p>
    <w:p w14:paraId="2189BFB0" w14:textId="4D2028E0" w:rsidR="006150FC" w:rsidRDefault="006150FC" w:rsidP="006150FC">
      <w:pPr>
        <w:pStyle w:val="NoSpacing"/>
      </w:pPr>
      <w:r>
        <w:t>4. Family Health History: Understanding the health needs and past medical history of each family member can help tailor the plan choice to the family's overall health profile.</w:t>
      </w:r>
    </w:p>
    <w:p w14:paraId="3C8B7D15" w14:textId="77777777" w:rsidR="006150FC" w:rsidRDefault="006150FC" w:rsidP="006150FC">
      <w:pPr>
        <w:pStyle w:val="NoSpacing"/>
      </w:pPr>
    </w:p>
    <w:p w14:paraId="3BE9A7AF" w14:textId="4E4A66AB" w:rsidR="006150FC" w:rsidRDefault="006150FC" w:rsidP="006150FC">
      <w:pPr>
        <w:pStyle w:val="NoSpacing"/>
      </w:pPr>
      <w:r>
        <w:t>Ultimately, the best plan choice should consider not only cost but also the specific healthcare needs and preferences of the family, including their risk tolerance and ability to manage potential out-of-pocket expenses through tools like an HSA.</w:t>
      </w:r>
    </w:p>
    <w:sectPr w:rsidR="006150F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E6FD6" w14:textId="77777777" w:rsidR="005C54E2" w:rsidRDefault="005C54E2">
      <w:pPr>
        <w:spacing w:line="240" w:lineRule="auto"/>
      </w:pPr>
      <w:r>
        <w:separator/>
      </w:r>
    </w:p>
  </w:endnote>
  <w:endnote w:type="continuationSeparator" w:id="0">
    <w:p w14:paraId="0580BE6D" w14:textId="77777777" w:rsidR="005C54E2" w:rsidRDefault="005C5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9AD0B" w14:textId="77777777" w:rsidR="005C54E2" w:rsidRDefault="005C54E2">
      <w:pPr>
        <w:spacing w:line="240" w:lineRule="auto"/>
      </w:pPr>
      <w:r>
        <w:separator/>
      </w:r>
    </w:p>
  </w:footnote>
  <w:footnote w:type="continuationSeparator" w:id="0">
    <w:p w14:paraId="72F694E3" w14:textId="77777777" w:rsidR="005C54E2" w:rsidRDefault="005C54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6670" w14:textId="41D57A10" w:rsidR="00570726" w:rsidRDefault="00683E25">
    <w:pPr>
      <w:rPr>
        <w:rFonts w:ascii="Times New Roman" w:eastAsia="Times New Roman" w:hAnsi="Times New Roman" w:cs="Times New Roman"/>
      </w:rPr>
    </w:pPr>
    <w:r>
      <w:rPr>
        <w:rFonts w:ascii="Times New Roman" w:eastAsia="Times New Roman" w:hAnsi="Times New Roman" w:cs="Times New Roman"/>
      </w:rPr>
      <w:t>Health Insurance Plans- Tradeoffs</w:t>
    </w:r>
  </w:p>
  <w:p w14:paraId="75FB6672" w14:textId="77777777" w:rsidR="00570726" w:rsidRDefault="00570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67367"/>
    <w:multiLevelType w:val="multilevel"/>
    <w:tmpl w:val="26E0EB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887353A"/>
    <w:multiLevelType w:val="multilevel"/>
    <w:tmpl w:val="491C42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8631138"/>
    <w:multiLevelType w:val="multilevel"/>
    <w:tmpl w:val="A2F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D7ECA"/>
    <w:multiLevelType w:val="multilevel"/>
    <w:tmpl w:val="CB24DA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957109204">
    <w:abstractNumId w:val="1"/>
  </w:num>
  <w:num w:numId="2" w16cid:durableId="1035010794">
    <w:abstractNumId w:val="3"/>
  </w:num>
  <w:num w:numId="3" w16cid:durableId="1858427796">
    <w:abstractNumId w:val="0"/>
  </w:num>
  <w:num w:numId="4" w16cid:durableId="1885022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726"/>
    <w:rsid w:val="001834D8"/>
    <w:rsid w:val="001B410A"/>
    <w:rsid w:val="0024334A"/>
    <w:rsid w:val="0038449F"/>
    <w:rsid w:val="0039759D"/>
    <w:rsid w:val="003C013E"/>
    <w:rsid w:val="00440ED5"/>
    <w:rsid w:val="004C2D8A"/>
    <w:rsid w:val="00570726"/>
    <w:rsid w:val="005C54E2"/>
    <w:rsid w:val="006150FC"/>
    <w:rsid w:val="00683E25"/>
    <w:rsid w:val="00D42CD3"/>
    <w:rsid w:val="00EA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6617"/>
  <w15:docId w15:val="{55CC3F59-119E-4C51-A68A-BB09CE3B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83E25"/>
    <w:pPr>
      <w:tabs>
        <w:tab w:val="center" w:pos="4680"/>
        <w:tab w:val="right" w:pos="9360"/>
      </w:tabs>
      <w:spacing w:line="240" w:lineRule="auto"/>
    </w:pPr>
  </w:style>
  <w:style w:type="character" w:customStyle="1" w:styleId="HeaderChar">
    <w:name w:val="Header Char"/>
    <w:basedOn w:val="DefaultParagraphFont"/>
    <w:link w:val="Header"/>
    <w:uiPriority w:val="99"/>
    <w:rsid w:val="00683E25"/>
  </w:style>
  <w:style w:type="paragraph" w:styleId="Footer">
    <w:name w:val="footer"/>
    <w:basedOn w:val="Normal"/>
    <w:link w:val="FooterChar"/>
    <w:uiPriority w:val="99"/>
    <w:unhideWhenUsed/>
    <w:rsid w:val="00683E25"/>
    <w:pPr>
      <w:tabs>
        <w:tab w:val="center" w:pos="4680"/>
        <w:tab w:val="right" w:pos="9360"/>
      </w:tabs>
      <w:spacing w:line="240" w:lineRule="auto"/>
    </w:pPr>
  </w:style>
  <w:style w:type="character" w:customStyle="1" w:styleId="FooterChar">
    <w:name w:val="Footer Char"/>
    <w:basedOn w:val="DefaultParagraphFont"/>
    <w:link w:val="Footer"/>
    <w:uiPriority w:val="99"/>
    <w:rsid w:val="00683E25"/>
  </w:style>
  <w:style w:type="paragraph" w:styleId="NoSpacing">
    <w:name w:val="No Spacing"/>
    <w:uiPriority w:val="1"/>
    <w:qFormat/>
    <w:rsid w:val="0039759D"/>
    <w:pPr>
      <w:spacing w:line="240" w:lineRule="auto"/>
    </w:pPr>
  </w:style>
  <w:style w:type="paragraph" w:styleId="NormalWeb">
    <w:name w:val="Normal (Web)"/>
    <w:basedOn w:val="Normal"/>
    <w:uiPriority w:val="99"/>
    <w:semiHidden/>
    <w:unhideWhenUsed/>
    <w:rsid w:val="00D42C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layer--absolute">
    <w:name w:val="textlayer--absolute"/>
    <w:basedOn w:val="DefaultParagraphFont"/>
    <w:rsid w:val="00183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3848">
      <w:bodyDiv w:val="1"/>
      <w:marLeft w:val="0"/>
      <w:marRight w:val="0"/>
      <w:marTop w:val="0"/>
      <w:marBottom w:val="0"/>
      <w:divBdr>
        <w:top w:val="none" w:sz="0" w:space="0" w:color="auto"/>
        <w:left w:val="none" w:sz="0" w:space="0" w:color="auto"/>
        <w:bottom w:val="none" w:sz="0" w:space="0" w:color="auto"/>
        <w:right w:val="none" w:sz="0" w:space="0" w:color="auto"/>
      </w:divBdr>
    </w:div>
    <w:div w:id="397896223">
      <w:bodyDiv w:val="1"/>
      <w:marLeft w:val="0"/>
      <w:marRight w:val="0"/>
      <w:marTop w:val="0"/>
      <w:marBottom w:val="0"/>
      <w:divBdr>
        <w:top w:val="none" w:sz="0" w:space="0" w:color="auto"/>
        <w:left w:val="none" w:sz="0" w:space="0" w:color="auto"/>
        <w:bottom w:val="none" w:sz="0" w:space="0" w:color="auto"/>
        <w:right w:val="none" w:sz="0" w:space="0" w:color="auto"/>
      </w:divBdr>
      <w:divsChild>
        <w:div w:id="1138495146">
          <w:marLeft w:val="0"/>
          <w:marRight w:val="0"/>
          <w:marTop w:val="0"/>
          <w:marBottom w:val="0"/>
          <w:divBdr>
            <w:top w:val="none" w:sz="0" w:space="0" w:color="auto"/>
            <w:left w:val="none" w:sz="0" w:space="0" w:color="auto"/>
            <w:bottom w:val="none" w:sz="0" w:space="0" w:color="auto"/>
            <w:right w:val="none" w:sz="0" w:space="0" w:color="auto"/>
          </w:divBdr>
          <w:divsChild>
            <w:div w:id="10954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Preksha Kamleshkumar</cp:lastModifiedBy>
  <cp:revision>13</cp:revision>
  <dcterms:created xsi:type="dcterms:W3CDTF">2023-10-06T21:06:00Z</dcterms:created>
  <dcterms:modified xsi:type="dcterms:W3CDTF">2023-10-06T22:46:00Z</dcterms:modified>
</cp:coreProperties>
</file>