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7D9D3">
      <w:pPr>
        <w:bidi w:val="0"/>
        <w:rPr>
          <w:b/>
          <w:bCs/>
          <w:sz w:val="20"/>
          <w:szCs w:val="20"/>
        </w:rPr>
      </w:pPr>
      <w:r>
        <w:rPr>
          <w:b/>
          <w:bCs/>
          <w:sz w:val="20"/>
          <w:szCs w:val="20"/>
        </w:rPr>
        <mc:AlternateContent>
          <mc:Choice Requires="wps">
            <w:drawing>
              <wp:anchor distT="0" distB="0" distL="114300" distR="114300" simplePos="0" relativeHeight="251659264" behindDoc="0" locked="0" layoutInCell="1" allowOverlap="1">
                <wp:simplePos x="0" y="0"/>
                <wp:positionH relativeFrom="column">
                  <wp:posOffset>-227330</wp:posOffset>
                </wp:positionH>
                <wp:positionV relativeFrom="paragraph">
                  <wp:posOffset>97155</wp:posOffset>
                </wp:positionV>
                <wp:extent cx="5638800" cy="450215"/>
                <wp:effectExtent l="6350" t="6350" r="8890" b="15875"/>
                <wp:wrapNone/>
                <wp:docPr id="1" name="Text Box 1"/>
                <wp:cNvGraphicFramePr/>
                <a:graphic xmlns:a="http://schemas.openxmlformats.org/drawingml/2006/main">
                  <a:graphicData uri="http://schemas.microsoft.com/office/word/2010/wordprocessingShape">
                    <wps:wsp>
                      <wps:cNvSpPr txBox="1"/>
                      <wps:spPr>
                        <a:xfrm>
                          <a:off x="915670" y="1011555"/>
                          <a:ext cx="5638800" cy="450215"/>
                        </a:xfrm>
                        <a:prstGeom prst="rect">
                          <a:avLst/>
                        </a:prstGeom>
                        <a:solidFill>
                          <a:srgbClr val="CCC1D9"/>
                        </a:solidFill>
                        <a:ln>
                          <a:solidFill>
                            <a:schemeClr val="tx1"/>
                          </a:solidFill>
                        </a:ln>
                      </wps:spPr>
                      <wps:style>
                        <a:lnRef idx="2">
                          <a:schemeClr val="lt1"/>
                        </a:lnRef>
                        <a:fillRef idx="1">
                          <a:schemeClr val="accent1"/>
                        </a:fillRef>
                        <a:effectRef idx="1">
                          <a:schemeClr val="accent1"/>
                        </a:effectRef>
                        <a:fontRef idx="minor">
                          <a:schemeClr val="lt1"/>
                        </a:fontRef>
                      </wps:style>
                      <wps:txbx>
                        <w:txbxContent>
                          <w:p w14:paraId="16065AA8">
                            <w:pPr>
                              <w:bidi w:val="0"/>
                              <w:rPr>
                                <w:rFonts w:hint="default" w:ascii="Calibri" w:hAnsi="Calibri" w:cs="Calibri"/>
                                <w:b/>
                                <w:bCs/>
                                <w:color w:val="000000" w:themeColor="text1"/>
                                <w:sz w:val="44"/>
                                <w:szCs w:val="4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Calibri" w:hAnsi="Calibri" w:cs="Calibri"/>
                                <w:b/>
                                <w:bCs/>
                                <w:color w:val="000000" w:themeColor="text1"/>
                                <w:sz w:val="44"/>
                                <w:szCs w:val="4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Project Title: Retail Sales Dashboard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pt;margin-top:7.65pt;height:35.45pt;width:444pt;z-index:251659264;mso-width-relative:page;mso-height-relative:page;" fillcolor="#CCC1D9" filled="t" stroked="t" coordsize="21600,21600" o:gfxdata="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ecAlVNcAAAAJAQAADwAAAAAAAAABACAAAAAi&#10;AAAAZHJzL2Rvd25yZXYueG1sUEsBAhQAFAAAAAgAh07iQNz33+V9AgAAFAUAAA4AAAAAAAAAAQAg&#10;AAAAJgEAAGRycy9lMm9Eb2MueG1sUEsFBgAAAAAGAAYAWQEAABUGAAAAAA==&#10;">
                <v:fill on="t" focussize="0,0"/>
                <v:stroke weight="1pt" color="#000000 [3213]" miterlimit="8" joinstyle="miter"/>
                <v:imagedata o:title=""/>
                <o:lock v:ext="edit" aspectratio="f"/>
                <v:textbox>
                  <w:txbxContent>
                    <w:p w14:paraId="16065AA8">
                      <w:pPr>
                        <w:bidi w:val="0"/>
                        <w:rPr>
                          <w:rFonts w:hint="default" w:ascii="Calibri" w:hAnsi="Calibri" w:cs="Calibri"/>
                          <w:b/>
                          <w:bCs/>
                          <w:color w:val="000000" w:themeColor="text1"/>
                          <w:sz w:val="44"/>
                          <w:szCs w:val="4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ascii="Calibri" w:hAnsi="Calibri" w:cs="Calibri"/>
                          <w:b/>
                          <w:bCs/>
                          <w:color w:val="000000" w:themeColor="text1"/>
                          <w:sz w:val="44"/>
                          <w:szCs w:val="44"/>
                          <w:u w:val="singl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Project Title: Retail Sales Dashboard Analysis</w:t>
                      </w:r>
                    </w:p>
                  </w:txbxContent>
                </v:textbox>
              </v:shape>
            </w:pict>
          </mc:Fallback>
        </mc:AlternateContent>
      </w:r>
    </w:p>
    <w:p w14:paraId="3A1B28D8">
      <w:pPr>
        <w:bidi w:val="0"/>
        <w:rPr>
          <w:b/>
          <w:bCs/>
          <w:sz w:val="20"/>
          <w:szCs w:val="20"/>
        </w:rPr>
      </w:pPr>
    </w:p>
    <w:p w14:paraId="6A688A58">
      <w:pPr>
        <w:bidi w:val="0"/>
        <w:rPr>
          <w:b/>
          <w:bCs/>
          <w:sz w:val="20"/>
          <w:szCs w:val="20"/>
        </w:rPr>
      </w:pPr>
    </w:p>
    <w:p w14:paraId="0A6F17EE">
      <w:pPr>
        <w:bidi w:val="0"/>
        <w:rPr>
          <w:b/>
          <w:bCs/>
          <w:sz w:val="20"/>
          <w:szCs w:val="20"/>
        </w:rPr>
      </w:pPr>
    </w:p>
    <w:p w14:paraId="63376165">
      <w:pPr>
        <w:bidi w:val="0"/>
        <w:rPr>
          <w:b/>
          <w:bCs/>
          <w:sz w:val="20"/>
          <w:szCs w:val="20"/>
        </w:rPr>
      </w:pPr>
    </w:p>
    <w:p w14:paraId="12E9599F">
      <w:pPr>
        <w:numPr>
          <w:ilvl w:val="0"/>
          <w:numId w:val="1"/>
        </w:numPr>
        <w:bidi w:val="0"/>
        <w:ind w:left="425" w:leftChars="0" w:hanging="425" w:firstLineChars="0"/>
        <w:rPr>
          <w:b/>
          <w:bCs/>
          <w:sz w:val="20"/>
          <w:szCs w:val="20"/>
        </w:rPr>
      </w:pPr>
      <w:r>
        <w:rPr>
          <w:b/>
          <w:bCs/>
          <w:sz w:val="21"/>
          <w:szCs w:val="21"/>
          <w:u w:val="single"/>
        </w:rPr>
        <w:t>Objective:</w:t>
      </w:r>
    </w:p>
    <w:p w14:paraId="7D6E5B67">
      <w:pPr>
        <w:numPr>
          <w:ilvl w:val="0"/>
          <w:numId w:val="2"/>
        </w:numPr>
        <w:bidi w:val="0"/>
        <w:ind w:left="420" w:leftChars="0" w:hanging="420" w:firstLineChars="0"/>
        <w:rPr>
          <w:b/>
          <w:bCs/>
          <w:sz w:val="20"/>
          <w:szCs w:val="20"/>
        </w:rPr>
      </w:pPr>
      <w:r>
        <w:rPr>
          <w:b/>
          <w:bCs/>
          <w:sz w:val="20"/>
          <w:szCs w:val="20"/>
        </w:rPr>
        <w:t>To analyze a large retail dataset to uncover sales trends, product performance, and regional insights, and to present findings in a clean, visual Excel dashboard for business decision-making.</w:t>
      </w:r>
    </w:p>
    <w:p w14:paraId="0DEF85FE">
      <w:pPr>
        <w:bidi w:val="0"/>
        <w:rPr>
          <w:b/>
          <w:bCs/>
          <w:sz w:val="20"/>
          <w:szCs w:val="20"/>
        </w:rPr>
      </w:pPr>
    </w:p>
    <w:p w14:paraId="3E7FBC42">
      <w:pPr>
        <w:numPr>
          <w:ilvl w:val="0"/>
          <w:numId w:val="1"/>
        </w:numPr>
        <w:bidi w:val="0"/>
        <w:ind w:left="425" w:leftChars="0" w:hanging="425" w:firstLineChars="0"/>
        <w:rPr>
          <w:b/>
          <w:bCs/>
          <w:sz w:val="20"/>
          <w:szCs w:val="20"/>
        </w:rPr>
      </w:pPr>
      <w:r>
        <w:rPr>
          <w:b/>
          <w:bCs/>
          <w:sz w:val="21"/>
          <w:szCs w:val="21"/>
          <w:u w:val="single"/>
        </w:rPr>
        <w:t>Dataset Description:</w:t>
      </w:r>
    </w:p>
    <w:p w14:paraId="66931C54">
      <w:pPr>
        <w:numPr>
          <w:ilvl w:val="0"/>
          <w:numId w:val="3"/>
        </w:numPr>
        <w:bidi w:val="0"/>
        <w:ind w:left="420" w:leftChars="0" w:hanging="420" w:firstLineChars="0"/>
        <w:rPr>
          <w:b/>
          <w:bCs/>
          <w:sz w:val="20"/>
          <w:szCs w:val="20"/>
        </w:rPr>
      </w:pPr>
      <w:r>
        <w:rPr>
          <w:b/>
          <w:bCs/>
          <w:sz w:val="20"/>
          <w:szCs w:val="20"/>
        </w:rPr>
        <w:t>Source: Simulated retail transactional data</w:t>
      </w:r>
    </w:p>
    <w:p w14:paraId="3854AFB7">
      <w:pPr>
        <w:numPr>
          <w:ilvl w:val="0"/>
          <w:numId w:val="3"/>
        </w:numPr>
        <w:bidi w:val="0"/>
        <w:ind w:left="420" w:leftChars="0" w:hanging="420" w:firstLineChars="0"/>
        <w:rPr>
          <w:b/>
          <w:bCs/>
          <w:sz w:val="20"/>
          <w:szCs w:val="20"/>
        </w:rPr>
      </w:pPr>
      <w:r>
        <w:rPr>
          <w:b/>
          <w:bCs/>
          <w:sz w:val="20"/>
          <w:szCs w:val="20"/>
        </w:rPr>
        <w:t>Size: ~190,</w:t>
      </w:r>
      <w:r>
        <w:rPr>
          <w:rFonts w:hint="default"/>
          <w:b/>
          <w:bCs/>
          <w:sz w:val="20"/>
          <w:szCs w:val="20"/>
          <w:lang w:val="en-IN"/>
        </w:rPr>
        <w:t>758</w:t>
      </w:r>
      <w:bookmarkStart w:id="0" w:name="_GoBack"/>
      <w:bookmarkEnd w:id="0"/>
      <w:r>
        <w:rPr>
          <w:b/>
          <w:bCs/>
          <w:sz w:val="20"/>
          <w:szCs w:val="20"/>
        </w:rPr>
        <w:t xml:space="preserve"> rows and 19 columns</w:t>
      </w:r>
    </w:p>
    <w:p w14:paraId="7A387D04">
      <w:pPr>
        <w:numPr>
          <w:ilvl w:val="0"/>
          <w:numId w:val="3"/>
        </w:numPr>
        <w:bidi w:val="0"/>
        <w:ind w:left="420" w:leftChars="0" w:hanging="420" w:firstLineChars="0"/>
        <w:rPr>
          <w:b/>
          <w:bCs/>
          <w:sz w:val="20"/>
          <w:szCs w:val="20"/>
        </w:rPr>
      </w:pPr>
      <w:r>
        <w:rPr>
          <w:b/>
          <w:bCs/>
          <w:sz w:val="20"/>
          <w:szCs w:val="20"/>
        </w:rPr>
        <w:t>Key Fields:</w:t>
      </w:r>
    </w:p>
    <w:p w14:paraId="2E395569">
      <w:pPr>
        <w:numPr>
          <w:numId w:val="0"/>
        </w:numPr>
        <w:bidi w:val="0"/>
        <w:ind w:leftChars="0" w:firstLine="600" w:firstLineChars="300"/>
        <w:rPr>
          <w:b/>
          <w:bCs/>
          <w:sz w:val="20"/>
          <w:szCs w:val="20"/>
        </w:rPr>
      </w:pPr>
      <w:r>
        <w:rPr>
          <w:b/>
          <w:bCs/>
          <w:sz w:val="20"/>
          <w:szCs w:val="20"/>
        </w:rPr>
        <w:t>date, sku, brand, category, channel, region</w:t>
      </w:r>
    </w:p>
    <w:p w14:paraId="5B4DF544">
      <w:pPr>
        <w:numPr>
          <w:numId w:val="0"/>
        </w:numPr>
        <w:bidi w:val="0"/>
        <w:ind w:firstLine="600" w:firstLineChars="300"/>
        <w:rPr>
          <w:b/>
          <w:bCs/>
          <w:sz w:val="20"/>
          <w:szCs w:val="20"/>
        </w:rPr>
      </w:pPr>
      <w:r>
        <w:rPr>
          <w:b/>
          <w:bCs/>
          <w:sz w:val="20"/>
          <w:szCs w:val="20"/>
        </w:rPr>
        <w:t>units_sold, revenue, promotion_flag, delivery_days, stock_available</w:t>
      </w:r>
    </w:p>
    <w:p w14:paraId="7EA4A9B3">
      <w:pPr>
        <w:numPr>
          <w:ilvl w:val="0"/>
          <w:numId w:val="3"/>
        </w:numPr>
        <w:bidi w:val="0"/>
        <w:ind w:left="420" w:leftChars="0" w:hanging="420" w:firstLineChars="0"/>
        <w:rPr>
          <w:b/>
          <w:bCs/>
          <w:sz w:val="20"/>
          <w:szCs w:val="20"/>
        </w:rPr>
      </w:pPr>
      <w:r>
        <w:rPr>
          <w:b/>
          <w:bCs/>
          <w:sz w:val="20"/>
          <w:szCs w:val="20"/>
        </w:rPr>
        <w:t>This dataset captures product-level daily sales across multiple regions and channels over a span of time.</w:t>
      </w:r>
    </w:p>
    <w:p w14:paraId="1A060C4C">
      <w:pPr>
        <w:bidi w:val="0"/>
        <w:rPr>
          <w:b/>
          <w:bCs/>
          <w:sz w:val="20"/>
          <w:szCs w:val="20"/>
        </w:rPr>
      </w:pPr>
    </w:p>
    <w:p w14:paraId="06AC169C">
      <w:pPr>
        <w:numPr>
          <w:ilvl w:val="0"/>
          <w:numId w:val="1"/>
        </w:numPr>
        <w:bidi w:val="0"/>
        <w:ind w:left="425" w:leftChars="0" w:hanging="425" w:firstLineChars="0"/>
        <w:rPr>
          <w:b/>
          <w:bCs/>
          <w:sz w:val="21"/>
          <w:szCs w:val="21"/>
          <w:u w:val="single"/>
        </w:rPr>
      </w:pPr>
      <w:r>
        <w:rPr>
          <w:b/>
          <w:bCs/>
          <w:sz w:val="21"/>
          <w:szCs w:val="21"/>
          <w:u w:val="single"/>
        </w:rPr>
        <w:t>Tools &amp; Techniques Used:</w:t>
      </w:r>
    </w:p>
    <w:p w14:paraId="2E911D33">
      <w:pPr>
        <w:bidi w:val="0"/>
        <w:rPr>
          <w:b/>
          <w:bCs/>
          <w:sz w:val="20"/>
          <w:szCs w:val="20"/>
        </w:rPr>
      </w:pPr>
    </w:p>
    <w:p w14:paraId="494F9841">
      <w:pPr>
        <w:numPr>
          <w:ilvl w:val="0"/>
          <w:numId w:val="4"/>
        </w:numPr>
        <w:bidi w:val="0"/>
        <w:ind w:left="420" w:leftChars="0" w:hanging="420" w:firstLineChars="0"/>
        <w:rPr>
          <w:b/>
          <w:bCs/>
          <w:sz w:val="20"/>
          <w:szCs w:val="20"/>
          <w:u w:val="double"/>
        </w:rPr>
      </w:pPr>
      <w:r>
        <w:rPr>
          <w:b/>
          <w:bCs/>
          <w:sz w:val="20"/>
          <w:szCs w:val="20"/>
          <w:u w:val="double"/>
        </w:rPr>
        <w:t>Excel</w:t>
      </w:r>
    </w:p>
    <w:p w14:paraId="358DA228">
      <w:pPr>
        <w:numPr>
          <w:ilvl w:val="0"/>
          <w:numId w:val="5"/>
        </w:numPr>
        <w:bidi w:val="0"/>
        <w:ind w:left="420" w:leftChars="0" w:hanging="420" w:firstLineChars="0"/>
        <w:rPr>
          <w:b/>
          <w:bCs/>
          <w:sz w:val="20"/>
          <w:szCs w:val="20"/>
        </w:rPr>
      </w:pPr>
      <w:r>
        <w:rPr>
          <w:b/>
          <w:bCs/>
          <w:sz w:val="20"/>
          <w:szCs w:val="20"/>
        </w:rPr>
        <w:t>Data Cleaning (removal of blanks, standardizing formats)</w:t>
      </w:r>
    </w:p>
    <w:p w14:paraId="26CD7893">
      <w:pPr>
        <w:numPr>
          <w:ilvl w:val="0"/>
          <w:numId w:val="5"/>
        </w:numPr>
        <w:bidi w:val="0"/>
        <w:ind w:left="420" w:leftChars="0" w:hanging="420" w:firstLineChars="0"/>
        <w:rPr>
          <w:b/>
          <w:bCs/>
          <w:sz w:val="20"/>
          <w:szCs w:val="20"/>
        </w:rPr>
      </w:pPr>
      <w:r>
        <w:rPr>
          <w:b/>
          <w:bCs/>
          <w:sz w:val="20"/>
          <w:szCs w:val="20"/>
        </w:rPr>
        <w:t>Pivot Tables &amp; Pivot Charts</w:t>
      </w:r>
    </w:p>
    <w:p w14:paraId="335B6595">
      <w:pPr>
        <w:numPr>
          <w:ilvl w:val="0"/>
          <w:numId w:val="5"/>
        </w:numPr>
        <w:bidi w:val="0"/>
        <w:ind w:left="420" w:leftChars="0" w:hanging="420" w:firstLineChars="0"/>
        <w:rPr>
          <w:b/>
          <w:bCs/>
          <w:sz w:val="20"/>
          <w:szCs w:val="20"/>
        </w:rPr>
      </w:pPr>
      <w:r>
        <w:rPr>
          <w:b/>
          <w:bCs/>
          <w:sz w:val="20"/>
          <w:szCs w:val="20"/>
        </w:rPr>
        <w:t>Conditional Formatting</w:t>
      </w:r>
    </w:p>
    <w:p w14:paraId="1235A7E5">
      <w:pPr>
        <w:numPr>
          <w:ilvl w:val="0"/>
          <w:numId w:val="5"/>
        </w:numPr>
        <w:bidi w:val="0"/>
        <w:ind w:left="420" w:leftChars="0" w:hanging="420" w:firstLineChars="0"/>
        <w:rPr>
          <w:b/>
          <w:bCs/>
          <w:sz w:val="20"/>
          <w:szCs w:val="20"/>
        </w:rPr>
      </w:pPr>
      <w:r>
        <w:rPr>
          <w:b/>
          <w:bCs/>
          <w:sz w:val="20"/>
          <w:szCs w:val="20"/>
        </w:rPr>
        <w:t>Date Functions for trend grouping (Month, Year)</w:t>
      </w:r>
    </w:p>
    <w:p w14:paraId="4DC0302D">
      <w:pPr>
        <w:numPr>
          <w:ilvl w:val="0"/>
          <w:numId w:val="5"/>
        </w:numPr>
        <w:bidi w:val="0"/>
        <w:ind w:left="420" w:leftChars="0" w:hanging="420" w:firstLineChars="0"/>
        <w:rPr>
          <w:b/>
          <w:bCs/>
          <w:sz w:val="20"/>
          <w:szCs w:val="20"/>
        </w:rPr>
      </w:pPr>
      <w:r>
        <w:rPr>
          <w:b/>
          <w:bCs/>
          <w:sz w:val="20"/>
          <w:szCs w:val="20"/>
        </w:rPr>
        <w:t>Bar, Column, Pie &amp; Line charts</w:t>
      </w:r>
    </w:p>
    <w:p w14:paraId="2FD81530">
      <w:pPr>
        <w:numPr>
          <w:ilvl w:val="0"/>
          <w:numId w:val="5"/>
        </w:numPr>
        <w:bidi w:val="0"/>
        <w:ind w:left="420" w:leftChars="0" w:hanging="420" w:firstLineChars="0"/>
        <w:rPr>
          <w:b/>
          <w:bCs/>
          <w:sz w:val="20"/>
          <w:szCs w:val="20"/>
        </w:rPr>
      </w:pPr>
      <w:r>
        <w:rPr>
          <w:b/>
          <w:bCs/>
          <w:sz w:val="20"/>
          <w:szCs w:val="20"/>
        </w:rPr>
        <w:t>Dashboard Design: Used slicers, visuals, and KPIs for interactive analysis</w:t>
      </w:r>
    </w:p>
    <w:p w14:paraId="482AF102">
      <w:pPr>
        <w:bidi w:val="0"/>
        <w:rPr>
          <w:b/>
          <w:bCs/>
          <w:sz w:val="20"/>
          <w:szCs w:val="20"/>
        </w:rPr>
      </w:pPr>
    </w:p>
    <w:p w14:paraId="126537CA">
      <w:pPr>
        <w:numPr>
          <w:ilvl w:val="0"/>
          <w:numId w:val="1"/>
        </w:numPr>
        <w:bidi w:val="0"/>
        <w:ind w:left="425" w:leftChars="0" w:hanging="425" w:firstLineChars="0"/>
        <w:rPr>
          <w:b/>
          <w:bCs/>
          <w:sz w:val="21"/>
          <w:szCs w:val="21"/>
          <w:u w:val="single"/>
        </w:rPr>
      </w:pPr>
      <w:r>
        <w:rPr>
          <w:b/>
          <w:bCs/>
          <w:sz w:val="21"/>
          <w:szCs w:val="21"/>
          <w:u w:val="single"/>
        </w:rPr>
        <w:t>Analysis Performed:</w:t>
      </w:r>
    </w:p>
    <w:p w14:paraId="5095CC5A">
      <w:pPr>
        <w:bidi w:val="0"/>
        <w:rPr>
          <w:b/>
          <w:bCs/>
          <w:sz w:val="20"/>
          <w:szCs w:val="20"/>
        </w:rPr>
      </w:pPr>
    </w:p>
    <w:p w14:paraId="47F31CA3">
      <w:pPr>
        <w:numPr>
          <w:ilvl w:val="0"/>
          <w:numId w:val="6"/>
        </w:numPr>
        <w:bidi w:val="0"/>
        <w:ind w:left="420" w:leftChars="0" w:hanging="420" w:firstLineChars="0"/>
        <w:rPr>
          <w:b/>
          <w:bCs/>
          <w:sz w:val="20"/>
          <w:szCs w:val="20"/>
        </w:rPr>
      </w:pPr>
      <w:r>
        <w:rPr>
          <w:b/>
          <w:bCs/>
          <w:sz w:val="20"/>
          <w:szCs w:val="20"/>
        </w:rPr>
        <w:t>Monthly and Yearly Sales Trends to understand seasonality</w:t>
      </w:r>
    </w:p>
    <w:p w14:paraId="634BAF1F">
      <w:pPr>
        <w:numPr>
          <w:ilvl w:val="0"/>
          <w:numId w:val="6"/>
        </w:numPr>
        <w:bidi w:val="0"/>
        <w:ind w:left="420" w:leftChars="0" w:hanging="420" w:firstLineChars="0"/>
        <w:rPr>
          <w:b/>
          <w:bCs/>
          <w:sz w:val="20"/>
          <w:szCs w:val="20"/>
        </w:rPr>
      </w:pPr>
      <w:r>
        <w:rPr>
          <w:b/>
          <w:bCs/>
          <w:sz w:val="20"/>
          <w:szCs w:val="20"/>
        </w:rPr>
        <w:t>Category-wise and Brand-wise Performance</w:t>
      </w:r>
    </w:p>
    <w:p w14:paraId="27786454">
      <w:pPr>
        <w:numPr>
          <w:ilvl w:val="0"/>
          <w:numId w:val="6"/>
        </w:numPr>
        <w:bidi w:val="0"/>
        <w:ind w:left="420" w:leftChars="0" w:hanging="420" w:firstLineChars="0"/>
        <w:rPr>
          <w:b/>
          <w:bCs/>
          <w:sz w:val="20"/>
          <w:szCs w:val="20"/>
        </w:rPr>
      </w:pPr>
      <w:r>
        <w:rPr>
          <w:b/>
          <w:bCs/>
          <w:sz w:val="20"/>
          <w:szCs w:val="20"/>
        </w:rPr>
        <w:t>Regional Sales Distribution across multiple zones</w:t>
      </w:r>
    </w:p>
    <w:p w14:paraId="51B94B6B">
      <w:pPr>
        <w:numPr>
          <w:ilvl w:val="0"/>
          <w:numId w:val="6"/>
        </w:numPr>
        <w:bidi w:val="0"/>
        <w:ind w:left="420" w:leftChars="0" w:hanging="420" w:firstLineChars="0"/>
        <w:rPr>
          <w:b/>
          <w:bCs/>
          <w:sz w:val="20"/>
          <w:szCs w:val="20"/>
        </w:rPr>
      </w:pPr>
      <w:r>
        <w:rPr>
          <w:b/>
          <w:bCs/>
          <w:sz w:val="20"/>
          <w:szCs w:val="20"/>
        </w:rPr>
        <w:t>Sales Channel Effectiveness (Online, Offline)</w:t>
      </w:r>
    </w:p>
    <w:p w14:paraId="62D2F83D">
      <w:pPr>
        <w:numPr>
          <w:ilvl w:val="0"/>
          <w:numId w:val="6"/>
        </w:numPr>
        <w:bidi w:val="0"/>
        <w:ind w:left="420" w:leftChars="0" w:hanging="420" w:firstLineChars="0"/>
        <w:rPr>
          <w:b/>
          <w:bCs/>
          <w:sz w:val="20"/>
          <w:szCs w:val="20"/>
        </w:rPr>
      </w:pPr>
      <w:r>
        <w:rPr>
          <w:b/>
          <w:bCs/>
          <w:sz w:val="20"/>
          <w:szCs w:val="20"/>
        </w:rPr>
        <w:t>Promotion Impact Analysis on revenue uplift</w:t>
      </w:r>
    </w:p>
    <w:p w14:paraId="123B32CA">
      <w:pPr>
        <w:numPr>
          <w:ilvl w:val="0"/>
          <w:numId w:val="6"/>
        </w:numPr>
        <w:bidi w:val="0"/>
        <w:ind w:left="420" w:leftChars="0" w:hanging="420" w:firstLineChars="0"/>
        <w:rPr>
          <w:b/>
          <w:bCs/>
          <w:sz w:val="20"/>
          <w:szCs w:val="20"/>
        </w:rPr>
      </w:pPr>
      <w:r>
        <w:rPr>
          <w:b/>
          <w:bCs/>
          <w:sz w:val="20"/>
          <w:szCs w:val="20"/>
        </w:rPr>
        <w:t>Top Performing SKUs based on revenue and units sold</w:t>
      </w:r>
    </w:p>
    <w:p w14:paraId="4D5AB8C8">
      <w:pPr>
        <w:bidi w:val="0"/>
        <w:rPr>
          <w:b/>
          <w:bCs/>
          <w:sz w:val="20"/>
          <w:szCs w:val="20"/>
        </w:rPr>
      </w:pPr>
    </w:p>
    <w:p w14:paraId="747A0715">
      <w:pPr>
        <w:numPr>
          <w:ilvl w:val="0"/>
          <w:numId w:val="1"/>
        </w:numPr>
        <w:bidi w:val="0"/>
        <w:ind w:left="425" w:leftChars="0" w:hanging="425" w:firstLineChars="0"/>
        <w:rPr>
          <w:b/>
          <w:bCs/>
          <w:sz w:val="21"/>
          <w:szCs w:val="21"/>
          <w:u w:val="single"/>
        </w:rPr>
      </w:pPr>
      <w:r>
        <w:rPr>
          <w:b/>
          <w:bCs/>
          <w:sz w:val="21"/>
          <w:szCs w:val="21"/>
          <w:u w:val="single"/>
        </w:rPr>
        <w:t>Key Insights:</w:t>
      </w:r>
    </w:p>
    <w:p w14:paraId="74FCE6C7">
      <w:pPr>
        <w:bidi w:val="0"/>
        <w:rPr>
          <w:b/>
          <w:bCs/>
          <w:sz w:val="20"/>
          <w:szCs w:val="20"/>
        </w:rPr>
      </w:pPr>
    </w:p>
    <w:p w14:paraId="24D472AA">
      <w:pPr>
        <w:numPr>
          <w:ilvl w:val="0"/>
          <w:numId w:val="7"/>
        </w:numPr>
        <w:bidi w:val="0"/>
        <w:ind w:left="420" w:leftChars="0" w:hanging="420" w:firstLineChars="0"/>
        <w:rPr>
          <w:b/>
          <w:bCs/>
          <w:sz w:val="20"/>
          <w:szCs w:val="20"/>
        </w:rPr>
      </w:pPr>
      <w:r>
        <w:rPr>
          <w:b/>
          <w:bCs/>
          <w:sz w:val="20"/>
          <w:szCs w:val="20"/>
        </w:rPr>
        <w:t>Promotions led to a clear uplift in sales during specific months.</w:t>
      </w:r>
    </w:p>
    <w:p w14:paraId="098B3FAE">
      <w:pPr>
        <w:numPr>
          <w:ilvl w:val="0"/>
          <w:numId w:val="7"/>
        </w:numPr>
        <w:bidi w:val="0"/>
        <w:ind w:left="420" w:leftChars="0" w:hanging="420" w:firstLineChars="0"/>
        <w:rPr>
          <w:b/>
          <w:bCs/>
          <w:sz w:val="20"/>
          <w:szCs w:val="20"/>
        </w:rPr>
      </w:pPr>
      <w:r>
        <w:rPr>
          <w:b/>
          <w:bCs/>
          <w:sz w:val="20"/>
          <w:szCs w:val="20"/>
        </w:rPr>
        <w:t>Category X and Brand Y consistently generated the highest revenue.</w:t>
      </w:r>
    </w:p>
    <w:p w14:paraId="06E4C70B">
      <w:pPr>
        <w:numPr>
          <w:ilvl w:val="0"/>
          <w:numId w:val="7"/>
        </w:numPr>
        <w:bidi w:val="0"/>
        <w:ind w:left="420" w:leftChars="0" w:hanging="420" w:firstLineChars="0"/>
        <w:rPr>
          <w:b/>
          <w:bCs/>
          <w:sz w:val="20"/>
          <w:szCs w:val="20"/>
        </w:rPr>
      </w:pPr>
      <w:r>
        <w:rPr>
          <w:b/>
          <w:bCs/>
          <w:sz w:val="20"/>
          <w:szCs w:val="20"/>
        </w:rPr>
        <w:t>The South region contributed the most to total sales.</w:t>
      </w:r>
    </w:p>
    <w:p w14:paraId="5595752F">
      <w:pPr>
        <w:numPr>
          <w:ilvl w:val="0"/>
          <w:numId w:val="7"/>
        </w:numPr>
        <w:bidi w:val="0"/>
        <w:ind w:left="420" w:leftChars="0" w:hanging="420" w:firstLineChars="0"/>
        <w:rPr>
          <w:b/>
          <w:bCs/>
          <w:sz w:val="20"/>
          <w:szCs w:val="20"/>
        </w:rPr>
      </w:pPr>
      <w:r>
        <w:rPr>
          <w:b/>
          <w:bCs/>
          <w:sz w:val="20"/>
          <w:szCs w:val="20"/>
        </w:rPr>
        <w:t>Online channels outperformed offline in Q2 and Q4.</w:t>
      </w:r>
    </w:p>
    <w:p w14:paraId="6EC75C2C">
      <w:pPr>
        <w:numPr>
          <w:ilvl w:val="0"/>
          <w:numId w:val="7"/>
        </w:numPr>
        <w:bidi w:val="0"/>
        <w:ind w:left="420" w:leftChars="0" w:hanging="420" w:firstLineChars="0"/>
        <w:rPr>
          <w:b/>
          <w:bCs/>
          <w:sz w:val="20"/>
          <w:szCs w:val="20"/>
        </w:rPr>
      </w:pPr>
      <w:r>
        <w:rPr>
          <w:b/>
          <w:bCs/>
          <w:sz w:val="20"/>
          <w:szCs w:val="20"/>
        </w:rPr>
        <w:t>A few SKUs accounted for a disproportionately large share of revenue (Pareto trend).</w:t>
      </w:r>
    </w:p>
    <w:p w14:paraId="5C424646">
      <w:pPr>
        <w:bidi w:val="0"/>
        <w:rPr>
          <w:b/>
          <w:bCs/>
          <w:sz w:val="20"/>
          <w:szCs w:val="20"/>
        </w:rPr>
      </w:pPr>
    </w:p>
    <w:p w14:paraId="587FF32D">
      <w:pPr>
        <w:bidi w:val="0"/>
        <w:rPr>
          <w:b/>
          <w:bCs/>
          <w:sz w:val="21"/>
          <w:szCs w:val="21"/>
          <w:u w:val="single"/>
        </w:rPr>
      </w:pPr>
    </w:p>
    <w:p w14:paraId="0385F294">
      <w:pPr>
        <w:numPr>
          <w:ilvl w:val="0"/>
          <w:numId w:val="1"/>
        </w:numPr>
        <w:bidi w:val="0"/>
        <w:ind w:left="425" w:leftChars="0" w:hanging="425" w:firstLineChars="0"/>
        <w:rPr>
          <w:b/>
          <w:bCs/>
          <w:sz w:val="21"/>
          <w:szCs w:val="21"/>
          <w:u w:val="single"/>
        </w:rPr>
      </w:pPr>
      <w:r>
        <w:rPr>
          <w:b/>
          <w:bCs/>
          <w:sz w:val="21"/>
          <w:szCs w:val="21"/>
          <w:u w:val="single"/>
        </w:rPr>
        <w:t>Conclusion:</w:t>
      </w:r>
    </w:p>
    <w:p w14:paraId="4433D0E4">
      <w:pPr>
        <w:bidi w:val="0"/>
        <w:rPr>
          <w:b/>
          <w:bCs/>
          <w:sz w:val="20"/>
          <w:szCs w:val="20"/>
        </w:rPr>
      </w:pPr>
    </w:p>
    <w:p w14:paraId="35FFCFFA">
      <w:pPr>
        <w:numPr>
          <w:ilvl w:val="0"/>
          <w:numId w:val="8"/>
        </w:numPr>
        <w:bidi w:val="0"/>
        <w:ind w:left="420" w:leftChars="0" w:hanging="420" w:firstLineChars="0"/>
        <w:rPr>
          <w:b/>
          <w:bCs/>
          <w:sz w:val="20"/>
          <w:szCs w:val="20"/>
        </w:rPr>
      </w:pPr>
      <w:r>
        <w:rPr>
          <w:b/>
          <w:bCs/>
          <w:sz w:val="20"/>
          <w:szCs w:val="20"/>
        </w:rPr>
        <w:t>This project demonstrates the ability to clean and analyze large datasets using Excel and translate them into actionable business insights. The dashboard helps business users make quick decisions about product strategy, promotion planning, and regional targeting. The project highlights strong skills in data visualization, trend identification, and storytelling through dashboards.</w:t>
      </w:r>
    </w:p>
    <w:p w14:paraId="7B5E6B99">
      <w:pPr>
        <w:bidi w:val="0"/>
        <w:rPr>
          <w:b/>
          <w:bCs/>
          <w:sz w:val="20"/>
          <w:szCs w:val="20"/>
        </w:rPr>
      </w:pPr>
    </w:p>
    <w:p w14:paraId="6C1CB352">
      <w:pPr>
        <w:bidi w:val="0"/>
        <w:rPr>
          <w:b/>
          <w:bCs/>
          <w:sz w:val="20"/>
          <w:szCs w:val="20"/>
        </w:rPr>
      </w:pPr>
    </w:p>
    <w:p w14:paraId="6D89137A">
      <w:pPr>
        <w:bidi w:val="0"/>
        <w:rPr>
          <w:b/>
          <w:bCs/>
          <w:sz w:val="20"/>
          <w:szCs w:val="20"/>
        </w:rPr>
      </w:pPr>
    </w:p>
    <w:p w14:paraId="7CF58D2B">
      <w:pPr>
        <w:bidi w:val="0"/>
        <w:rPr>
          <w:b/>
          <w:bCs/>
          <w:sz w:val="20"/>
          <w:szCs w:val="20"/>
        </w:rPr>
      </w:pPr>
    </w:p>
    <w:tbl>
      <w:tblPr>
        <w:tblStyle w:val="4"/>
        <w:tblpPr w:leftFromText="180" w:rightFromText="180" w:vertAnchor="page" w:horzAnchor="page" w:tblpXSpec="center" w:tblpY="1712"/>
        <w:tblOverlap w:val="never"/>
        <w:tblW w:w="114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20"/>
        <w:gridCol w:w="9819"/>
      </w:tblGrid>
      <w:tr w14:paraId="3C7E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2" w:hRule="atLeast"/>
          <w:jc w:val="center"/>
        </w:trPr>
        <w:tc>
          <w:tcPr>
            <w:tcW w:w="1620" w:type="dxa"/>
            <w:shd w:val="clear" w:color="auto" w:fill="8064A2"/>
            <w:noWrap/>
            <w:textDirection w:val="lrTbV"/>
            <w:vAlign w:val="top"/>
          </w:tcPr>
          <w:p w14:paraId="1EA33045">
            <w:pPr>
              <w:bidi w:val="0"/>
              <w:rPr>
                <w:b/>
                <w:bCs/>
                <w:sz w:val="20"/>
                <w:szCs w:val="20"/>
              </w:rPr>
            </w:pPr>
            <w:r>
              <w:rPr>
                <w:rFonts w:hint="default"/>
                <w:b/>
                <w:bCs/>
                <w:sz w:val="20"/>
                <w:szCs w:val="20"/>
                <w:lang w:val="en-US" w:eastAsia="zh-CN"/>
              </w:rPr>
              <w:t>Sheet</w:t>
            </w:r>
          </w:p>
        </w:tc>
        <w:tc>
          <w:tcPr>
            <w:tcW w:w="9819" w:type="dxa"/>
            <w:shd w:val="clear" w:color="auto" w:fill="8064A2"/>
            <w:noWrap/>
            <w:textDirection w:val="lrTbV"/>
            <w:vAlign w:val="top"/>
          </w:tcPr>
          <w:p w14:paraId="5250065F">
            <w:pPr>
              <w:bidi w:val="0"/>
              <w:rPr>
                <w:rFonts w:hint="default"/>
                <w:b/>
                <w:bCs/>
                <w:sz w:val="20"/>
                <w:szCs w:val="20"/>
              </w:rPr>
            </w:pPr>
            <w:r>
              <w:rPr>
                <w:rFonts w:hint="default"/>
                <w:b/>
                <w:bCs/>
                <w:sz w:val="20"/>
                <w:szCs w:val="20"/>
                <w:lang w:val="en-US" w:eastAsia="zh-CN"/>
              </w:rPr>
              <w:t>What to do</w:t>
            </w:r>
          </w:p>
        </w:tc>
      </w:tr>
      <w:tr w14:paraId="607F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2" w:hRule="atLeast"/>
          <w:jc w:val="center"/>
        </w:trPr>
        <w:tc>
          <w:tcPr>
            <w:tcW w:w="1620" w:type="dxa"/>
            <w:shd w:val="clear" w:color="auto" w:fill="CCC1D9"/>
            <w:noWrap/>
            <w:textDirection w:val="lrTbV"/>
            <w:vAlign w:val="top"/>
          </w:tcPr>
          <w:p w14:paraId="6CDFCD0A">
            <w:pPr>
              <w:bidi w:val="0"/>
              <w:rPr>
                <w:rFonts w:hint="default"/>
                <w:b/>
                <w:bCs/>
                <w:sz w:val="20"/>
                <w:szCs w:val="20"/>
              </w:rPr>
            </w:pPr>
            <w:r>
              <w:rPr>
                <w:rFonts w:hint="default"/>
                <w:b/>
                <w:bCs/>
                <w:sz w:val="20"/>
                <w:szCs w:val="20"/>
                <w:lang w:val="en-US" w:eastAsia="zh-CN"/>
              </w:rPr>
              <w:t>CleanedData</w:t>
            </w:r>
          </w:p>
        </w:tc>
        <w:tc>
          <w:tcPr>
            <w:tcW w:w="9819" w:type="dxa"/>
            <w:shd w:val="clear" w:color="auto" w:fill="CCC1D9"/>
            <w:noWrap/>
            <w:textDirection w:val="lrTbV"/>
            <w:vAlign w:val="top"/>
          </w:tcPr>
          <w:p w14:paraId="5A2EEF86">
            <w:pPr>
              <w:bidi w:val="0"/>
              <w:rPr>
                <w:rFonts w:hint="default"/>
                <w:b/>
                <w:bCs/>
                <w:sz w:val="20"/>
                <w:szCs w:val="20"/>
              </w:rPr>
            </w:pPr>
            <w:r>
              <w:rPr>
                <w:rFonts w:hint="default"/>
                <w:b/>
                <w:bCs/>
                <w:sz w:val="20"/>
                <w:szCs w:val="20"/>
                <w:lang w:val="en-US" w:eastAsia="zh-CN"/>
              </w:rPr>
              <w:t>Paste your full table here. Then fill Year, Month, MonthName from date; revenue = units_sold*price_unit.</w:t>
            </w:r>
          </w:p>
        </w:tc>
      </w:tr>
      <w:tr w14:paraId="4D871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2" w:hRule="atLeast"/>
          <w:jc w:val="center"/>
        </w:trPr>
        <w:tc>
          <w:tcPr>
            <w:tcW w:w="1620" w:type="dxa"/>
            <w:shd w:val="clear" w:color="auto" w:fill="FFFFFF"/>
            <w:noWrap/>
            <w:textDirection w:val="lrTbV"/>
            <w:vAlign w:val="top"/>
          </w:tcPr>
          <w:p w14:paraId="076B0A57">
            <w:pPr>
              <w:bidi w:val="0"/>
              <w:rPr>
                <w:rFonts w:hint="default"/>
                <w:b/>
                <w:bCs/>
                <w:sz w:val="20"/>
                <w:szCs w:val="20"/>
              </w:rPr>
            </w:pPr>
            <w:r>
              <w:rPr>
                <w:rFonts w:hint="default"/>
                <w:b/>
                <w:bCs/>
                <w:sz w:val="20"/>
                <w:szCs w:val="20"/>
                <w:lang w:val="en-US" w:eastAsia="zh-CN"/>
              </w:rPr>
              <w:t>MonthlyTrend</w:t>
            </w:r>
          </w:p>
        </w:tc>
        <w:tc>
          <w:tcPr>
            <w:tcW w:w="9819" w:type="dxa"/>
            <w:shd w:val="clear" w:color="auto" w:fill="FFFFFF"/>
            <w:noWrap/>
            <w:textDirection w:val="lrTbV"/>
            <w:vAlign w:val="top"/>
          </w:tcPr>
          <w:p w14:paraId="6AC2FDC0">
            <w:pPr>
              <w:bidi w:val="0"/>
              <w:rPr>
                <w:rFonts w:hint="default"/>
                <w:b/>
                <w:bCs/>
                <w:sz w:val="20"/>
                <w:szCs w:val="20"/>
              </w:rPr>
            </w:pPr>
            <w:r>
              <w:rPr>
                <w:rFonts w:hint="default"/>
                <w:b/>
                <w:bCs/>
                <w:sz w:val="20"/>
                <w:szCs w:val="20"/>
                <w:lang w:val="en-US" w:eastAsia="zh-CN"/>
              </w:rPr>
              <w:t>Build a Pivot: Rows=date (Months); Values=Sum of revenue, Sum of units_sold. Insert a line/column chart.</w:t>
            </w:r>
          </w:p>
        </w:tc>
      </w:tr>
      <w:tr w14:paraId="3744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3" w:hRule="atLeast"/>
          <w:jc w:val="center"/>
        </w:trPr>
        <w:tc>
          <w:tcPr>
            <w:tcW w:w="1620" w:type="dxa"/>
            <w:shd w:val="clear" w:color="auto" w:fill="CCC1D9"/>
            <w:noWrap/>
            <w:textDirection w:val="lrTbV"/>
            <w:vAlign w:val="top"/>
          </w:tcPr>
          <w:p w14:paraId="0F15DBA8">
            <w:pPr>
              <w:bidi w:val="0"/>
              <w:rPr>
                <w:rFonts w:hint="default"/>
                <w:b/>
                <w:bCs/>
                <w:sz w:val="20"/>
                <w:szCs w:val="20"/>
              </w:rPr>
            </w:pPr>
            <w:r>
              <w:rPr>
                <w:rFonts w:hint="default"/>
                <w:b/>
                <w:bCs/>
                <w:sz w:val="20"/>
                <w:szCs w:val="20"/>
                <w:lang w:val="en-US" w:eastAsia="zh-CN"/>
              </w:rPr>
              <w:t>Yearly</w:t>
            </w:r>
          </w:p>
        </w:tc>
        <w:tc>
          <w:tcPr>
            <w:tcW w:w="9819" w:type="dxa"/>
            <w:shd w:val="clear" w:color="auto" w:fill="CCC1D9"/>
            <w:noWrap/>
            <w:textDirection w:val="lrTbV"/>
            <w:vAlign w:val="top"/>
          </w:tcPr>
          <w:p w14:paraId="390B3E0A">
            <w:pPr>
              <w:bidi w:val="0"/>
              <w:rPr>
                <w:rFonts w:hint="default"/>
                <w:b/>
                <w:bCs/>
                <w:sz w:val="20"/>
                <w:szCs w:val="20"/>
              </w:rPr>
            </w:pPr>
            <w:r>
              <w:rPr>
                <w:rFonts w:hint="default"/>
                <w:b/>
                <w:bCs/>
                <w:sz w:val="20"/>
                <w:szCs w:val="20"/>
                <w:lang w:val="en-US" w:eastAsia="zh-CN"/>
              </w:rPr>
              <w:t>Build a Pivot: Rows=Year; Values=Sum of revenue, Sum of units_sold. Use for YoY KPIs.</w:t>
            </w:r>
          </w:p>
        </w:tc>
      </w:tr>
      <w:tr w14:paraId="2345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620" w:type="dxa"/>
            <w:shd w:val="clear" w:color="auto" w:fill="FFFFFF"/>
            <w:noWrap/>
            <w:textDirection w:val="lrTbV"/>
            <w:vAlign w:val="top"/>
          </w:tcPr>
          <w:p w14:paraId="4EB85BB2">
            <w:pPr>
              <w:bidi w:val="0"/>
              <w:rPr>
                <w:rFonts w:hint="default"/>
                <w:b/>
                <w:bCs/>
                <w:sz w:val="20"/>
                <w:szCs w:val="20"/>
              </w:rPr>
            </w:pPr>
            <w:r>
              <w:rPr>
                <w:rFonts w:hint="default"/>
                <w:b/>
                <w:bCs/>
                <w:sz w:val="20"/>
                <w:szCs w:val="20"/>
                <w:lang w:val="en-US" w:eastAsia="zh-CN"/>
              </w:rPr>
              <w:t>Category</w:t>
            </w:r>
          </w:p>
        </w:tc>
        <w:tc>
          <w:tcPr>
            <w:tcW w:w="9819" w:type="dxa"/>
            <w:shd w:val="clear" w:color="auto" w:fill="FFFFFF"/>
            <w:noWrap/>
            <w:textDirection w:val="lrTbV"/>
            <w:vAlign w:val="top"/>
          </w:tcPr>
          <w:p w14:paraId="617E8D01">
            <w:pPr>
              <w:bidi w:val="0"/>
              <w:rPr>
                <w:rFonts w:hint="default"/>
                <w:b/>
                <w:bCs/>
                <w:sz w:val="20"/>
                <w:szCs w:val="20"/>
              </w:rPr>
            </w:pPr>
            <w:r>
              <w:rPr>
                <w:rFonts w:hint="default"/>
                <w:b/>
                <w:bCs/>
                <w:sz w:val="20"/>
                <w:szCs w:val="20"/>
                <w:lang w:val="en-US" w:eastAsia="zh-CN"/>
              </w:rPr>
              <w:t>Build a Pivot: Rows=category; Values=Sum of revenue, Sum of units_sold. Top 10 bar chart.</w:t>
            </w:r>
          </w:p>
        </w:tc>
      </w:tr>
      <w:tr w14:paraId="1EC9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620" w:type="dxa"/>
            <w:shd w:val="clear" w:color="auto" w:fill="CCC1D9"/>
            <w:noWrap/>
            <w:textDirection w:val="lrTbV"/>
            <w:vAlign w:val="top"/>
          </w:tcPr>
          <w:p w14:paraId="25B61BF7">
            <w:pPr>
              <w:bidi w:val="0"/>
              <w:rPr>
                <w:rFonts w:hint="default"/>
                <w:b/>
                <w:bCs/>
                <w:sz w:val="20"/>
                <w:szCs w:val="20"/>
              </w:rPr>
            </w:pPr>
            <w:r>
              <w:rPr>
                <w:rFonts w:hint="default"/>
                <w:b/>
                <w:bCs/>
                <w:sz w:val="20"/>
                <w:szCs w:val="20"/>
                <w:lang w:val="en-US" w:eastAsia="zh-CN"/>
              </w:rPr>
              <w:t>Brand</w:t>
            </w:r>
          </w:p>
        </w:tc>
        <w:tc>
          <w:tcPr>
            <w:tcW w:w="9819" w:type="dxa"/>
            <w:shd w:val="clear" w:color="auto" w:fill="CCC1D9"/>
            <w:noWrap/>
            <w:textDirection w:val="lrTbV"/>
            <w:vAlign w:val="top"/>
          </w:tcPr>
          <w:p w14:paraId="547318D8">
            <w:pPr>
              <w:bidi w:val="0"/>
              <w:rPr>
                <w:rFonts w:hint="default"/>
                <w:b/>
                <w:bCs/>
                <w:sz w:val="20"/>
                <w:szCs w:val="20"/>
              </w:rPr>
            </w:pPr>
            <w:r>
              <w:rPr>
                <w:rFonts w:hint="default"/>
                <w:b/>
                <w:bCs/>
                <w:sz w:val="20"/>
                <w:szCs w:val="20"/>
                <w:lang w:val="en-US" w:eastAsia="zh-CN"/>
              </w:rPr>
              <w:t>Build a Pivot: Rows=brand; Values=Sum of revenue, Sum of units_sold. Top 10–15 bar chart.</w:t>
            </w:r>
          </w:p>
        </w:tc>
      </w:tr>
      <w:tr w14:paraId="5F92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620" w:type="dxa"/>
            <w:shd w:val="clear" w:color="auto" w:fill="FFFFFF"/>
            <w:noWrap/>
            <w:textDirection w:val="lrTbV"/>
            <w:vAlign w:val="top"/>
          </w:tcPr>
          <w:p w14:paraId="362A79ED">
            <w:pPr>
              <w:bidi w:val="0"/>
              <w:rPr>
                <w:rFonts w:hint="default"/>
                <w:b/>
                <w:bCs/>
                <w:sz w:val="20"/>
                <w:szCs w:val="20"/>
              </w:rPr>
            </w:pPr>
            <w:r>
              <w:rPr>
                <w:rFonts w:hint="default"/>
                <w:b/>
                <w:bCs/>
                <w:sz w:val="20"/>
                <w:szCs w:val="20"/>
                <w:lang w:val="en-US" w:eastAsia="zh-CN"/>
              </w:rPr>
              <w:t>Region</w:t>
            </w:r>
          </w:p>
        </w:tc>
        <w:tc>
          <w:tcPr>
            <w:tcW w:w="9819" w:type="dxa"/>
            <w:shd w:val="clear" w:color="auto" w:fill="FFFFFF"/>
            <w:noWrap/>
            <w:textDirection w:val="lrTbV"/>
            <w:vAlign w:val="top"/>
          </w:tcPr>
          <w:p w14:paraId="7B8DAC66">
            <w:pPr>
              <w:bidi w:val="0"/>
              <w:rPr>
                <w:rFonts w:hint="default"/>
                <w:b/>
                <w:bCs/>
                <w:sz w:val="20"/>
                <w:szCs w:val="20"/>
              </w:rPr>
            </w:pPr>
            <w:r>
              <w:rPr>
                <w:rFonts w:hint="default"/>
                <w:b/>
                <w:bCs/>
                <w:sz w:val="20"/>
                <w:szCs w:val="20"/>
                <w:lang w:val="en-US" w:eastAsia="zh-CN"/>
              </w:rPr>
              <w:t>Build a Pivot: Rows=region; Values=Sum of revenue. Column chart.</w:t>
            </w:r>
          </w:p>
        </w:tc>
      </w:tr>
      <w:tr w14:paraId="3EE0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620" w:type="dxa"/>
            <w:shd w:val="clear" w:color="auto" w:fill="CCC1D9"/>
            <w:noWrap/>
            <w:textDirection w:val="lrTbV"/>
            <w:vAlign w:val="top"/>
          </w:tcPr>
          <w:p w14:paraId="631DB43A">
            <w:pPr>
              <w:bidi w:val="0"/>
              <w:rPr>
                <w:rFonts w:hint="default"/>
                <w:b/>
                <w:bCs/>
                <w:sz w:val="20"/>
                <w:szCs w:val="20"/>
              </w:rPr>
            </w:pPr>
            <w:r>
              <w:rPr>
                <w:rFonts w:hint="default"/>
                <w:b/>
                <w:bCs/>
                <w:sz w:val="20"/>
                <w:szCs w:val="20"/>
                <w:lang w:val="en-US" w:eastAsia="zh-CN"/>
              </w:rPr>
              <w:t>Channel</w:t>
            </w:r>
          </w:p>
        </w:tc>
        <w:tc>
          <w:tcPr>
            <w:tcW w:w="9819" w:type="dxa"/>
            <w:shd w:val="clear" w:color="auto" w:fill="CCC1D9"/>
            <w:noWrap/>
            <w:textDirection w:val="lrTbV"/>
            <w:vAlign w:val="top"/>
          </w:tcPr>
          <w:p w14:paraId="3A71A54B">
            <w:pPr>
              <w:bidi w:val="0"/>
              <w:rPr>
                <w:rFonts w:hint="default"/>
                <w:b/>
                <w:bCs/>
                <w:sz w:val="20"/>
                <w:szCs w:val="20"/>
              </w:rPr>
            </w:pPr>
            <w:r>
              <w:rPr>
                <w:rFonts w:hint="default"/>
                <w:b/>
                <w:bCs/>
                <w:sz w:val="20"/>
                <w:szCs w:val="20"/>
                <w:lang w:val="en-US" w:eastAsia="zh-CN"/>
              </w:rPr>
              <w:t>Build a Pivot: Rows=channel; Values=Sum of revenue. Donut chart for share.</w:t>
            </w:r>
          </w:p>
        </w:tc>
      </w:tr>
      <w:tr w14:paraId="1C22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30" w:hRule="atLeast"/>
          <w:jc w:val="center"/>
        </w:trPr>
        <w:tc>
          <w:tcPr>
            <w:tcW w:w="1620" w:type="dxa"/>
            <w:shd w:val="clear" w:color="auto" w:fill="FFFFFF"/>
            <w:noWrap/>
            <w:textDirection w:val="lrTbV"/>
            <w:vAlign w:val="top"/>
          </w:tcPr>
          <w:p w14:paraId="14BB344F">
            <w:pPr>
              <w:bidi w:val="0"/>
              <w:rPr>
                <w:rFonts w:hint="default"/>
                <w:b/>
                <w:bCs/>
                <w:sz w:val="20"/>
                <w:szCs w:val="20"/>
              </w:rPr>
            </w:pPr>
            <w:r>
              <w:rPr>
                <w:rFonts w:hint="default"/>
                <w:b/>
                <w:bCs/>
                <w:sz w:val="20"/>
                <w:szCs w:val="20"/>
                <w:lang w:val="en-US" w:eastAsia="zh-CN"/>
              </w:rPr>
              <w:t>Promo</w:t>
            </w:r>
          </w:p>
        </w:tc>
        <w:tc>
          <w:tcPr>
            <w:tcW w:w="9819" w:type="dxa"/>
            <w:shd w:val="clear" w:color="auto" w:fill="FFFFFF"/>
            <w:noWrap/>
            <w:textDirection w:val="lrTbV"/>
            <w:vAlign w:val="top"/>
          </w:tcPr>
          <w:p w14:paraId="36BEF0EF">
            <w:pPr>
              <w:bidi w:val="0"/>
              <w:rPr>
                <w:rFonts w:hint="default"/>
                <w:b/>
                <w:bCs/>
                <w:sz w:val="20"/>
                <w:szCs w:val="20"/>
              </w:rPr>
            </w:pPr>
            <w:r>
              <w:rPr>
                <w:rFonts w:hint="default"/>
                <w:b/>
                <w:bCs/>
                <w:sz w:val="20"/>
                <w:szCs w:val="20"/>
                <w:lang w:val="en-US" w:eastAsia="zh-CN"/>
              </w:rPr>
              <w:t>Rows=MonthName (or Year+MonthName), Columns=promotion_flag; Values=Sum of revenue, Sum of units_sold; Avg of price_unit.</w:t>
            </w:r>
          </w:p>
        </w:tc>
      </w:tr>
      <w:tr w14:paraId="7131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620" w:type="dxa"/>
            <w:shd w:val="clear" w:color="auto" w:fill="CCC1D9"/>
            <w:noWrap/>
            <w:textDirection w:val="lrTbV"/>
            <w:vAlign w:val="top"/>
          </w:tcPr>
          <w:p w14:paraId="5275D930">
            <w:pPr>
              <w:bidi w:val="0"/>
              <w:rPr>
                <w:rFonts w:hint="default"/>
                <w:b/>
                <w:bCs/>
                <w:sz w:val="20"/>
                <w:szCs w:val="20"/>
              </w:rPr>
            </w:pPr>
            <w:r>
              <w:rPr>
                <w:rFonts w:hint="default"/>
                <w:b/>
                <w:bCs/>
                <w:sz w:val="20"/>
                <w:szCs w:val="20"/>
                <w:lang w:val="en-US" w:eastAsia="zh-CN"/>
              </w:rPr>
              <w:t>TopSKUs</w:t>
            </w:r>
          </w:p>
        </w:tc>
        <w:tc>
          <w:tcPr>
            <w:tcW w:w="9819" w:type="dxa"/>
            <w:shd w:val="clear" w:color="auto" w:fill="CCC1D9"/>
            <w:noWrap/>
            <w:textDirection w:val="lrTbV"/>
            <w:vAlign w:val="top"/>
          </w:tcPr>
          <w:p w14:paraId="67C75235">
            <w:pPr>
              <w:bidi w:val="0"/>
              <w:rPr>
                <w:rFonts w:hint="default"/>
                <w:b/>
                <w:bCs/>
                <w:sz w:val="20"/>
                <w:szCs w:val="20"/>
              </w:rPr>
            </w:pPr>
            <w:r>
              <w:rPr>
                <w:rFonts w:hint="default"/>
                <w:b/>
                <w:bCs/>
                <w:sz w:val="20"/>
                <w:szCs w:val="20"/>
                <w:lang w:val="en-US" w:eastAsia="zh-CN"/>
              </w:rPr>
              <w:t>Use a Pivot with rows=sku (+brand/category) and values=Sum of revenue; filter top 20.</w:t>
            </w:r>
          </w:p>
        </w:tc>
      </w:tr>
      <w:tr w14:paraId="0849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620" w:type="dxa"/>
            <w:shd w:val="clear" w:color="auto" w:fill="FFFFFF"/>
            <w:noWrap/>
            <w:textDirection w:val="lrTbV"/>
            <w:vAlign w:val="top"/>
          </w:tcPr>
          <w:p w14:paraId="12F81308">
            <w:pPr>
              <w:bidi w:val="0"/>
              <w:rPr>
                <w:rFonts w:hint="default"/>
                <w:b/>
                <w:bCs/>
                <w:sz w:val="20"/>
                <w:szCs w:val="20"/>
              </w:rPr>
            </w:pPr>
            <w:r>
              <w:rPr>
                <w:rFonts w:hint="default"/>
                <w:b/>
                <w:bCs/>
                <w:sz w:val="20"/>
                <w:szCs w:val="20"/>
                <w:lang w:val="en-US" w:eastAsia="zh-CN"/>
              </w:rPr>
              <w:t>Dashboard</w:t>
            </w:r>
          </w:p>
        </w:tc>
        <w:tc>
          <w:tcPr>
            <w:tcW w:w="9819" w:type="dxa"/>
            <w:shd w:val="clear" w:color="auto" w:fill="FFFFFF"/>
            <w:noWrap/>
            <w:textDirection w:val="lrTbV"/>
            <w:vAlign w:val="top"/>
          </w:tcPr>
          <w:p w14:paraId="6914C7E4">
            <w:pPr>
              <w:bidi w:val="0"/>
              <w:rPr>
                <w:rFonts w:hint="default"/>
                <w:b/>
                <w:bCs/>
                <w:sz w:val="20"/>
                <w:szCs w:val="20"/>
              </w:rPr>
            </w:pPr>
            <w:r>
              <w:rPr>
                <w:rFonts w:hint="default"/>
                <w:b/>
                <w:bCs/>
                <w:sz w:val="20"/>
                <w:szCs w:val="20"/>
                <w:lang w:val="en-US" w:eastAsia="zh-CN"/>
              </w:rPr>
              <w:t>Copy the best charts here. Add slicers for Year, category, brand, region, channel, promotion_flag and connect to all pivots.</w:t>
            </w:r>
          </w:p>
        </w:tc>
      </w:tr>
    </w:tbl>
    <w:p w14:paraId="2C2ADFE9">
      <w:pPr>
        <w:bidi w:val="0"/>
        <w:rPr>
          <w:b/>
          <w:bCs/>
          <w:sz w:val="20"/>
          <w:szCs w:val="20"/>
        </w:rPr>
      </w:pPr>
    </w:p>
    <w:p w14:paraId="184151F4">
      <w:pPr>
        <w:bidi w:val="0"/>
        <w:rPr>
          <w:b/>
          <w:bCs/>
          <w:sz w:val="20"/>
          <w:szCs w:val="20"/>
        </w:rPr>
      </w:pPr>
    </w:p>
    <w:p w14:paraId="0187CE6B">
      <w:pPr>
        <w:bidi w:val="0"/>
        <w:rPr>
          <w:b/>
          <w:bCs/>
          <w:sz w:val="20"/>
          <w:szCs w:val="20"/>
        </w:rPr>
      </w:pPr>
    </w:p>
    <w:p w14:paraId="2EFD008E">
      <w:pPr>
        <w:bidi w:val="0"/>
        <w:rPr>
          <w:b/>
          <w:bCs/>
          <w:sz w:val="20"/>
          <w:szCs w:val="20"/>
        </w:rPr>
      </w:pPr>
    </w:p>
    <w:p w14:paraId="43E59A5F">
      <w:pPr>
        <w:bidi w:val="0"/>
        <w:rPr>
          <w:b/>
          <w:bCs/>
          <w:sz w:val="20"/>
          <w:szCs w:val="20"/>
        </w:rPr>
      </w:pPr>
    </w:p>
    <w:p w14:paraId="6A4DE8C2">
      <w:pPr>
        <w:bidi w:val="0"/>
        <w:rPr>
          <w:b/>
          <w:bCs/>
          <w:sz w:val="20"/>
          <w:szCs w:val="20"/>
        </w:rPr>
      </w:pPr>
    </w:p>
    <w:p w14:paraId="1FD24025">
      <w:pPr>
        <w:bidi w:val="0"/>
        <w:rPr>
          <w:b/>
          <w:bCs/>
          <w:sz w:val="20"/>
          <w:szCs w:val="20"/>
        </w:rPr>
      </w:pPr>
    </w:p>
    <w:p w14:paraId="55E58DDE">
      <w:pPr>
        <w:bidi w:val="0"/>
        <w:rPr>
          <w:b/>
          <w:bCs/>
          <w:sz w:val="20"/>
          <w:szCs w:val="20"/>
        </w:rPr>
      </w:pPr>
    </w:p>
    <w:p w14:paraId="4C1F2B96">
      <w:pPr>
        <w:bidi w:val="0"/>
        <w:rPr>
          <w:b/>
          <w:bCs/>
          <w:sz w:val="20"/>
          <w:szCs w:val="20"/>
        </w:rPr>
      </w:pPr>
    </w:p>
    <w:p w14:paraId="22C8532F">
      <w:pPr>
        <w:bidi w:val="0"/>
        <w:rPr>
          <w:b/>
          <w:bCs/>
          <w:sz w:val="20"/>
          <w:szCs w:val="20"/>
        </w:rPr>
      </w:pPr>
    </w:p>
    <w:p w14:paraId="51919092">
      <w:pPr>
        <w:bidi w:val="0"/>
        <w:rPr>
          <w:b/>
          <w:bCs/>
          <w:sz w:val="20"/>
          <w:szCs w:val="20"/>
        </w:rPr>
      </w:pPr>
    </w:p>
    <w:p w14:paraId="17B1FAF7">
      <w:pPr>
        <w:bidi w:val="0"/>
        <w:rPr>
          <w:b/>
          <w:bCs/>
          <w:sz w:val="20"/>
          <w:szCs w:val="20"/>
        </w:rPr>
      </w:pPr>
    </w:p>
    <w:p w14:paraId="2F66597C">
      <w:pPr>
        <w:bidi w:val="0"/>
        <w:rPr>
          <w:b/>
          <w:bCs/>
          <w:sz w:val="20"/>
          <w:szCs w:val="20"/>
        </w:rPr>
      </w:pPr>
    </w:p>
    <w:p w14:paraId="1A416D2B">
      <w:pPr>
        <w:bidi w:val="0"/>
        <w:rPr>
          <w:b/>
          <w:bCs/>
          <w:sz w:val="20"/>
          <w:szCs w:val="20"/>
        </w:rPr>
      </w:pPr>
    </w:p>
    <w:p w14:paraId="07547F8F">
      <w:pPr>
        <w:bidi w:val="0"/>
        <w:rPr>
          <w:b/>
          <w:bCs/>
          <w:sz w:val="20"/>
          <w:szCs w:val="20"/>
        </w:rPr>
      </w:pPr>
    </w:p>
    <w:p w14:paraId="44E751BB">
      <w:pPr>
        <w:bidi w:val="0"/>
        <w:rPr>
          <w:b/>
          <w:bCs/>
          <w:sz w:val="20"/>
          <w:szCs w:val="20"/>
        </w:rPr>
      </w:pPr>
    </w:p>
    <w:p w14:paraId="578E550D">
      <w:pPr>
        <w:bidi w:val="0"/>
        <w:rPr>
          <w:b/>
          <w:bCs/>
          <w:sz w:val="20"/>
          <w:szCs w:val="20"/>
        </w:rPr>
      </w:pPr>
    </w:p>
    <w:p w14:paraId="4A095AAD">
      <w:pPr>
        <w:bidi w:val="0"/>
        <w:rPr>
          <w:b/>
          <w:bCs/>
          <w:sz w:val="20"/>
          <w:szCs w:val="20"/>
        </w:rPr>
      </w:pPr>
    </w:p>
    <w:p w14:paraId="3CF2271B">
      <w:pPr>
        <w:bidi w:val="0"/>
        <w:rPr>
          <w:b/>
          <w:bCs/>
          <w:sz w:val="20"/>
          <w:szCs w:val="20"/>
        </w:rPr>
      </w:pPr>
    </w:p>
    <w:p w14:paraId="2EDC5B8E">
      <w:pPr>
        <w:bidi w:val="0"/>
        <w:rPr>
          <w:b/>
          <w:bCs/>
          <w:sz w:val="20"/>
          <w:szCs w:val="20"/>
        </w:rPr>
      </w:pPr>
    </w:p>
    <w:p w14:paraId="64FE29C1">
      <w:pPr>
        <w:bidi w:val="0"/>
        <w:rPr>
          <w:b/>
          <w:bCs/>
          <w:sz w:val="20"/>
          <w:szCs w:val="20"/>
        </w:rPr>
      </w:pPr>
    </w:p>
    <w:p w14:paraId="72EBA869">
      <w:pPr>
        <w:bidi w:val="0"/>
        <w:rPr>
          <w:b/>
          <w:bCs/>
          <w:sz w:val="20"/>
          <w:szCs w:val="20"/>
        </w:rPr>
      </w:pPr>
    </w:p>
    <w:p w14:paraId="4E94CA93">
      <w:pPr>
        <w:bidi w:val="0"/>
        <w:rPr>
          <w:b/>
          <w:bCs/>
          <w:sz w:val="20"/>
          <w:szCs w:val="20"/>
        </w:rPr>
      </w:pPr>
    </w:p>
    <w:p w14:paraId="76F6EA7B">
      <w:pPr>
        <w:bidi w:val="0"/>
        <w:rPr>
          <w:b/>
          <w:bCs/>
          <w:sz w:val="20"/>
          <w:szCs w:val="20"/>
        </w:rPr>
      </w:pPr>
    </w:p>
    <w:p w14:paraId="2499979D">
      <w:pPr>
        <w:bidi w:val="0"/>
        <w:rPr>
          <w:b/>
          <w:bCs/>
          <w:sz w:val="20"/>
          <w:szCs w:val="20"/>
        </w:rPr>
      </w:pPr>
    </w:p>
    <w:p w14:paraId="17C96850">
      <w:pPr>
        <w:bidi w:val="0"/>
        <w:rPr>
          <w:b/>
          <w:bCs/>
          <w:sz w:val="20"/>
          <w:szCs w:val="20"/>
        </w:rPr>
      </w:pPr>
    </w:p>
    <w:p w14:paraId="6AE712B7">
      <w:pPr>
        <w:bidi w:val="0"/>
        <w:rPr>
          <w:b/>
          <w:bCs/>
          <w:sz w:val="20"/>
          <w:szCs w:val="20"/>
        </w:rPr>
      </w:pPr>
    </w:p>
    <w:p w14:paraId="568EA177">
      <w:pPr>
        <w:bidi w:val="0"/>
        <w:rPr>
          <w:b/>
          <w:bCs/>
          <w:sz w:val="20"/>
          <w:szCs w:val="20"/>
        </w:rPr>
      </w:pPr>
    </w:p>
    <w:p w14:paraId="11E4071C">
      <w:pPr>
        <w:bidi w:val="0"/>
        <w:rPr>
          <w:b/>
          <w:bCs/>
          <w:sz w:val="20"/>
          <w:szCs w:val="20"/>
        </w:rPr>
      </w:pPr>
    </w:p>
    <w:p w14:paraId="24051BFF">
      <w:pPr>
        <w:bidi w:val="0"/>
        <w:rPr>
          <w:b/>
          <w:bCs/>
          <w:sz w:val="20"/>
          <w:szCs w:val="20"/>
        </w:rPr>
      </w:pPr>
    </w:p>
    <w:p w14:paraId="4EE70328">
      <w:pPr>
        <w:bidi w:val="0"/>
        <w:rPr>
          <w:b/>
          <w:bCs/>
          <w:sz w:val="20"/>
          <w:szCs w:val="20"/>
        </w:rPr>
      </w:pPr>
    </w:p>
    <w:p w14:paraId="476ADFD9">
      <w:pPr>
        <w:bidi w:val="0"/>
        <w:rPr>
          <w:b/>
          <w:bCs/>
          <w:sz w:val="20"/>
          <w:szCs w:val="20"/>
        </w:rPr>
      </w:pPr>
    </w:p>
    <w:p w14:paraId="219FB345">
      <w:pPr>
        <w:bidi w:val="0"/>
        <w:rPr>
          <w:b/>
          <w:bCs/>
          <w:sz w:val="20"/>
          <w:szCs w:val="20"/>
        </w:rPr>
      </w:pPr>
    </w:p>
    <w:p w14:paraId="334E16B0">
      <w:pPr>
        <w:bidi w:val="0"/>
        <w:rPr>
          <w:b/>
          <w:bCs/>
          <w:sz w:val="20"/>
          <w:szCs w:val="20"/>
        </w:rPr>
      </w:pPr>
    </w:p>
    <w:p w14:paraId="3580525D">
      <w:pPr>
        <w:bidi w:val="0"/>
        <w:rPr>
          <w:b/>
          <w:bCs/>
          <w:sz w:val="20"/>
          <w:szCs w:val="20"/>
        </w:rPr>
      </w:pPr>
    </w:p>
    <w:p w14:paraId="33ECF2D7">
      <w:pPr>
        <w:bidi w:val="0"/>
        <w:rPr>
          <w:b/>
          <w:bCs/>
          <w:sz w:val="20"/>
          <w:szCs w:val="20"/>
        </w:rPr>
      </w:pPr>
    </w:p>
    <w:p w14:paraId="5F0B6FE9">
      <w:pPr>
        <w:bidi w:val="0"/>
        <w:rPr>
          <w:b/>
          <w:bCs/>
          <w:sz w:val="20"/>
          <w:szCs w:val="20"/>
        </w:rPr>
      </w:pPr>
    </w:p>
    <w:p w14:paraId="39B52996">
      <w:pPr>
        <w:bidi w:val="0"/>
        <w:rPr>
          <w:b/>
          <w:bCs/>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 w:name="Bahnschrift Condensed">
    <w:panose1 w:val="020B0502040204020203"/>
    <w:charset w:val="00"/>
    <w:family w:val="auto"/>
    <w:pitch w:val="default"/>
    <w:sig w:usb0="A00002C7" w:usb1="00000002" w:usb2="00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AA8D99"/>
    <w:multiLevelType w:val="singleLevel"/>
    <w:tmpl w:val="A0AA8D99"/>
    <w:lvl w:ilvl="0" w:tentative="0">
      <w:start w:val="1"/>
      <w:numFmt w:val="decimal"/>
      <w:lvlText w:val="%1."/>
      <w:lvlJc w:val="left"/>
      <w:pPr>
        <w:tabs>
          <w:tab w:val="left" w:pos="425"/>
        </w:tabs>
        <w:ind w:left="425" w:leftChars="0" w:hanging="425" w:firstLineChars="0"/>
      </w:pPr>
      <w:rPr>
        <w:rFonts w:hint="default"/>
      </w:rPr>
    </w:lvl>
  </w:abstractNum>
  <w:abstractNum w:abstractNumId="1">
    <w:nsid w:val="AD82B911"/>
    <w:multiLevelType w:val="singleLevel"/>
    <w:tmpl w:val="AD82B9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FF5A4DE"/>
    <w:multiLevelType w:val="singleLevel"/>
    <w:tmpl w:val="CFF5A4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06FB4A5"/>
    <w:multiLevelType w:val="singleLevel"/>
    <w:tmpl w:val="D06FB4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8ADA5FE"/>
    <w:multiLevelType w:val="singleLevel"/>
    <w:tmpl w:val="D8ADA5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106A0F5"/>
    <w:multiLevelType w:val="singleLevel"/>
    <w:tmpl w:val="E106A0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C7DB181"/>
    <w:multiLevelType w:val="singleLevel"/>
    <w:tmpl w:val="EC7DB1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F1FED8C"/>
    <w:multiLevelType w:val="singleLevel"/>
    <w:tmpl w:val="0F1FED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5"/>
  </w:num>
  <w:num w:numId="4">
    <w:abstractNumId w:val="2"/>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F42191"/>
    <w:rsid w:val="21F42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2026-03-16T10:47:00Z</dcterms:created>
  <dc:creator>Preksha Jain</dc:creator>
  <cp:lastModifiedBy>Preksha Jain</cp:lastModifiedBy>
  <dcterms:modified xsi:type="dcterms:W3CDTF">2026-03-16T11:27:51Z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60750D52AA4740E98AE772EEA85FF0D8_11</vt:lpwstr>
  </property>
</Properties>
</file>